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FB99D">
      <w:pPr>
        <w:pStyle w:val="4"/>
        <w:spacing w:line="600" w:lineRule="exact"/>
        <w:jc w:val="center"/>
        <w:rPr>
          <w:rFonts w:ascii="方正小标宋_GBK" w:eastAsia="方正小标宋_GBK" w:hAnsiTheme="majorHAnsi"/>
          <w:sz w:val="44"/>
          <w:szCs w:val="44"/>
        </w:rPr>
      </w:pPr>
      <w:r>
        <w:rPr>
          <w:rFonts w:hint="eastAsia" w:ascii="方正小标宋_GBK" w:eastAsia="方正小标宋_GBK" w:hAnsiTheme="majorHAnsi"/>
          <w:sz w:val="44"/>
          <w:szCs w:val="44"/>
        </w:rPr>
        <w:t>重庆市綦江区扶欢小学</w:t>
      </w:r>
    </w:p>
    <w:p w14:paraId="03B8A2C4">
      <w:pPr>
        <w:pStyle w:val="4"/>
        <w:spacing w:line="600" w:lineRule="exact"/>
        <w:jc w:val="center"/>
        <w:rPr>
          <w:rFonts w:ascii="方正小标宋_GBK" w:eastAsia="方正小标宋_GBK" w:hAnsiTheme="majorHAnsi"/>
          <w:sz w:val="44"/>
          <w:szCs w:val="44"/>
        </w:rPr>
      </w:pPr>
      <w:r>
        <w:rPr>
          <w:rFonts w:hint="eastAsia" w:ascii="方正小标宋_GBK" w:eastAsia="方正小标宋_GBK" w:hAnsiTheme="majorHAnsi"/>
          <w:sz w:val="44"/>
          <w:szCs w:val="44"/>
        </w:rPr>
        <w:t>2020年度部门决算情况说明</w:t>
      </w:r>
    </w:p>
    <w:p w14:paraId="61BCF835">
      <w:pPr>
        <w:pStyle w:val="4"/>
        <w:spacing w:line="600" w:lineRule="exact"/>
        <w:rPr>
          <w:rStyle w:val="8"/>
          <w:rFonts w:ascii="方正黑体_GBK" w:eastAsia="方正黑体_GBK"/>
          <w:sz w:val="32"/>
          <w:szCs w:val="32"/>
        </w:rPr>
      </w:pPr>
      <w:r>
        <w:t> </w:t>
      </w:r>
      <w:r>
        <w:rPr>
          <w:rStyle w:val="8"/>
          <w:rFonts w:hint="eastAsia" w:ascii="方正黑体_GBK" w:eastAsia="方正黑体_GBK"/>
          <w:sz w:val="32"/>
          <w:szCs w:val="32"/>
        </w:rPr>
        <w:t>一、部门基本情况</w:t>
      </w:r>
    </w:p>
    <w:p w14:paraId="25F14C1D">
      <w:pPr>
        <w:pStyle w:val="4"/>
        <w:spacing w:line="600" w:lineRule="exact"/>
        <w:rPr>
          <w:rStyle w:val="8"/>
          <w:rFonts w:hint="eastAsia" w:ascii="方正楷体_GBK" w:eastAsia="方正楷体_GBK" w:hAnsiTheme="minorHAnsi" w:cstheme="minorBidi"/>
          <w:kern w:val="2"/>
          <w:sz w:val="32"/>
          <w:szCs w:val="32"/>
        </w:rPr>
      </w:pPr>
      <w:r>
        <w:rPr>
          <w:rStyle w:val="8"/>
          <w:rFonts w:hint="eastAsia" w:ascii="方正黑体_GBK" w:eastAsia="方正黑体_GBK"/>
          <w:sz w:val="32"/>
          <w:szCs w:val="32"/>
        </w:rPr>
        <w:t> </w:t>
      </w:r>
      <w:r>
        <w:rPr>
          <w:rStyle w:val="8"/>
          <w:rFonts w:hint="eastAsia" w:ascii="方正楷体_GBK" w:eastAsia="方正楷体_GBK" w:hAnsiTheme="minorHAnsi" w:cstheme="minorBidi"/>
          <w:kern w:val="2"/>
          <w:sz w:val="32"/>
          <w:szCs w:val="32"/>
        </w:rPr>
        <w:t xml:space="preserve"> （一）职能职责</w:t>
      </w:r>
    </w:p>
    <w:p w14:paraId="0D33F17E">
      <w:pPr>
        <w:spacing w:line="600" w:lineRule="exact"/>
        <w:ind w:firstLine="704" w:firstLineChars="220"/>
        <w:rPr>
          <w:rFonts w:ascii="方正仿宋_GBK" w:hAnsi="仿宋_GB2312" w:eastAsia="方正仿宋_GBK" w:cs="仿宋_GB2312"/>
          <w:sz w:val="32"/>
          <w:szCs w:val="32"/>
        </w:rPr>
      </w:pPr>
      <w:r>
        <w:rPr>
          <w:rFonts w:hint="eastAsia" w:ascii="方正仿宋_GBK" w:hAnsi="仿宋_GB2312" w:eastAsia="方正仿宋_GBK" w:cs="仿宋_GB2312"/>
          <w:sz w:val="32"/>
          <w:szCs w:val="32"/>
        </w:rPr>
        <w:t>主要职能：重庆市綦江区扶欢小学主要实施小学义务教育，促进基础教育发展，小学学历教育。</w:t>
      </w:r>
    </w:p>
    <w:p w14:paraId="6CDD8BAD">
      <w:pPr>
        <w:pStyle w:val="4"/>
        <w:spacing w:line="600" w:lineRule="exact"/>
        <w:rPr>
          <w:rStyle w:val="8"/>
          <w:rFonts w:hint="eastAsia" w:ascii="方正楷体_GBK" w:eastAsia="方正楷体_GBK" w:hAnsiTheme="minorHAnsi" w:cstheme="minorBidi"/>
          <w:kern w:val="2"/>
          <w:sz w:val="32"/>
          <w:szCs w:val="32"/>
        </w:rPr>
      </w:pPr>
      <w:r>
        <w:rPr>
          <w:rFonts w:hint="eastAsia"/>
          <w:sz w:val="27"/>
          <w:szCs w:val="27"/>
        </w:rPr>
        <w:t xml:space="preserve">  </w:t>
      </w:r>
      <w:r>
        <w:rPr>
          <w:rStyle w:val="8"/>
          <w:rFonts w:hint="eastAsia" w:ascii="方正楷体_GBK" w:eastAsia="方正楷体_GBK" w:hAnsiTheme="minorHAnsi" w:cstheme="minorBidi"/>
          <w:kern w:val="2"/>
          <w:sz w:val="32"/>
          <w:szCs w:val="32"/>
        </w:rPr>
        <w:t>（二）机构设置</w:t>
      </w:r>
    </w:p>
    <w:p w14:paraId="25B01714">
      <w:pPr>
        <w:spacing w:line="600" w:lineRule="exact"/>
        <w:ind w:firstLine="704" w:firstLineChars="220"/>
        <w:rPr>
          <w:rFonts w:ascii="方正仿宋_GBK" w:hAnsi="仿宋_GB2312" w:eastAsia="方正仿宋_GBK" w:cs="仿宋_GB2312"/>
          <w:sz w:val="32"/>
          <w:szCs w:val="32"/>
        </w:rPr>
      </w:pPr>
      <w:r>
        <w:rPr>
          <w:rFonts w:hint="eastAsia" w:ascii="方正仿宋_GBK" w:hAnsi="仿宋_GB2312" w:eastAsia="方正仿宋_GBK" w:cs="仿宋_GB2312"/>
          <w:sz w:val="32"/>
          <w:szCs w:val="32"/>
        </w:rPr>
        <w:t>按照《中共重庆市綦江区委教育工作委员会重庆市綦江区教育委员会关于重新明确教育系统中小学幼儿园内设机构数量和中层干部职数的通知》（</w:t>
      </w:r>
      <w:r>
        <w:rPr>
          <w:rFonts w:hint="eastAsia" w:ascii="方正仿宋_GBK" w:hAnsi="Times New Roman" w:eastAsia="方正仿宋_GBK" w:cs="Times New Roman"/>
          <w:sz w:val="32"/>
          <w:szCs w:val="32"/>
        </w:rPr>
        <w:t>綦教工委〔2021〕59号</w:t>
      </w:r>
      <w:r>
        <w:rPr>
          <w:rFonts w:hint="eastAsia" w:ascii="方正仿宋_GBK" w:hAnsi="仿宋_GB2312" w:eastAsia="方正仿宋_GBK" w:cs="仿宋_GB2312"/>
          <w:sz w:val="32"/>
          <w:szCs w:val="32"/>
        </w:rPr>
        <w:t>）文件，本单位属事业单位，内设机构5个，分别为教导处、德育处、安保处、教科研处、</w:t>
      </w:r>
      <w:r>
        <w:rPr>
          <w:rFonts w:ascii="方正仿宋_GBK" w:hAnsi="仿宋_GB2312" w:eastAsia="方正仿宋_GBK" w:cs="仿宋_GB2312"/>
          <w:sz w:val="32"/>
          <w:szCs w:val="32"/>
        </w:rPr>
        <w:t>园务处</w:t>
      </w:r>
      <w:r>
        <w:rPr>
          <w:rFonts w:hint="eastAsia" w:ascii="方正仿宋_GBK" w:hAnsi="仿宋_GB2312" w:eastAsia="方正仿宋_GBK" w:cs="仿宋_GB2312"/>
          <w:sz w:val="32"/>
          <w:szCs w:val="32"/>
        </w:rPr>
        <w:t>。</w:t>
      </w:r>
    </w:p>
    <w:p w14:paraId="5D2C5DD2">
      <w:pPr>
        <w:pStyle w:val="4"/>
        <w:spacing w:line="600" w:lineRule="exact"/>
        <w:rPr>
          <w:rStyle w:val="8"/>
          <w:rFonts w:hint="eastAsia" w:ascii="方正楷体_GBK" w:eastAsia="方正楷体_GBK" w:hAnsiTheme="minorHAnsi" w:cstheme="minorBidi"/>
          <w:kern w:val="2"/>
          <w:sz w:val="32"/>
          <w:szCs w:val="32"/>
        </w:rPr>
      </w:pPr>
      <w:r>
        <w:rPr>
          <w:rFonts w:hint="eastAsia"/>
          <w:sz w:val="27"/>
          <w:szCs w:val="27"/>
        </w:rPr>
        <w:t xml:space="preserve">  </w:t>
      </w:r>
      <w:r>
        <w:rPr>
          <w:rStyle w:val="8"/>
          <w:rFonts w:hint="eastAsia" w:ascii="方正楷体_GBK" w:eastAsia="方正楷体_GBK" w:hAnsiTheme="minorHAnsi" w:cstheme="minorBidi"/>
          <w:kern w:val="2"/>
          <w:sz w:val="32"/>
          <w:szCs w:val="32"/>
        </w:rPr>
        <w:t>（三）单位构成</w:t>
      </w:r>
    </w:p>
    <w:p w14:paraId="5A2E4AA9">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本单位是重庆市綦江区教育委员会下属二级预算单位，无下级预算单位。我单位</w:t>
      </w:r>
      <w:r>
        <w:rPr>
          <w:rFonts w:hint="eastAsia" w:ascii="方正仿宋_GBK" w:hAnsi="仿宋" w:eastAsia="方正仿宋_GBK"/>
          <w:sz w:val="32"/>
          <w:szCs w:val="32"/>
        </w:rPr>
        <w:t>2020年年末有在职教职工</w:t>
      </w:r>
      <w:r>
        <w:rPr>
          <w:rFonts w:ascii="方正仿宋_GBK" w:hAnsi="仿宋" w:eastAsia="方正仿宋_GBK"/>
          <w:sz w:val="32"/>
          <w:szCs w:val="32"/>
        </w:rPr>
        <w:t>98</w:t>
      </w:r>
      <w:r>
        <w:rPr>
          <w:rFonts w:hint="eastAsia" w:ascii="方正仿宋_GBK" w:hAnsi="仿宋" w:eastAsia="方正仿宋_GBK"/>
          <w:sz w:val="32"/>
          <w:szCs w:val="32"/>
        </w:rPr>
        <w:t>人，学生</w:t>
      </w:r>
      <w:r>
        <w:rPr>
          <w:rFonts w:ascii="方正仿宋_GBK" w:hAnsi="仿宋" w:eastAsia="方正仿宋_GBK"/>
          <w:sz w:val="32"/>
          <w:szCs w:val="32"/>
        </w:rPr>
        <w:t>1422</w:t>
      </w:r>
      <w:r>
        <w:rPr>
          <w:rFonts w:hint="eastAsia" w:ascii="方正仿宋_GBK" w:hAnsi="仿宋" w:eastAsia="方正仿宋_GBK"/>
          <w:sz w:val="32"/>
          <w:szCs w:val="32"/>
        </w:rPr>
        <w:t>人。</w:t>
      </w:r>
    </w:p>
    <w:p w14:paraId="136C8694">
      <w:pPr>
        <w:pStyle w:val="4"/>
        <w:spacing w:line="600" w:lineRule="exact"/>
        <w:rPr>
          <w:rStyle w:val="8"/>
          <w:rFonts w:ascii="方正黑体_GBK" w:eastAsia="方正黑体_GBK"/>
          <w:sz w:val="32"/>
          <w:szCs w:val="32"/>
        </w:rPr>
      </w:pPr>
      <w:r>
        <w:rPr>
          <w:rStyle w:val="8"/>
          <w:rFonts w:hint="eastAsia" w:ascii="方正黑体_GBK" w:eastAsia="方正黑体_GBK"/>
          <w:sz w:val="32"/>
          <w:szCs w:val="32"/>
        </w:rPr>
        <w:t>二、部门决算情况说明</w:t>
      </w:r>
    </w:p>
    <w:p w14:paraId="300736FA">
      <w:pPr>
        <w:pStyle w:val="4"/>
        <w:spacing w:line="600" w:lineRule="exact"/>
        <w:ind w:firstLine="643" w:firstLineChars="200"/>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（一）收入支出决算总体情况说明</w:t>
      </w:r>
    </w:p>
    <w:p w14:paraId="27DD2DED">
      <w:pPr>
        <w:pStyle w:val="4"/>
        <w:spacing w:line="600" w:lineRule="exact"/>
        <w:ind w:firstLine="643" w:firstLineChars="200"/>
        <w:rPr>
          <w:rFonts w:ascii="方正仿宋_GBK" w:eastAsia="方正仿宋_GBK"/>
          <w:sz w:val="32"/>
          <w:szCs w:val="32"/>
        </w:rPr>
      </w:pPr>
      <w:r>
        <w:rPr>
          <w:rFonts w:hint="eastAsia" w:ascii="方正仿宋_GBK" w:eastAsia="方正仿宋_GBK"/>
          <w:b/>
          <w:bCs/>
          <w:sz w:val="32"/>
          <w:szCs w:val="32"/>
        </w:rPr>
        <w:t>1.总体情况</w:t>
      </w:r>
      <w:r>
        <w:rPr>
          <w:rFonts w:hint="eastAsia" w:ascii="方正仿宋_GBK" w:eastAsia="方正仿宋_GBK"/>
          <w:sz w:val="32"/>
          <w:szCs w:val="32"/>
        </w:rPr>
        <w:t>。2020年度收入总计2,572.82万元，支出总计2,572.82万元。收支较上年决算数增加197.28万元、增长8.3%，</w:t>
      </w:r>
      <w:r>
        <w:rPr>
          <w:rFonts w:hint="eastAsia" w:ascii="方正仿宋_GBK" w:eastAsia="方正仿宋_GBK"/>
          <w:sz w:val="32"/>
          <w:szCs w:val="32"/>
          <w:lang w:eastAsia="zh-CN"/>
        </w:rPr>
        <w:t>主要原因是</w:t>
      </w:r>
      <w:r>
        <w:rPr>
          <w:rFonts w:hint="eastAsia" w:ascii="方正仿宋_GBK" w:eastAsia="方正仿宋_GBK"/>
          <w:sz w:val="32"/>
          <w:szCs w:val="32"/>
        </w:rPr>
        <w:t>教育支出中的人员经费增加</w:t>
      </w:r>
      <w:r>
        <w:rPr>
          <w:rFonts w:ascii="方正仿宋_GBK" w:eastAsia="方正仿宋_GBK"/>
          <w:sz w:val="32"/>
          <w:szCs w:val="32"/>
        </w:rPr>
        <w:t>231.01</w:t>
      </w:r>
      <w:r>
        <w:rPr>
          <w:rFonts w:hint="eastAsia" w:ascii="方正仿宋_GBK" w:eastAsia="方正仿宋_GBK"/>
          <w:sz w:val="32"/>
          <w:szCs w:val="32"/>
        </w:rPr>
        <w:t>万元，增加原因主要补发2018年目标考核奖和2019年目标考核奖标准提高。以</w:t>
      </w:r>
      <w:r>
        <w:rPr>
          <w:rFonts w:ascii="方正仿宋_GBK" w:eastAsia="方正仿宋_GBK"/>
          <w:sz w:val="32"/>
          <w:szCs w:val="32"/>
        </w:rPr>
        <w:t>及项目支出增加</w:t>
      </w:r>
      <w:r>
        <w:rPr>
          <w:rFonts w:hint="eastAsia" w:ascii="方正仿宋_GBK" w:eastAsia="方正仿宋_GBK"/>
          <w:sz w:val="32"/>
          <w:szCs w:val="32"/>
        </w:rPr>
        <w:t>21.5万元</w:t>
      </w:r>
      <w:r>
        <w:rPr>
          <w:rFonts w:ascii="方正仿宋_GBK" w:eastAsia="方正仿宋_GBK"/>
          <w:sz w:val="32"/>
          <w:szCs w:val="32"/>
        </w:rPr>
        <w:t>。</w:t>
      </w:r>
    </w:p>
    <w:p w14:paraId="16E004B6">
      <w:pPr>
        <w:pStyle w:val="4"/>
        <w:spacing w:line="600" w:lineRule="exact"/>
        <w:ind w:firstLine="643" w:firstLineChars="200"/>
        <w:rPr>
          <w:rFonts w:ascii="方正仿宋_GBK" w:eastAsia="方正仿宋_GBK"/>
          <w:sz w:val="32"/>
          <w:szCs w:val="32"/>
        </w:rPr>
      </w:pPr>
      <w:r>
        <w:rPr>
          <w:rFonts w:hint="eastAsia" w:ascii="方正仿宋_GBK" w:eastAsia="方正仿宋_GBK"/>
          <w:b/>
          <w:bCs/>
          <w:sz w:val="32"/>
          <w:szCs w:val="32"/>
        </w:rPr>
        <w:t>2.收入情况。</w:t>
      </w:r>
      <w:r>
        <w:rPr>
          <w:rFonts w:hint="eastAsia" w:ascii="方正仿宋_GBK" w:eastAsia="方正仿宋_GBK"/>
          <w:sz w:val="32"/>
          <w:szCs w:val="32"/>
        </w:rPr>
        <w:t>2020年度收入合计2,188.28万元，较上年决算数增加32.29万元，增长1.5%，</w:t>
      </w:r>
      <w:r>
        <w:rPr>
          <w:rFonts w:hint="eastAsia" w:ascii="方正仿宋_GBK" w:eastAsia="方正仿宋_GBK"/>
          <w:sz w:val="32"/>
          <w:szCs w:val="32"/>
          <w:lang w:eastAsia="zh-CN"/>
        </w:rPr>
        <w:t>主要原因是</w:t>
      </w:r>
      <w:r>
        <w:rPr>
          <w:rFonts w:hint="eastAsia" w:ascii="方正仿宋_GBK" w:eastAsia="方正仿宋_GBK"/>
          <w:sz w:val="32"/>
          <w:szCs w:val="32"/>
        </w:rPr>
        <w:t>补发2018年目标考核奖和2019年目标考核奖标准提高。其中：财政拨款收入2,156.94万元，占98.6%；事业收入31.34万元，占1.4%；年初结转和结余384.54万元。</w:t>
      </w:r>
    </w:p>
    <w:p w14:paraId="00A9B814">
      <w:pPr>
        <w:pStyle w:val="4"/>
        <w:spacing w:line="600" w:lineRule="exact"/>
        <w:ind w:firstLine="643" w:firstLineChars="200"/>
        <w:rPr>
          <w:rFonts w:ascii="方正仿宋_GBK" w:eastAsia="方正仿宋_GBK"/>
          <w:sz w:val="32"/>
          <w:szCs w:val="32"/>
        </w:rPr>
      </w:pPr>
      <w:r>
        <w:rPr>
          <w:rFonts w:hint="eastAsia" w:ascii="方正仿宋_GBK" w:eastAsia="方正仿宋_GBK"/>
          <w:b/>
          <w:bCs/>
          <w:sz w:val="32"/>
          <w:szCs w:val="32"/>
        </w:rPr>
        <w:t>3.支出情况。</w:t>
      </w:r>
      <w:r>
        <w:rPr>
          <w:rFonts w:hint="eastAsia" w:ascii="方正仿宋_GBK" w:eastAsia="方正仿宋_GBK"/>
          <w:sz w:val="32"/>
          <w:szCs w:val="32"/>
        </w:rPr>
        <w:t>2020年度支出合计2,433.32万元，较上年决算数增加240.13万元，增长10.9%，</w:t>
      </w:r>
      <w:r>
        <w:rPr>
          <w:rFonts w:hint="eastAsia" w:ascii="方正仿宋_GBK" w:eastAsia="方正仿宋_GBK"/>
          <w:sz w:val="32"/>
          <w:szCs w:val="32"/>
          <w:lang w:eastAsia="zh-CN"/>
        </w:rPr>
        <w:t>主要原因是</w:t>
      </w:r>
      <w:r>
        <w:rPr>
          <w:rFonts w:hint="eastAsia" w:ascii="方正仿宋_GBK" w:eastAsia="方正仿宋_GBK"/>
          <w:sz w:val="32"/>
          <w:szCs w:val="32"/>
        </w:rPr>
        <w:t>补发2018年目标考核奖和2019年目标考核奖标准提高。其中：基本支出2,226.98万元，占91.5%；项目支出206.34万元，占8.5%。</w:t>
      </w:r>
    </w:p>
    <w:p w14:paraId="5F970D3E">
      <w:pPr>
        <w:pStyle w:val="4"/>
        <w:spacing w:line="600" w:lineRule="exact"/>
        <w:ind w:firstLine="643" w:firstLineChars="200"/>
        <w:rPr>
          <w:rFonts w:ascii="方正仿宋_GBK" w:eastAsia="方正仿宋_GBK"/>
          <w:sz w:val="32"/>
          <w:szCs w:val="32"/>
        </w:rPr>
      </w:pPr>
      <w:r>
        <w:rPr>
          <w:rFonts w:hint="eastAsia" w:ascii="方正仿宋_GBK" w:eastAsia="方正仿宋_GBK"/>
          <w:b/>
          <w:bCs/>
          <w:sz w:val="32"/>
          <w:szCs w:val="32"/>
        </w:rPr>
        <w:t>4.结转结余情况。</w:t>
      </w:r>
      <w:r>
        <w:rPr>
          <w:rFonts w:hint="eastAsia" w:ascii="方正仿宋_GBK" w:eastAsia="方正仿宋_GBK"/>
          <w:sz w:val="32"/>
          <w:szCs w:val="32"/>
        </w:rPr>
        <w:t>2020年度年末结转和结余139.50万元，较上年决算数减少42.85万元，下降23.5%，</w:t>
      </w:r>
      <w:r>
        <w:rPr>
          <w:rFonts w:hint="eastAsia" w:ascii="方正仿宋_GBK" w:eastAsia="方正仿宋_GBK"/>
          <w:sz w:val="32"/>
          <w:szCs w:val="32"/>
          <w:lang w:eastAsia="zh-CN"/>
        </w:rPr>
        <w:t>主要原因是</w:t>
      </w:r>
      <w:r>
        <w:rPr>
          <w:rFonts w:hint="eastAsia" w:ascii="方正仿宋_GBK" w:eastAsia="方正仿宋_GBK"/>
          <w:sz w:val="32"/>
          <w:szCs w:val="32"/>
        </w:rPr>
        <w:t>今年除未统发绩效工资（40%）外，其余财政全部收回。</w:t>
      </w:r>
    </w:p>
    <w:p w14:paraId="44EC8119">
      <w:pPr>
        <w:pStyle w:val="4"/>
        <w:spacing w:line="600" w:lineRule="exact"/>
        <w:ind w:firstLine="643" w:firstLineChars="200"/>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（二）财政拨款收入支出决算总体情况说明</w:t>
      </w:r>
    </w:p>
    <w:p w14:paraId="05A662FF">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2020年度财政拨款收、支总计2,541.48万元。与2019年相比，财政拨款收、支总计各增加242.71万元，增长10.6%。</w:t>
      </w:r>
      <w:r>
        <w:rPr>
          <w:rFonts w:hint="eastAsia" w:ascii="方正仿宋_GBK" w:eastAsia="方正仿宋_GBK"/>
          <w:sz w:val="32"/>
          <w:szCs w:val="32"/>
          <w:lang w:eastAsia="zh-CN"/>
        </w:rPr>
        <w:t>主要原因是</w:t>
      </w:r>
      <w:r>
        <w:rPr>
          <w:rFonts w:hint="eastAsia" w:ascii="方正仿宋_GBK" w:eastAsia="方正仿宋_GBK"/>
          <w:sz w:val="32"/>
          <w:szCs w:val="32"/>
        </w:rPr>
        <w:t>补发2018年目标考核奖和2019年目标考核奖标准提高。</w:t>
      </w:r>
    </w:p>
    <w:p w14:paraId="694AC3D1">
      <w:pPr>
        <w:pStyle w:val="4"/>
        <w:spacing w:line="600" w:lineRule="exact"/>
        <w:ind w:firstLine="643" w:firstLineChars="200"/>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（三）一般公共预算财政拨款支出决算情况说明</w:t>
      </w:r>
    </w:p>
    <w:p w14:paraId="6CC24474">
      <w:pPr>
        <w:pStyle w:val="4"/>
        <w:spacing w:line="600" w:lineRule="exact"/>
        <w:ind w:firstLine="643" w:firstLineChars="200"/>
        <w:rPr>
          <w:rFonts w:ascii="方正仿宋_GBK" w:eastAsia="方正仿宋_GBK"/>
          <w:sz w:val="32"/>
          <w:szCs w:val="32"/>
        </w:rPr>
      </w:pPr>
      <w:r>
        <w:rPr>
          <w:rFonts w:hint="eastAsia" w:ascii="方正仿宋_GBK" w:eastAsia="方正仿宋_GBK"/>
          <w:b/>
          <w:bCs/>
          <w:sz w:val="32"/>
          <w:szCs w:val="32"/>
        </w:rPr>
        <w:t>1.收入情况。</w:t>
      </w:r>
      <w:r>
        <w:rPr>
          <w:rFonts w:hint="eastAsia" w:ascii="方正仿宋_GBK" w:eastAsia="方正仿宋_GBK"/>
          <w:sz w:val="32"/>
          <w:szCs w:val="32"/>
        </w:rPr>
        <w:t>2020年度一般公共预算财政拨款收入2,149.44万元，较上年决算数增加75.22万元，增长3.6%。主要原因是补发2018年目标考核奖和2019年目标考核奖标准提高。较年初预算数增加234.94万元，增长12.3%。主要原因是补发2018年目标考核奖和2019年目标考核奖标准提高。此外，年初财政拨款结转和结余384.54万元。</w:t>
      </w:r>
    </w:p>
    <w:p w14:paraId="08FFB758">
      <w:pPr>
        <w:pStyle w:val="4"/>
        <w:spacing w:line="600" w:lineRule="exact"/>
        <w:ind w:firstLine="643" w:firstLineChars="200"/>
        <w:rPr>
          <w:rFonts w:ascii="方正仿宋_GBK" w:eastAsia="方正仿宋_GBK"/>
          <w:sz w:val="32"/>
          <w:szCs w:val="32"/>
        </w:rPr>
      </w:pPr>
      <w:r>
        <w:rPr>
          <w:rFonts w:hint="eastAsia" w:ascii="方正仿宋_GBK" w:eastAsia="方正仿宋_GBK"/>
          <w:b/>
          <w:bCs/>
          <w:sz w:val="32"/>
          <w:szCs w:val="32"/>
        </w:rPr>
        <w:t>2.支出情况。</w:t>
      </w:r>
      <w:r>
        <w:rPr>
          <w:rFonts w:hint="eastAsia" w:ascii="方正仿宋_GBK" w:eastAsia="方正仿宋_GBK"/>
          <w:sz w:val="32"/>
          <w:szCs w:val="32"/>
        </w:rPr>
        <w:t>2020年度一般公共预算财政拨款支出2,396.97万元，较上年决算数增加285.55万元，增长13.5%。主要原因是补发2018年目标考核奖和2019年目标考核奖标准提高。较年初预算数增加300.12万元，增长14.3%。主要原因是补发2018年目标考核奖和2019年目标考核奖标准提高，另2020年有</w:t>
      </w:r>
      <w:r>
        <w:rPr>
          <w:rFonts w:ascii="方正仿宋_GBK" w:eastAsia="方正仿宋_GBK"/>
          <w:sz w:val="32"/>
          <w:szCs w:val="32"/>
        </w:rPr>
        <w:t>18.5</w:t>
      </w:r>
      <w:r>
        <w:rPr>
          <w:rFonts w:hint="eastAsia" w:ascii="方正仿宋_GBK" w:eastAsia="方正仿宋_GBK"/>
          <w:sz w:val="32"/>
          <w:szCs w:val="32"/>
        </w:rPr>
        <w:t>万的教学楼</w:t>
      </w:r>
      <w:r>
        <w:rPr>
          <w:rFonts w:ascii="方正仿宋_GBK" w:eastAsia="方正仿宋_GBK"/>
          <w:sz w:val="32"/>
          <w:szCs w:val="32"/>
        </w:rPr>
        <w:t>门窗更</w:t>
      </w:r>
      <w:r>
        <w:rPr>
          <w:rFonts w:hint="eastAsia" w:ascii="方正仿宋_GBK" w:eastAsia="方正仿宋_GBK"/>
          <w:sz w:val="32"/>
          <w:szCs w:val="32"/>
        </w:rPr>
        <w:t>换改造资金等。</w:t>
      </w:r>
    </w:p>
    <w:p w14:paraId="0704A5B2">
      <w:pPr>
        <w:pStyle w:val="4"/>
        <w:spacing w:line="600" w:lineRule="exact"/>
        <w:ind w:firstLine="643" w:firstLineChars="200"/>
        <w:rPr>
          <w:rFonts w:ascii="方正仿宋_GBK" w:eastAsia="方正仿宋_GBK"/>
          <w:sz w:val="32"/>
          <w:szCs w:val="32"/>
        </w:rPr>
      </w:pPr>
      <w:r>
        <w:rPr>
          <w:rFonts w:hint="eastAsia" w:ascii="方正仿宋_GBK" w:eastAsia="方正仿宋_GBK"/>
          <w:b/>
          <w:bCs/>
          <w:sz w:val="32"/>
          <w:szCs w:val="32"/>
        </w:rPr>
        <w:t>3.结转结余情况。</w:t>
      </w:r>
      <w:r>
        <w:rPr>
          <w:rFonts w:hint="eastAsia" w:ascii="方正仿宋_GBK" w:eastAsia="方正仿宋_GBK"/>
          <w:sz w:val="32"/>
          <w:szCs w:val="32"/>
        </w:rPr>
        <w:t>2020年度年末一般公共预算财政拨款结转和结余137.00万元，较上年决算数减少45.35万元，下降24.9%，主要原因是今年除未统发绩效工资（40%）外，其余财政全部收回。</w:t>
      </w:r>
    </w:p>
    <w:p w14:paraId="024B1571">
      <w:pPr>
        <w:pStyle w:val="4"/>
        <w:spacing w:line="600" w:lineRule="exact"/>
        <w:ind w:firstLine="643" w:firstLineChars="200"/>
        <w:rPr>
          <w:rFonts w:ascii="方正仿宋_GBK" w:eastAsia="方正仿宋_GBK"/>
          <w:sz w:val="32"/>
          <w:szCs w:val="32"/>
        </w:rPr>
      </w:pPr>
      <w:r>
        <w:rPr>
          <w:rFonts w:hint="eastAsia" w:ascii="方正仿宋_GBK" w:eastAsia="方正仿宋_GBK"/>
          <w:b/>
          <w:bCs/>
          <w:sz w:val="32"/>
          <w:szCs w:val="32"/>
        </w:rPr>
        <w:t>4.比较情况</w:t>
      </w:r>
      <w:r>
        <w:rPr>
          <w:rFonts w:hint="eastAsia" w:ascii="方正仿宋_GBK" w:eastAsia="方正仿宋_GBK"/>
          <w:sz w:val="32"/>
          <w:szCs w:val="32"/>
        </w:rPr>
        <w:t>。本部门2020年度一般公共预算财政拨款支出主要用于以下几个方面：</w:t>
      </w:r>
    </w:p>
    <w:p w14:paraId="2CD5231D">
      <w:pPr>
        <w:widowControl/>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（1）教育支出1,733.32万元，占72.3%，较年初预算数增加184.99万元，增长11.9%，主要原因是补发2018年目标考核奖和2019年目标考核奖标准提高。</w:t>
      </w:r>
    </w:p>
    <w:p w14:paraId="178BA0E8">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w:t>
      </w:r>
      <w:r>
        <w:rPr>
          <w:rFonts w:ascii="方正仿宋_GBK" w:eastAsia="方正仿宋_GBK"/>
          <w:sz w:val="32"/>
          <w:szCs w:val="32"/>
        </w:rPr>
        <w:t>2</w:t>
      </w:r>
      <w:r>
        <w:rPr>
          <w:rFonts w:hint="eastAsia" w:ascii="方正仿宋_GBK" w:eastAsia="方正仿宋_GBK"/>
          <w:sz w:val="32"/>
          <w:szCs w:val="32"/>
        </w:rPr>
        <w:t>）社会保障与就业支出445.09万元，占18.6%，较年初预算数增加109.59万元，增长32.7%，主要原因是增人增资使社会保障与就业费用增加。</w:t>
      </w:r>
    </w:p>
    <w:p w14:paraId="2F5E8103">
      <w:pPr>
        <w:widowControl/>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w:t>
      </w:r>
      <w:r>
        <w:rPr>
          <w:rFonts w:ascii="方正仿宋_GBK" w:hAnsi="宋体" w:eastAsia="方正仿宋_GBK" w:cs="宋体"/>
          <w:kern w:val="0"/>
          <w:sz w:val="32"/>
          <w:szCs w:val="32"/>
        </w:rPr>
        <w:t>3</w:t>
      </w:r>
      <w:r>
        <w:rPr>
          <w:rFonts w:hint="eastAsia" w:ascii="方正仿宋_GBK" w:hAnsi="宋体" w:eastAsia="方正仿宋_GBK" w:cs="宋体"/>
          <w:kern w:val="0"/>
          <w:sz w:val="32"/>
          <w:szCs w:val="32"/>
        </w:rPr>
        <w:t>）卫生健康支出118.07万元，占4.9%，较年初预算数增加2.45万元，增长2.1%，主要原因是增人增资使卫生健康缴费支出增加。</w:t>
      </w:r>
    </w:p>
    <w:p w14:paraId="0D067366">
      <w:pPr>
        <w:widowControl/>
        <w:spacing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w:t>
      </w:r>
      <w:r>
        <w:rPr>
          <w:rFonts w:ascii="方正仿宋_GBK" w:hAnsi="宋体" w:eastAsia="方正仿宋_GBK" w:cs="宋体"/>
          <w:kern w:val="0"/>
          <w:sz w:val="32"/>
          <w:szCs w:val="32"/>
        </w:rPr>
        <w:t>4</w:t>
      </w:r>
      <w:r>
        <w:rPr>
          <w:rFonts w:hint="eastAsia" w:ascii="方正仿宋_GBK" w:hAnsi="宋体" w:eastAsia="方正仿宋_GBK" w:cs="宋体"/>
          <w:kern w:val="0"/>
          <w:sz w:val="32"/>
          <w:szCs w:val="32"/>
        </w:rPr>
        <w:t>）住房保障支出100.50万元，占4.2%，较年初预算数增加3.10万元，增长3.2%，主要原因是增人增资使住房保障支出增加。</w:t>
      </w:r>
    </w:p>
    <w:p w14:paraId="76D3C8A1">
      <w:pPr>
        <w:pStyle w:val="4"/>
        <w:spacing w:line="600" w:lineRule="exact"/>
        <w:ind w:firstLine="643" w:firstLineChars="200"/>
        <w:rPr>
          <w:rStyle w:val="8"/>
          <w:rFonts w:hint="eastAsia" w:ascii="方正楷体_GBK" w:eastAsia="方正楷体_GBK" w:hAnsiTheme="minorHAnsi" w:cstheme="minorBidi"/>
          <w:b w:val="0"/>
          <w:bCs w:val="0"/>
          <w:kern w:val="2"/>
          <w:sz w:val="32"/>
          <w:szCs w:val="32"/>
        </w:rPr>
      </w:pPr>
      <w:r>
        <w:rPr>
          <w:rStyle w:val="8"/>
          <w:rFonts w:hint="eastAsia" w:ascii="方正楷体_GBK" w:eastAsia="方正楷体_GBK" w:hAnsiTheme="minorHAnsi" w:cstheme="minorBidi"/>
          <w:kern w:val="2"/>
          <w:sz w:val="32"/>
          <w:szCs w:val="32"/>
        </w:rPr>
        <w:t>（四）一般公共预算财政拨款基本支出决算情况说明</w:t>
      </w:r>
    </w:p>
    <w:p w14:paraId="356E6066">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2020年度一般公共财政拨款基本支出2,226.98万元。其中：人员经费2,092.54万元，较上年决算数增加231.01万元，增长12.4%，主要原因是增人增资导致人员经费增加。人员经费用途主要包括支付在编教职工基本工资、绩效工资以及津补贴等。公用经费134.44万元，较上年决算数减少12.39万元，下降8.4%，主要原因是学生人数减少和2020年项目支出减少。公用经费用途主要包括支付办公费、水电费、差旅费、培训费</w:t>
      </w:r>
      <w:r>
        <w:rPr>
          <w:rFonts w:hint="eastAsia" w:ascii="方正仿宋_GBK" w:eastAsia="方正仿宋_GBK"/>
          <w:sz w:val="32"/>
          <w:szCs w:val="32"/>
          <w:lang w:eastAsia="zh-CN"/>
        </w:rPr>
        <w:t>等必需的</w:t>
      </w:r>
      <w:r>
        <w:rPr>
          <w:rFonts w:hint="eastAsia" w:ascii="方正仿宋_GBK" w:eastAsia="方正仿宋_GBK"/>
          <w:sz w:val="32"/>
          <w:szCs w:val="32"/>
        </w:rPr>
        <w:t>运转经费。</w:t>
      </w:r>
    </w:p>
    <w:p w14:paraId="38B6A4C9">
      <w:pPr>
        <w:pStyle w:val="4"/>
        <w:spacing w:line="600" w:lineRule="exact"/>
        <w:ind w:firstLine="643" w:firstLineChars="200"/>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（五）政府性基金预算收支决算情况说明</w:t>
      </w:r>
    </w:p>
    <w:p w14:paraId="6740A4C0">
      <w:pPr>
        <w:pStyle w:val="4"/>
        <w:spacing w:line="600" w:lineRule="exact"/>
        <w:ind w:firstLine="640" w:firstLineChars="200"/>
      </w:pPr>
      <w:r>
        <w:rPr>
          <w:rFonts w:hint="eastAsia" w:ascii="方正仿宋_GBK" w:eastAsia="方正仿宋_GBK"/>
          <w:sz w:val="32"/>
          <w:szCs w:val="32"/>
        </w:rPr>
        <w:t>2020年度政府性基金预算财政拨款年初结转结余0.00万元，年末结转结余2.50万元。本年收入7.50万元，较上年决算数增加2.50万元，增长50%，主要原因是增加了乡</w:t>
      </w:r>
      <w:r>
        <w:rPr>
          <w:rFonts w:ascii="方正仿宋_GBK" w:eastAsia="方正仿宋_GBK"/>
          <w:sz w:val="32"/>
          <w:szCs w:val="32"/>
        </w:rPr>
        <w:t>村少年宫考核资金</w:t>
      </w:r>
      <w:r>
        <w:rPr>
          <w:rFonts w:hint="eastAsia" w:ascii="方正仿宋_GBK" w:eastAsia="方正仿宋_GBK"/>
          <w:sz w:val="32"/>
          <w:szCs w:val="32"/>
        </w:rPr>
        <w:t>。</w:t>
      </w:r>
    </w:p>
    <w:p w14:paraId="4860F29E">
      <w:pPr>
        <w:pStyle w:val="4"/>
        <w:spacing w:line="600" w:lineRule="exact"/>
        <w:ind w:firstLine="643" w:firstLineChars="200"/>
        <w:rPr>
          <w:rFonts w:ascii="方正仿宋_GBK" w:eastAsia="方正仿宋_GBK"/>
          <w:sz w:val="32"/>
          <w:szCs w:val="32"/>
        </w:rPr>
      </w:pPr>
      <w:r>
        <w:rPr>
          <w:rStyle w:val="8"/>
          <w:rFonts w:hint="eastAsia" w:ascii="方正楷体_GBK" w:eastAsia="方正楷体_GBK" w:hAnsiTheme="minorHAnsi" w:cstheme="minorBidi"/>
          <w:kern w:val="2"/>
          <w:sz w:val="32"/>
          <w:szCs w:val="32"/>
        </w:rPr>
        <w:t>（六）国有资本经营预算财政拨款</w:t>
      </w:r>
      <w:r>
        <w:rPr>
          <w:rStyle w:val="8"/>
          <w:rFonts w:hint="eastAsia" w:ascii="方正楷体_GBK" w:eastAsia="方正楷体_GBK" w:hAnsiTheme="minorHAnsi" w:cstheme="minorBidi"/>
          <w:kern w:val="2"/>
          <w:sz w:val="32"/>
          <w:szCs w:val="32"/>
          <w:lang w:eastAsia="zh-CN"/>
        </w:rPr>
        <w:t>支出</w:t>
      </w:r>
      <w:r>
        <w:rPr>
          <w:rStyle w:val="8"/>
          <w:rFonts w:hint="eastAsia" w:ascii="方正楷体_GBK" w:eastAsia="方正楷体_GBK" w:hAnsiTheme="minorHAnsi" w:cstheme="minorBidi"/>
          <w:kern w:val="2"/>
          <w:sz w:val="32"/>
          <w:szCs w:val="32"/>
        </w:rPr>
        <w:t>决算情况说明。</w:t>
      </w:r>
      <w:r>
        <w:rPr>
          <w:rStyle w:val="8"/>
          <w:rFonts w:hint="eastAsia" w:ascii="方正楷体_GBK" w:eastAsia="方正楷体_GBK" w:hAnsiTheme="minorHAnsi" w:cstheme="minorBidi"/>
          <w:kern w:val="2"/>
          <w:sz w:val="32"/>
          <w:szCs w:val="32"/>
        </w:rPr>
        <w:br w:type="textWrapping"/>
      </w:r>
      <w:r>
        <w:rPr>
          <w:rFonts w:hint="eastAsia" w:ascii="方正仿宋_GBK" w:eastAsia="方正仿宋_GBK"/>
          <w:sz w:val="32"/>
          <w:szCs w:val="32"/>
        </w:rPr>
        <w:t>本单位2020年度无国有资本经营预算财政拨款支出。</w:t>
      </w:r>
    </w:p>
    <w:p w14:paraId="3F4B6860">
      <w:pPr>
        <w:pStyle w:val="4"/>
        <w:spacing w:line="600" w:lineRule="exact"/>
      </w:pPr>
      <w:r>
        <w:rPr>
          <w:rStyle w:val="8"/>
          <w:rFonts w:hint="eastAsia" w:ascii="方正黑体_GBK" w:eastAsia="方正黑体_GBK"/>
          <w:sz w:val="32"/>
          <w:szCs w:val="32"/>
        </w:rPr>
        <w:t>三、“三公”经费情况说明</w:t>
      </w:r>
    </w:p>
    <w:p w14:paraId="57A48C96">
      <w:pPr>
        <w:pStyle w:val="4"/>
        <w:spacing w:line="600" w:lineRule="exact"/>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（一）“三公”经费支出总体情况说明</w:t>
      </w:r>
    </w:p>
    <w:p w14:paraId="552A42AE">
      <w:pPr>
        <w:widowControl/>
        <w:spacing w:before="100" w:beforeAutospacing="1" w:after="100" w:afterAutospacing="1" w:line="600" w:lineRule="exact"/>
        <w:ind w:firstLine="640" w:firstLineChars="200"/>
        <w:jc w:val="left"/>
        <w:rPr>
          <w:rFonts w:ascii="方正仿宋_GBK" w:hAnsi="宋体" w:eastAsia="方正仿宋_GBK" w:cs="宋体"/>
          <w:kern w:val="0"/>
          <w:sz w:val="32"/>
          <w:szCs w:val="32"/>
        </w:rPr>
      </w:pPr>
      <w:r>
        <w:rPr>
          <w:rFonts w:hint="eastAsia" w:ascii="方正仿宋_GBK" w:hAnsi="宋体" w:eastAsia="方正仿宋_GBK" w:cs="宋体"/>
          <w:kern w:val="0"/>
          <w:sz w:val="32"/>
          <w:szCs w:val="32"/>
        </w:rPr>
        <w:t>2020年度“三公”经费支出共计0.00万元，较年初预算数增加0.00万元，增长0%。较上年支出数增加0.00万元，增长0%。</w:t>
      </w:r>
    </w:p>
    <w:p w14:paraId="359DFFB4">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宋体" w:eastAsia="方正仿宋_GBK" w:cs="宋体"/>
          <w:kern w:val="0"/>
          <w:sz w:val="32"/>
          <w:szCs w:val="32"/>
        </w:rPr>
        <w:t>本单位2020年度未发生因公出国（境）费用、公务车</w:t>
      </w:r>
      <w:r>
        <w:rPr>
          <w:rFonts w:hint="eastAsia" w:ascii="方正仿宋_GBK" w:hAnsi="仿宋" w:eastAsia="方正仿宋_GBK" w:cs="宋体"/>
          <w:kern w:val="0"/>
          <w:sz w:val="32"/>
          <w:szCs w:val="32"/>
        </w:rPr>
        <w:t>购置费、公务车运行维护费、公务接待费支出。</w:t>
      </w:r>
    </w:p>
    <w:p w14:paraId="7C14C465">
      <w:pPr>
        <w:pStyle w:val="4"/>
        <w:spacing w:line="600" w:lineRule="exact"/>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（二）“三公”经费分项支出情况</w:t>
      </w:r>
    </w:p>
    <w:p w14:paraId="6D16A055">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2020年度本部门因公出国（境）费用0.00万元。费用支出较年初预算数增加0.00万元，增长0%。较上年支出数增加0.00万元，增长0%。</w:t>
      </w:r>
    </w:p>
    <w:p w14:paraId="51FE9AF7">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本单位2020年度未发生因公出国（境）费用支出。</w:t>
      </w:r>
    </w:p>
    <w:p w14:paraId="1A7BE791">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公务车购置费0.00万元费用支出较年初预算数增加0.00万元，增长0%。较上年支出数增加0.00万元，增长0%。</w:t>
      </w:r>
    </w:p>
    <w:p w14:paraId="7A36E6E3">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本单位2020年度未发生公务车购置费支出。</w:t>
      </w:r>
    </w:p>
    <w:p w14:paraId="00E8BEBD">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公务车运行维护费0.00万元。费用支出较年初预算数增加0.00万元，增长0%。较上年支出数增加0.00万元，增长0%。</w:t>
      </w:r>
    </w:p>
    <w:p w14:paraId="4848D9E0">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本单位2020年度未发生公务车运行维护费支出。</w:t>
      </w:r>
    </w:p>
    <w:p w14:paraId="69C4EA6B">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公务接待费0.00万元。费用支出较年初预算数增加0.00万元，增长0%。较上年支出数增加0.00万元，增长0%。</w:t>
      </w:r>
    </w:p>
    <w:p w14:paraId="169C7F79">
      <w:pPr>
        <w:pStyle w:val="4"/>
        <w:spacing w:line="600" w:lineRule="exact"/>
        <w:rPr>
          <w:rFonts w:ascii="方正仿宋_GBK" w:hAnsi="仿宋" w:eastAsia="方正仿宋_GBK"/>
          <w:sz w:val="32"/>
          <w:szCs w:val="32"/>
        </w:rPr>
      </w:pPr>
      <w:r>
        <w:rPr>
          <w:rFonts w:hint="eastAsia" w:ascii="方正仿宋_GBK" w:hAnsi="仿宋" w:eastAsia="方正仿宋_GBK"/>
          <w:sz w:val="32"/>
          <w:szCs w:val="32"/>
        </w:rPr>
        <w:t>本单位2020年度未发生公务接待费支出。</w:t>
      </w:r>
    </w:p>
    <w:p w14:paraId="3210EA3C">
      <w:pPr>
        <w:pStyle w:val="4"/>
        <w:spacing w:line="600" w:lineRule="exact"/>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（三）“三公”经费实物量情况</w:t>
      </w:r>
    </w:p>
    <w:p w14:paraId="5512DE42">
      <w:pPr>
        <w:pStyle w:val="4"/>
        <w:spacing w:line="600" w:lineRule="exact"/>
        <w:ind w:firstLine="640" w:firstLineChars="200"/>
        <w:rPr>
          <w:rFonts w:ascii="方正仿宋_GBK" w:hAnsi="仿宋" w:eastAsia="方正仿宋_GBK"/>
          <w:sz w:val="32"/>
          <w:szCs w:val="32"/>
        </w:rPr>
      </w:pPr>
      <w:r>
        <w:rPr>
          <w:rFonts w:hint="eastAsia" w:ascii="方正仿宋_GBK" w:hAnsi="仿宋" w:eastAsia="方正仿宋_GBK"/>
          <w:sz w:val="32"/>
          <w:szCs w:val="32"/>
        </w:rPr>
        <w:t>2020年度本部门因公出国（境）共计0个团组，0人；公务用车购置0辆，公务车保有量为0辆；国内公务接待0批次0人，其中：国内外事接待0批次，0人；国（境）外公务接待0批次，0人。2020年本部门人均接待费0.00元，车均购置费0.00万元，车均维护费0.00万元。</w:t>
      </w:r>
    </w:p>
    <w:p w14:paraId="2C7258DD">
      <w:pPr>
        <w:pStyle w:val="4"/>
        <w:spacing w:line="600" w:lineRule="exact"/>
        <w:rPr>
          <w:rStyle w:val="8"/>
          <w:rFonts w:ascii="方正黑体_GBK" w:eastAsia="方正黑体_GBK"/>
          <w:sz w:val="32"/>
          <w:szCs w:val="32"/>
        </w:rPr>
      </w:pPr>
      <w:r>
        <w:rPr>
          <w:rStyle w:val="8"/>
          <w:rFonts w:hint="eastAsia" w:ascii="方正黑体_GBK" w:eastAsia="方正黑体_GBK"/>
          <w:sz w:val="32"/>
          <w:szCs w:val="32"/>
        </w:rPr>
        <w:t>四、其他需要说明的事项</w:t>
      </w:r>
    </w:p>
    <w:p w14:paraId="01F87F9C">
      <w:pPr>
        <w:pStyle w:val="4"/>
        <w:spacing w:line="600" w:lineRule="exact"/>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（一）机关运行经费情况说明</w:t>
      </w:r>
    </w:p>
    <w:p w14:paraId="0989FFEF">
      <w:pPr>
        <w:widowControl/>
        <w:spacing w:before="100" w:beforeAutospacing="1" w:after="100" w:afterAutospacing="1" w:line="600" w:lineRule="exact"/>
        <w:ind w:firstLine="640" w:firstLineChars="200"/>
        <w:jc w:val="left"/>
        <w:rPr>
          <w:rFonts w:ascii="方正仿宋_GBK" w:hAnsi="宋体" w:eastAsia="方正仿宋_GBK" w:cs="宋体"/>
          <w:kern w:val="0"/>
          <w:sz w:val="32"/>
          <w:szCs w:val="32"/>
        </w:rPr>
      </w:pPr>
      <w:r>
        <w:rPr>
          <w:rFonts w:hint="eastAsia" w:ascii="方正仿宋_GBK" w:hAnsi="仿宋" w:eastAsia="方正仿宋_GBK" w:cs="宋体"/>
          <w:kern w:val="0"/>
          <w:sz w:val="32"/>
          <w:szCs w:val="32"/>
        </w:rPr>
        <w:t>2020年度本部门机关运行经费支出0.00万元。机关运行</w:t>
      </w:r>
      <w:r>
        <w:rPr>
          <w:rFonts w:hint="eastAsia" w:ascii="方正仿宋_GBK" w:hAnsi="宋体" w:eastAsia="方正仿宋_GBK" w:cs="宋体"/>
          <w:kern w:val="0"/>
          <w:sz w:val="32"/>
          <w:szCs w:val="32"/>
        </w:rPr>
        <w:t>经费较上年决算数增加0.00万元，增长0%。</w:t>
      </w:r>
    </w:p>
    <w:p w14:paraId="2B127870">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按照部门决算列报口径，我单位不在机关运行经费统计范围之内。</w:t>
      </w:r>
    </w:p>
    <w:p w14:paraId="6B0B0B0B">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本年度会议费支出0.56万元，较上年决算数减少0.24万元，下降30%，主要原因是我单位严格执行</w:t>
      </w:r>
      <w:r>
        <w:rPr>
          <w:rFonts w:hint="eastAsia" w:ascii="方正仿宋_GBK" w:eastAsia="方正仿宋_GBK"/>
          <w:sz w:val="32"/>
          <w:szCs w:val="32"/>
          <w:lang w:eastAsia="zh-CN"/>
        </w:rPr>
        <w:t>中央</w:t>
      </w:r>
      <w:r>
        <w:rPr>
          <w:rFonts w:hint="eastAsia" w:ascii="方正仿宋_GBK" w:eastAsia="方正仿宋_GBK"/>
          <w:sz w:val="32"/>
          <w:szCs w:val="32"/>
        </w:rPr>
        <w:t>八项规定，厉行节约，大部分会议都是安排的食堂工作餐。本年度培训费支出3.06万元，较上年决算数减少4.78万元，下降61%，主要原因是</w:t>
      </w:r>
      <w:bookmarkStart w:id="0" w:name="_GoBack"/>
      <w:bookmarkEnd w:id="0"/>
      <w:r>
        <w:rPr>
          <w:rFonts w:hint="eastAsia" w:ascii="方正仿宋_GBK" w:eastAsia="方正仿宋_GBK"/>
          <w:sz w:val="32"/>
          <w:szCs w:val="32"/>
        </w:rPr>
        <w:t>疫情原因，主要开展线上培训，节约了培训成本。</w:t>
      </w:r>
    </w:p>
    <w:p w14:paraId="7ABBE267">
      <w:pPr>
        <w:pStyle w:val="4"/>
        <w:spacing w:line="600" w:lineRule="exact"/>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（二）国有资产占用情况说明</w:t>
      </w:r>
    </w:p>
    <w:p w14:paraId="6B14C260">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14:paraId="1A71F408">
      <w:pPr>
        <w:pStyle w:val="4"/>
        <w:spacing w:line="600" w:lineRule="exact"/>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（三）政府采购支出情况说明</w:t>
      </w:r>
    </w:p>
    <w:p w14:paraId="0C5FA8F4">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2020年度本部门政府采购支出总额0.00万元，其中：政府采购货物支出0.00万元、政府采购工程支出0.00万元、政府采购服务支出0.00万元。授予中小企业合同金额0.00万元，占政府采购支出总额的0%，其中：授予小微企业合同金额0.00万元，占政府采购支出总额的0%。</w:t>
      </w:r>
    </w:p>
    <w:p w14:paraId="52824792">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2020年度我单位未发生政府采购事项，无相关经费支出。</w:t>
      </w:r>
    </w:p>
    <w:p w14:paraId="422A370C">
      <w:pPr>
        <w:pStyle w:val="4"/>
        <w:spacing w:line="600" w:lineRule="exact"/>
        <w:rPr>
          <w:rStyle w:val="8"/>
          <w:rFonts w:ascii="方正黑体_GBK" w:eastAsia="方正黑体_GBK"/>
          <w:sz w:val="32"/>
          <w:szCs w:val="32"/>
        </w:rPr>
      </w:pPr>
      <w:r>
        <w:rPr>
          <w:rStyle w:val="8"/>
          <w:rFonts w:hint="eastAsia" w:ascii="方正黑体_GBK" w:eastAsia="方正黑体_GBK"/>
          <w:sz w:val="32"/>
          <w:szCs w:val="32"/>
        </w:rPr>
        <w:t>五、预算绩效管理情况说明</w:t>
      </w:r>
    </w:p>
    <w:p w14:paraId="396F8B13">
      <w:pPr>
        <w:pStyle w:val="4"/>
        <w:spacing w:line="600" w:lineRule="exact"/>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（一）预算绩效管理工作开展情况</w:t>
      </w:r>
    </w:p>
    <w:p w14:paraId="44150748">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根据预算绩效管理要求，本单位对单位整体和</w:t>
      </w:r>
      <w:r>
        <w:rPr>
          <w:rFonts w:ascii="方正仿宋_GBK" w:eastAsia="方正仿宋_GBK"/>
          <w:sz w:val="32"/>
          <w:szCs w:val="32"/>
        </w:rPr>
        <w:t>11</w:t>
      </w:r>
      <w:r>
        <w:rPr>
          <w:rFonts w:hint="eastAsia" w:ascii="方正仿宋_GBK" w:eastAsia="方正仿宋_GBK"/>
          <w:sz w:val="32"/>
          <w:szCs w:val="32"/>
        </w:rPr>
        <w:t>个项目开展了绩效自评，其中，以填报目标自评表形式开展自评</w:t>
      </w:r>
      <w:r>
        <w:rPr>
          <w:rFonts w:ascii="方正仿宋_GBK" w:eastAsia="方正仿宋_GBK"/>
          <w:sz w:val="32"/>
          <w:szCs w:val="32"/>
        </w:rPr>
        <w:t>11</w:t>
      </w:r>
      <w:r>
        <w:rPr>
          <w:rFonts w:hint="eastAsia" w:ascii="方正仿宋_GBK" w:eastAsia="方正仿宋_GBK"/>
          <w:sz w:val="32"/>
          <w:szCs w:val="32"/>
        </w:rPr>
        <w:t>项，涉及资金</w:t>
      </w:r>
      <w:r>
        <w:rPr>
          <w:rFonts w:ascii="方正仿宋_GBK" w:eastAsia="方正仿宋_GBK"/>
          <w:sz w:val="32"/>
          <w:szCs w:val="32"/>
        </w:rPr>
        <w:t>205.73</w:t>
      </w:r>
      <w:r>
        <w:rPr>
          <w:rFonts w:hint="eastAsia" w:ascii="方正仿宋_GBK" w:eastAsia="方正仿宋_GBK"/>
          <w:sz w:val="32"/>
          <w:szCs w:val="32"/>
        </w:rPr>
        <w:t>万元；以委托第三方形式开展绩效自评0项，涉及资金0万元。从评价情况来看，取得了很好的绩效，改善了学校的硬软件办学条件，促进了均衡教育。</w:t>
      </w:r>
    </w:p>
    <w:p w14:paraId="2F1B8209">
      <w:pPr>
        <w:pStyle w:val="4"/>
        <w:spacing w:line="600" w:lineRule="exact"/>
        <w:ind w:firstLine="640" w:firstLineChars="200"/>
        <w:rPr>
          <w:rFonts w:ascii="方正仿宋_GBK" w:eastAsia="方正仿宋_GBK"/>
          <w:sz w:val="32"/>
          <w:szCs w:val="32"/>
        </w:rPr>
      </w:pPr>
      <w:r>
        <w:rPr>
          <w:rFonts w:ascii="方正仿宋_GBK" w:eastAsia="方正仿宋_GBK"/>
          <w:sz w:val="32"/>
          <w:szCs w:val="32"/>
        </w:rPr>
        <w:t>1</w:t>
      </w:r>
      <w:r>
        <w:rPr>
          <w:rFonts w:hint="eastAsia" w:ascii="方正仿宋_GBK" w:eastAsia="方正仿宋_GBK"/>
          <w:sz w:val="32"/>
          <w:szCs w:val="32"/>
        </w:rPr>
        <w:t>、幼儿园户外活动场地改造，进行花台拆除、新建水槽、沙池、洗手池等，户外运动场地悬浮地板</w:t>
      </w:r>
      <w:r>
        <w:rPr>
          <w:rFonts w:ascii="方正仿宋_GBK" w:eastAsia="方正仿宋_GBK"/>
          <w:sz w:val="32"/>
          <w:szCs w:val="32"/>
        </w:rPr>
        <w:t>795平方米，各类玩具14515件。</w:t>
      </w:r>
    </w:p>
    <w:p w14:paraId="6F936A95">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2、幼儿园厕所改造，拆除便槽、洗手池、天棚抹灰层、平面块料、立面块料，浇筑洗手槽，墙面、地面防水、铺砖、隔断安装、排水安装等，中心校拆除及更换门窗。</w:t>
      </w:r>
    </w:p>
    <w:p w14:paraId="74DB36EA">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3、扶欢大石坂村小幼儿园改薄，幼儿园场地美化。</w:t>
      </w:r>
    </w:p>
    <w:p w14:paraId="6C131072">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4、</w:t>
      </w:r>
      <w:r>
        <w:rPr>
          <w:rFonts w:ascii="方正仿宋_GBK" w:eastAsia="方正仿宋_GBK"/>
          <w:sz w:val="32"/>
          <w:szCs w:val="32"/>
        </w:rPr>
        <w:t>2020年教育经费预算15%的教育教学设备采购，零星采购体育用品、办公用品等。</w:t>
      </w:r>
    </w:p>
    <w:p w14:paraId="209E7401">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5、</w:t>
      </w:r>
      <w:r>
        <w:rPr>
          <w:rFonts w:ascii="方正仿宋_GBK" w:eastAsia="方正仿宋_GBK"/>
          <w:sz w:val="32"/>
          <w:szCs w:val="32"/>
        </w:rPr>
        <w:t>2019年特殊教育补助专项资金（市级资金）调剂—资源室建设，针对特殊群体设置的一间多功能教室，完成装修。</w:t>
      </w:r>
    </w:p>
    <w:p w14:paraId="15040B57">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6、</w:t>
      </w:r>
      <w:r>
        <w:rPr>
          <w:rFonts w:ascii="方正仿宋_GBK" w:eastAsia="方正仿宋_GBK"/>
          <w:sz w:val="32"/>
          <w:szCs w:val="32"/>
        </w:rPr>
        <w:t>2020年乡村学校少年宫项目及运行补助资金—少年宫项目建设及运行补助，有5万元用于少年宫项目的设备采购及维修。有2</w:t>
      </w:r>
      <w:r>
        <w:rPr>
          <w:rFonts w:hint="eastAsia" w:ascii="方正仿宋_GBK" w:eastAsia="方正仿宋_GBK"/>
          <w:sz w:val="32"/>
          <w:szCs w:val="32"/>
        </w:rPr>
        <w:t>.5万元</w:t>
      </w:r>
      <w:r>
        <w:rPr>
          <w:rFonts w:ascii="方正仿宋_GBK" w:eastAsia="方正仿宋_GBK"/>
          <w:sz w:val="32"/>
          <w:szCs w:val="32"/>
        </w:rPr>
        <w:t>是年终述职考评补助资金未使用。</w:t>
      </w:r>
    </w:p>
    <w:p w14:paraId="595BDE67">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7、</w:t>
      </w:r>
      <w:r>
        <w:rPr>
          <w:rFonts w:ascii="方正仿宋_GBK" w:eastAsia="方正仿宋_GBK"/>
          <w:sz w:val="32"/>
          <w:szCs w:val="32"/>
        </w:rPr>
        <w:t>2019年义务教育薄弱环节改善与能力提升资金（中央资金）—岚垭村小厕所改造</w:t>
      </w:r>
      <w:r>
        <w:rPr>
          <w:rFonts w:hint="eastAsia" w:ascii="方正仿宋_GBK" w:eastAsia="方正仿宋_GBK"/>
          <w:sz w:val="32"/>
          <w:szCs w:val="32"/>
        </w:rPr>
        <w:t>。</w:t>
      </w:r>
    </w:p>
    <w:p w14:paraId="159B8002">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8、解决了学校</w:t>
      </w:r>
      <w:r>
        <w:rPr>
          <w:rFonts w:ascii="方正仿宋_GBK" w:eastAsia="方正仿宋_GBK"/>
          <w:sz w:val="32"/>
          <w:szCs w:val="32"/>
        </w:rPr>
        <w:t>13名乡村教师生活补助，促进教育均衡发展，保证乡村教师稳定率100%，达到“招得来，留得住，干得好”的效果</w:t>
      </w:r>
      <w:r>
        <w:rPr>
          <w:rFonts w:hint="eastAsia" w:ascii="方正仿宋_GBK" w:eastAsia="方正仿宋_GBK"/>
          <w:sz w:val="32"/>
          <w:szCs w:val="32"/>
        </w:rPr>
        <w:t>。</w:t>
      </w:r>
    </w:p>
    <w:p w14:paraId="069B05B4">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9、改善边远学生</w:t>
      </w:r>
      <w:r>
        <w:rPr>
          <w:rFonts w:ascii="方正仿宋_GBK" w:eastAsia="方正仿宋_GBK"/>
          <w:sz w:val="32"/>
          <w:szCs w:val="32"/>
        </w:rPr>
        <w:t>447人营养状况，增加午餐营养，降低营养不良检出率1.46%，促进中小学生健康发展，营养改善计划效果明显，得到社会充分肯定。</w:t>
      </w:r>
    </w:p>
    <w:p w14:paraId="45F99B2F">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10、解决了春期学校</w:t>
      </w:r>
      <w:r>
        <w:rPr>
          <w:rFonts w:ascii="方正仿宋_GBK" w:eastAsia="方正仿宋_GBK"/>
          <w:sz w:val="32"/>
          <w:szCs w:val="32"/>
        </w:rPr>
        <w:t>54名寄宿学生的生活费用，每人每月500元，非寄学生51人，每期600元，爱心午餐85人，每期250元。秋期学校38名寄宿学生的生活费用，每人每月500元，非寄学生45人，每期600元，爱心午餐75人，每期250元。促进教育公平和社会和谐，保证贫困学生不能因贫失学。</w:t>
      </w:r>
    </w:p>
    <w:p w14:paraId="15DF6C48">
      <w:pPr>
        <w:pStyle w:val="4"/>
        <w:spacing w:line="600" w:lineRule="exact"/>
        <w:ind w:firstLine="640" w:firstLineChars="200"/>
        <w:rPr>
          <w:rFonts w:ascii="方正仿宋_GBK" w:eastAsia="方正仿宋_GBK"/>
          <w:sz w:val="32"/>
          <w:szCs w:val="32"/>
        </w:rPr>
      </w:pPr>
      <w:r>
        <w:rPr>
          <w:rFonts w:hint="eastAsia" w:ascii="方正仿宋_GBK" w:eastAsia="方正仿宋_GBK"/>
          <w:sz w:val="32"/>
          <w:szCs w:val="32"/>
        </w:rPr>
        <w:t>11、解决了学校幼儿园疫情期间</w:t>
      </w:r>
      <w:r>
        <w:rPr>
          <w:rFonts w:hint="eastAsia" w:ascii="方正仿宋_GBK" w:eastAsia="方正仿宋_GBK"/>
          <w:sz w:val="32"/>
          <w:szCs w:val="32"/>
          <w:lang w:eastAsia="zh-CN"/>
        </w:rPr>
        <w:t>－</w:t>
      </w:r>
      <w:r>
        <w:rPr>
          <w:rFonts w:ascii="方正仿宋_GBK" w:eastAsia="方正仿宋_GBK"/>
          <w:sz w:val="32"/>
          <w:szCs w:val="32"/>
        </w:rPr>
        <w:t>公办园因疫情影响，16名临聘人员工资补助</w:t>
      </w:r>
      <w:r>
        <w:rPr>
          <w:rFonts w:hint="eastAsia" w:ascii="方正仿宋_GBK" w:eastAsia="方正仿宋_GBK"/>
          <w:sz w:val="32"/>
          <w:szCs w:val="32"/>
        </w:rPr>
        <w:t>。</w:t>
      </w:r>
    </w:p>
    <w:p w14:paraId="3A4C3D15">
      <w:pPr>
        <w:pStyle w:val="4"/>
        <w:spacing w:line="600" w:lineRule="exact"/>
      </w:pPr>
    </w:p>
    <w:p w14:paraId="3442E04C">
      <w:pPr>
        <w:pStyle w:val="4"/>
        <w:spacing w:line="600" w:lineRule="exact"/>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（二）绩效自评结果</w:t>
      </w:r>
    </w:p>
    <w:p w14:paraId="353B1D7C">
      <w:pPr>
        <w:pStyle w:val="4"/>
        <w:spacing w:line="600" w:lineRule="exact"/>
        <w:rPr>
          <w:rFonts w:ascii="方正仿宋_GBK" w:eastAsia="方正仿宋_GBK"/>
          <w:b/>
          <w:bCs/>
          <w:sz w:val="32"/>
          <w:szCs w:val="32"/>
        </w:rPr>
      </w:pPr>
      <w:r>
        <w:rPr>
          <w:rFonts w:hint="eastAsia" w:ascii="方正仿宋_GBK" w:eastAsia="方正仿宋_GBK"/>
          <w:b/>
          <w:bCs/>
          <w:sz w:val="32"/>
          <w:szCs w:val="32"/>
        </w:rPr>
        <w:t>1.绩效自评表</w:t>
      </w:r>
    </w:p>
    <w:p w14:paraId="1784AF74">
      <w:pPr>
        <w:pStyle w:val="4"/>
        <w:spacing w:line="600" w:lineRule="exact"/>
        <w:jc w:val="center"/>
        <w:rPr>
          <w:rFonts w:ascii="方正仿宋_GBK" w:eastAsia="方正仿宋_GBK"/>
          <w:b/>
          <w:bCs/>
          <w:sz w:val="32"/>
          <w:szCs w:val="32"/>
        </w:rPr>
      </w:pPr>
      <w:r>
        <w:rPr>
          <w:rFonts w:hint="eastAsia" w:ascii="方正仿宋_GBK" w:eastAsia="方正仿宋_GBK"/>
          <w:b/>
          <w:bCs/>
          <w:sz w:val="32"/>
          <w:szCs w:val="32"/>
        </w:rPr>
        <w:t>2020年度整体支出绩效目标申报表</w:t>
      </w:r>
    </w:p>
    <w:p w14:paraId="789A4D9A">
      <w:pPr>
        <w:pStyle w:val="4"/>
        <w:spacing w:line="600" w:lineRule="exact"/>
        <w:rPr>
          <w:rFonts w:ascii="方正仿宋_GBK" w:eastAsia="方正仿宋_GBK"/>
          <w:bCs/>
          <w:sz w:val="32"/>
          <w:szCs w:val="32"/>
        </w:rPr>
      </w:pPr>
      <w:r>
        <w:rPr>
          <w:rFonts w:hint="eastAsia" w:ascii="方正仿宋_GBK" w:eastAsia="方正仿宋_GBK"/>
          <w:bCs/>
          <w:sz w:val="32"/>
          <w:szCs w:val="32"/>
        </w:rPr>
        <w:t>填报单位：重庆市綦江区扶欢小学</w:t>
      </w:r>
    </w:p>
    <w:tbl>
      <w:tblPr>
        <w:tblStyle w:val="5"/>
        <w:tblW w:w="8897" w:type="dxa"/>
        <w:tblInd w:w="0" w:type="dxa"/>
        <w:tblLayout w:type="fixed"/>
        <w:tblCellMar>
          <w:top w:w="0" w:type="dxa"/>
          <w:left w:w="108" w:type="dxa"/>
          <w:bottom w:w="0" w:type="dxa"/>
          <w:right w:w="108" w:type="dxa"/>
        </w:tblCellMar>
      </w:tblPr>
      <w:tblGrid>
        <w:gridCol w:w="521"/>
        <w:gridCol w:w="838"/>
        <w:gridCol w:w="167"/>
        <w:gridCol w:w="929"/>
        <w:gridCol w:w="1046"/>
        <w:gridCol w:w="1169"/>
        <w:gridCol w:w="628"/>
        <w:gridCol w:w="632"/>
        <w:gridCol w:w="824"/>
        <w:gridCol w:w="835"/>
        <w:gridCol w:w="646"/>
        <w:gridCol w:w="662"/>
      </w:tblGrid>
      <w:tr w14:paraId="75314A91">
        <w:tblPrEx>
          <w:tblCellMar>
            <w:top w:w="0" w:type="dxa"/>
            <w:left w:w="108" w:type="dxa"/>
            <w:bottom w:w="0" w:type="dxa"/>
            <w:right w:w="108" w:type="dxa"/>
          </w:tblCellMar>
        </w:tblPrEx>
        <w:trPr>
          <w:trHeight w:val="745" w:hRule="atLeast"/>
        </w:trPr>
        <w:tc>
          <w:tcPr>
            <w:tcW w:w="1359"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5376ADC4">
            <w:pPr>
              <w:widowControl/>
              <w:spacing w:line="40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总体资金情况（元）</w:t>
            </w:r>
          </w:p>
        </w:tc>
        <w:tc>
          <w:tcPr>
            <w:tcW w:w="1096" w:type="dxa"/>
            <w:gridSpan w:val="2"/>
            <w:vMerge w:val="restart"/>
            <w:tcBorders>
              <w:top w:val="nil"/>
              <w:left w:val="single" w:color="auto" w:sz="4" w:space="0"/>
              <w:bottom w:val="single" w:color="auto" w:sz="4" w:space="0"/>
              <w:right w:val="single" w:color="auto" w:sz="4" w:space="0"/>
            </w:tcBorders>
            <w:shd w:val="clear" w:color="000000" w:fill="FFFFFF"/>
            <w:vAlign w:val="center"/>
          </w:tcPr>
          <w:p w14:paraId="7747AF93">
            <w:pPr>
              <w:widowControl/>
              <w:spacing w:line="40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预算支出总额</w:t>
            </w:r>
          </w:p>
        </w:tc>
        <w:tc>
          <w:tcPr>
            <w:tcW w:w="3475" w:type="dxa"/>
            <w:gridSpan w:val="4"/>
            <w:tcBorders>
              <w:top w:val="nil"/>
              <w:left w:val="nil"/>
              <w:bottom w:val="single" w:color="auto" w:sz="4" w:space="0"/>
              <w:right w:val="single" w:color="auto" w:sz="4" w:space="0"/>
            </w:tcBorders>
            <w:shd w:val="clear" w:color="000000" w:fill="FFFFFF"/>
            <w:vAlign w:val="center"/>
          </w:tcPr>
          <w:p w14:paraId="4D38681C">
            <w:pPr>
              <w:widowControl/>
              <w:spacing w:line="40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基本支出</w:t>
            </w:r>
          </w:p>
        </w:tc>
        <w:tc>
          <w:tcPr>
            <w:tcW w:w="2967" w:type="dxa"/>
            <w:gridSpan w:val="4"/>
            <w:tcBorders>
              <w:top w:val="nil"/>
              <w:left w:val="nil"/>
              <w:bottom w:val="single" w:color="auto" w:sz="4" w:space="0"/>
              <w:right w:val="single" w:color="auto" w:sz="4" w:space="0"/>
            </w:tcBorders>
            <w:shd w:val="clear" w:color="auto" w:fill="auto"/>
            <w:vAlign w:val="center"/>
          </w:tcPr>
          <w:p w14:paraId="058FD38A">
            <w:pPr>
              <w:widowControl/>
              <w:spacing w:line="40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项目支出</w:t>
            </w:r>
          </w:p>
        </w:tc>
      </w:tr>
      <w:tr w14:paraId="39D5F923">
        <w:tblPrEx>
          <w:tblCellMar>
            <w:top w:w="0" w:type="dxa"/>
            <w:left w:w="108" w:type="dxa"/>
            <w:bottom w:w="0" w:type="dxa"/>
            <w:right w:w="108" w:type="dxa"/>
          </w:tblCellMar>
        </w:tblPrEx>
        <w:trPr>
          <w:trHeight w:val="745" w:hRule="atLeast"/>
        </w:trPr>
        <w:tc>
          <w:tcPr>
            <w:tcW w:w="1359" w:type="dxa"/>
            <w:gridSpan w:val="2"/>
            <w:vMerge w:val="continue"/>
            <w:tcBorders>
              <w:top w:val="nil"/>
              <w:left w:val="single" w:color="auto" w:sz="4" w:space="0"/>
              <w:bottom w:val="single" w:color="auto" w:sz="4" w:space="0"/>
              <w:right w:val="single" w:color="auto" w:sz="4" w:space="0"/>
            </w:tcBorders>
            <w:vAlign w:val="center"/>
          </w:tcPr>
          <w:p w14:paraId="1AC5B7E0">
            <w:pPr>
              <w:widowControl/>
              <w:spacing w:line="400" w:lineRule="exact"/>
              <w:jc w:val="left"/>
              <w:rPr>
                <w:rFonts w:ascii="宋体" w:hAnsi="宋体" w:eastAsia="宋体" w:cs="宋体"/>
                <w:color w:val="000000"/>
                <w:kern w:val="0"/>
                <w:sz w:val="20"/>
                <w:szCs w:val="20"/>
              </w:rPr>
            </w:pPr>
          </w:p>
        </w:tc>
        <w:tc>
          <w:tcPr>
            <w:tcW w:w="1096" w:type="dxa"/>
            <w:gridSpan w:val="2"/>
            <w:vMerge w:val="continue"/>
            <w:tcBorders>
              <w:top w:val="nil"/>
              <w:left w:val="single" w:color="auto" w:sz="4" w:space="0"/>
              <w:bottom w:val="single" w:color="auto" w:sz="4" w:space="0"/>
              <w:right w:val="single" w:color="auto" w:sz="4" w:space="0"/>
            </w:tcBorders>
            <w:vAlign w:val="center"/>
          </w:tcPr>
          <w:p w14:paraId="20B16DAD">
            <w:pPr>
              <w:widowControl/>
              <w:spacing w:line="400" w:lineRule="exact"/>
              <w:jc w:val="left"/>
              <w:rPr>
                <w:rFonts w:ascii="宋体" w:hAnsi="宋体" w:eastAsia="宋体" w:cs="宋体"/>
                <w:b/>
                <w:bCs/>
                <w:color w:val="000000"/>
                <w:kern w:val="0"/>
                <w:sz w:val="20"/>
                <w:szCs w:val="20"/>
              </w:rPr>
            </w:pPr>
          </w:p>
        </w:tc>
        <w:tc>
          <w:tcPr>
            <w:tcW w:w="1046" w:type="dxa"/>
            <w:tcBorders>
              <w:top w:val="nil"/>
              <w:left w:val="nil"/>
              <w:bottom w:val="single" w:color="auto" w:sz="4" w:space="0"/>
              <w:right w:val="single" w:color="auto" w:sz="4" w:space="0"/>
            </w:tcBorders>
            <w:shd w:val="clear" w:color="auto" w:fill="auto"/>
            <w:vAlign w:val="center"/>
          </w:tcPr>
          <w:p w14:paraId="44FC3FD5">
            <w:pPr>
              <w:widowControl/>
              <w:spacing w:line="40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合计</w:t>
            </w:r>
          </w:p>
        </w:tc>
        <w:tc>
          <w:tcPr>
            <w:tcW w:w="1169" w:type="dxa"/>
            <w:tcBorders>
              <w:top w:val="nil"/>
              <w:left w:val="nil"/>
              <w:bottom w:val="single" w:color="auto" w:sz="4" w:space="0"/>
              <w:right w:val="single" w:color="auto" w:sz="4" w:space="0"/>
            </w:tcBorders>
            <w:shd w:val="clear" w:color="auto" w:fill="auto"/>
            <w:vAlign w:val="center"/>
          </w:tcPr>
          <w:p w14:paraId="04AAC9D9">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财政拨款</w:t>
            </w:r>
          </w:p>
        </w:tc>
        <w:tc>
          <w:tcPr>
            <w:tcW w:w="628" w:type="dxa"/>
            <w:tcBorders>
              <w:top w:val="nil"/>
              <w:left w:val="nil"/>
              <w:bottom w:val="single" w:color="auto" w:sz="4" w:space="0"/>
              <w:right w:val="single" w:color="auto" w:sz="4" w:space="0"/>
            </w:tcBorders>
            <w:shd w:val="clear" w:color="auto" w:fill="auto"/>
            <w:vAlign w:val="center"/>
          </w:tcPr>
          <w:p w14:paraId="104D9D8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专户资金</w:t>
            </w:r>
          </w:p>
        </w:tc>
        <w:tc>
          <w:tcPr>
            <w:tcW w:w="632" w:type="dxa"/>
            <w:tcBorders>
              <w:top w:val="nil"/>
              <w:left w:val="nil"/>
              <w:bottom w:val="single" w:color="auto" w:sz="4" w:space="0"/>
              <w:right w:val="single" w:color="auto" w:sz="4" w:space="0"/>
            </w:tcBorders>
            <w:shd w:val="clear" w:color="auto" w:fill="auto"/>
            <w:vAlign w:val="center"/>
          </w:tcPr>
          <w:p w14:paraId="134EC755">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单位资金</w:t>
            </w:r>
          </w:p>
        </w:tc>
        <w:tc>
          <w:tcPr>
            <w:tcW w:w="824" w:type="dxa"/>
            <w:tcBorders>
              <w:top w:val="nil"/>
              <w:left w:val="nil"/>
              <w:bottom w:val="single" w:color="auto" w:sz="4" w:space="0"/>
              <w:right w:val="single" w:color="auto" w:sz="4" w:space="0"/>
            </w:tcBorders>
            <w:shd w:val="clear" w:color="auto" w:fill="auto"/>
            <w:vAlign w:val="center"/>
          </w:tcPr>
          <w:p w14:paraId="36FD630E">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合计</w:t>
            </w:r>
          </w:p>
        </w:tc>
        <w:tc>
          <w:tcPr>
            <w:tcW w:w="835" w:type="dxa"/>
            <w:tcBorders>
              <w:top w:val="nil"/>
              <w:left w:val="nil"/>
              <w:bottom w:val="single" w:color="auto" w:sz="4" w:space="0"/>
              <w:right w:val="single" w:color="auto" w:sz="4" w:space="0"/>
            </w:tcBorders>
            <w:shd w:val="clear" w:color="auto" w:fill="auto"/>
            <w:vAlign w:val="center"/>
          </w:tcPr>
          <w:p w14:paraId="1C502BCF">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财政 拨款</w:t>
            </w:r>
          </w:p>
        </w:tc>
        <w:tc>
          <w:tcPr>
            <w:tcW w:w="646" w:type="dxa"/>
            <w:tcBorders>
              <w:top w:val="nil"/>
              <w:left w:val="nil"/>
              <w:bottom w:val="single" w:color="auto" w:sz="4" w:space="0"/>
              <w:right w:val="single" w:color="auto" w:sz="4" w:space="0"/>
            </w:tcBorders>
            <w:shd w:val="clear" w:color="auto" w:fill="auto"/>
            <w:vAlign w:val="center"/>
          </w:tcPr>
          <w:p w14:paraId="127CAE77">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专户资金</w:t>
            </w:r>
          </w:p>
        </w:tc>
        <w:tc>
          <w:tcPr>
            <w:tcW w:w="662" w:type="dxa"/>
            <w:tcBorders>
              <w:top w:val="nil"/>
              <w:left w:val="nil"/>
              <w:bottom w:val="single" w:color="auto" w:sz="4" w:space="0"/>
              <w:right w:val="single" w:color="auto" w:sz="4" w:space="0"/>
            </w:tcBorders>
            <w:shd w:val="clear" w:color="auto" w:fill="auto"/>
            <w:vAlign w:val="center"/>
          </w:tcPr>
          <w:p w14:paraId="101AFCF1">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单位资金</w:t>
            </w:r>
          </w:p>
        </w:tc>
      </w:tr>
      <w:tr w14:paraId="4252A031">
        <w:tblPrEx>
          <w:tblCellMar>
            <w:top w:w="0" w:type="dxa"/>
            <w:left w:w="108" w:type="dxa"/>
            <w:bottom w:w="0" w:type="dxa"/>
            <w:right w:w="108" w:type="dxa"/>
          </w:tblCellMar>
        </w:tblPrEx>
        <w:trPr>
          <w:trHeight w:val="479" w:hRule="atLeast"/>
        </w:trPr>
        <w:tc>
          <w:tcPr>
            <w:tcW w:w="1359" w:type="dxa"/>
            <w:gridSpan w:val="2"/>
            <w:vMerge w:val="continue"/>
            <w:tcBorders>
              <w:top w:val="nil"/>
              <w:left w:val="single" w:color="auto" w:sz="4" w:space="0"/>
              <w:bottom w:val="single" w:color="auto" w:sz="4" w:space="0"/>
              <w:right w:val="single" w:color="auto" w:sz="4" w:space="0"/>
            </w:tcBorders>
            <w:vAlign w:val="center"/>
          </w:tcPr>
          <w:p w14:paraId="3C933FA0">
            <w:pPr>
              <w:widowControl/>
              <w:spacing w:line="400" w:lineRule="exact"/>
              <w:jc w:val="left"/>
              <w:rPr>
                <w:rFonts w:ascii="宋体" w:hAnsi="宋体" w:eastAsia="宋体" w:cs="宋体"/>
                <w:color w:val="000000"/>
                <w:kern w:val="0"/>
                <w:sz w:val="20"/>
                <w:szCs w:val="20"/>
              </w:rPr>
            </w:pPr>
          </w:p>
        </w:tc>
        <w:tc>
          <w:tcPr>
            <w:tcW w:w="1096" w:type="dxa"/>
            <w:gridSpan w:val="2"/>
            <w:tcBorders>
              <w:top w:val="nil"/>
              <w:left w:val="nil"/>
              <w:bottom w:val="single" w:color="auto" w:sz="4" w:space="0"/>
              <w:right w:val="single" w:color="auto" w:sz="4" w:space="0"/>
            </w:tcBorders>
            <w:shd w:val="clear" w:color="auto" w:fill="auto"/>
            <w:vAlign w:val="center"/>
          </w:tcPr>
          <w:p w14:paraId="477F6A66">
            <w:pPr>
              <w:widowControl/>
              <w:spacing w:line="400" w:lineRule="exact"/>
              <w:jc w:val="right"/>
              <w:rPr>
                <w:rFonts w:ascii="宋体" w:hAnsi="宋体" w:eastAsia="宋体" w:cs="宋体"/>
                <w:b/>
                <w:bCs/>
                <w:kern w:val="0"/>
                <w:sz w:val="20"/>
                <w:szCs w:val="20"/>
              </w:rPr>
            </w:pPr>
            <w:r>
              <w:rPr>
                <w:rFonts w:hint="eastAsia" w:ascii="宋体" w:hAnsi="宋体" w:eastAsia="宋体" w:cs="宋体"/>
                <w:b/>
                <w:bCs/>
                <w:kern w:val="0"/>
                <w:sz w:val="20"/>
                <w:szCs w:val="20"/>
              </w:rPr>
              <w:t>2,572.82</w:t>
            </w:r>
          </w:p>
        </w:tc>
        <w:tc>
          <w:tcPr>
            <w:tcW w:w="1046" w:type="dxa"/>
            <w:tcBorders>
              <w:top w:val="nil"/>
              <w:left w:val="nil"/>
              <w:bottom w:val="single" w:color="auto" w:sz="4" w:space="0"/>
              <w:right w:val="single" w:color="auto" w:sz="4" w:space="0"/>
            </w:tcBorders>
            <w:shd w:val="clear" w:color="auto" w:fill="auto"/>
            <w:vAlign w:val="center"/>
          </w:tcPr>
          <w:p w14:paraId="3BA5CDEE">
            <w:pPr>
              <w:widowControl/>
              <w:spacing w:line="400" w:lineRule="exact"/>
              <w:jc w:val="right"/>
              <w:rPr>
                <w:rFonts w:ascii="宋体" w:hAnsi="宋体" w:eastAsia="宋体" w:cs="宋体"/>
                <w:b/>
                <w:bCs/>
                <w:kern w:val="0"/>
                <w:sz w:val="20"/>
                <w:szCs w:val="20"/>
              </w:rPr>
            </w:pPr>
            <w:r>
              <w:rPr>
                <w:rFonts w:hint="eastAsia" w:ascii="宋体" w:hAnsi="宋体" w:eastAsia="宋体" w:cs="宋体"/>
                <w:b/>
                <w:bCs/>
                <w:kern w:val="0"/>
                <w:sz w:val="20"/>
                <w:szCs w:val="20"/>
              </w:rPr>
              <w:t>2,366.48</w:t>
            </w:r>
          </w:p>
        </w:tc>
        <w:tc>
          <w:tcPr>
            <w:tcW w:w="1169" w:type="dxa"/>
            <w:tcBorders>
              <w:top w:val="nil"/>
              <w:left w:val="nil"/>
              <w:bottom w:val="single" w:color="auto" w:sz="4" w:space="0"/>
              <w:right w:val="single" w:color="auto" w:sz="4" w:space="0"/>
            </w:tcBorders>
            <w:shd w:val="clear" w:color="auto" w:fill="auto"/>
            <w:vAlign w:val="center"/>
          </w:tcPr>
          <w:p w14:paraId="1037EB96">
            <w:pPr>
              <w:widowControl/>
              <w:spacing w:line="400" w:lineRule="exact"/>
              <w:jc w:val="right"/>
              <w:rPr>
                <w:rFonts w:ascii="宋体" w:hAnsi="宋体" w:eastAsia="宋体" w:cs="宋体"/>
                <w:b/>
                <w:bCs/>
                <w:kern w:val="0"/>
                <w:sz w:val="20"/>
                <w:szCs w:val="20"/>
              </w:rPr>
            </w:pPr>
            <w:r>
              <w:rPr>
                <w:rFonts w:hint="eastAsia" w:ascii="宋体" w:hAnsi="宋体" w:eastAsia="宋体" w:cs="宋体"/>
                <w:b/>
                <w:bCs/>
                <w:kern w:val="0"/>
                <w:sz w:val="20"/>
                <w:szCs w:val="20"/>
              </w:rPr>
              <w:t>2,366.48</w:t>
            </w:r>
          </w:p>
        </w:tc>
        <w:tc>
          <w:tcPr>
            <w:tcW w:w="628" w:type="dxa"/>
            <w:tcBorders>
              <w:top w:val="nil"/>
              <w:left w:val="nil"/>
              <w:bottom w:val="single" w:color="auto" w:sz="4" w:space="0"/>
              <w:right w:val="single" w:color="auto" w:sz="4" w:space="0"/>
            </w:tcBorders>
            <w:shd w:val="clear" w:color="auto" w:fill="auto"/>
            <w:vAlign w:val="center"/>
          </w:tcPr>
          <w:p w14:paraId="31A71E08">
            <w:pPr>
              <w:widowControl/>
              <w:spacing w:line="400" w:lineRule="exact"/>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632" w:type="dxa"/>
            <w:tcBorders>
              <w:top w:val="nil"/>
              <w:left w:val="nil"/>
              <w:bottom w:val="single" w:color="auto" w:sz="4" w:space="0"/>
              <w:right w:val="single" w:color="auto" w:sz="4" w:space="0"/>
            </w:tcBorders>
            <w:shd w:val="clear" w:color="auto" w:fill="auto"/>
            <w:vAlign w:val="center"/>
          </w:tcPr>
          <w:p w14:paraId="36943B91">
            <w:pPr>
              <w:widowControl/>
              <w:spacing w:line="400" w:lineRule="exact"/>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824" w:type="dxa"/>
            <w:tcBorders>
              <w:top w:val="nil"/>
              <w:left w:val="nil"/>
              <w:bottom w:val="single" w:color="auto" w:sz="4" w:space="0"/>
              <w:right w:val="single" w:color="auto" w:sz="4" w:space="0"/>
            </w:tcBorders>
            <w:shd w:val="clear" w:color="auto" w:fill="auto"/>
            <w:vAlign w:val="center"/>
          </w:tcPr>
          <w:p w14:paraId="15B69E0A">
            <w:pPr>
              <w:widowControl/>
              <w:spacing w:line="400" w:lineRule="exact"/>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206.34</w:t>
            </w:r>
          </w:p>
        </w:tc>
        <w:tc>
          <w:tcPr>
            <w:tcW w:w="835" w:type="dxa"/>
            <w:tcBorders>
              <w:top w:val="nil"/>
              <w:left w:val="nil"/>
              <w:bottom w:val="single" w:color="auto" w:sz="4" w:space="0"/>
              <w:right w:val="single" w:color="auto" w:sz="4" w:space="0"/>
            </w:tcBorders>
            <w:shd w:val="clear" w:color="auto" w:fill="auto"/>
            <w:vAlign w:val="center"/>
          </w:tcPr>
          <w:p w14:paraId="2014FD48">
            <w:pPr>
              <w:widowControl/>
              <w:spacing w:line="400" w:lineRule="exact"/>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206.34</w:t>
            </w:r>
          </w:p>
        </w:tc>
        <w:tc>
          <w:tcPr>
            <w:tcW w:w="646" w:type="dxa"/>
            <w:tcBorders>
              <w:top w:val="nil"/>
              <w:left w:val="nil"/>
              <w:bottom w:val="single" w:color="auto" w:sz="4" w:space="0"/>
              <w:right w:val="single" w:color="auto" w:sz="4" w:space="0"/>
            </w:tcBorders>
            <w:shd w:val="clear" w:color="auto" w:fill="auto"/>
            <w:vAlign w:val="center"/>
          </w:tcPr>
          <w:p w14:paraId="2F5A7462">
            <w:pPr>
              <w:widowControl/>
              <w:spacing w:line="400" w:lineRule="exact"/>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662" w:type="dxa"/>
            <w:tcBorders>
              <w:top w:val="nil"/>
              <w:left w:val="nil"/>
              <w:bottom w:val="single" w:color="auto" w:sz="4" w:space="0"/>
              <w:right w:val="single" w:color="auto" w:sz="4" w:space="0"/>
            </w:tcBorders>
            <w:shd w:val="clear" w:color="auto" w:fill="auto"/>
            <w:vAlign w:val="center"/>
          </w:tcPr>
          <w:p w14:paraId="58808713">
            <w:pPr>
              <w:widowControl/>
              <w:spacing w:line="400" w:lineRule="exact"/>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14:paraId="00748604">
        <w:tblPrEx>
          <w:tblCellMar>
            <w:top w:w="0" w:type="dxa"/>
            <w:left w:w="108" w:type="dxa"/>
            <w:bottom w:w="0" w:type="dxa"/>
            <w:right w:w="108" w:type="dxa"/>
          </w:tblCellMar>
        </w:tblPrEx>
        <w:trPr>
          <w:trHeight w:val="745" w:hRule="atLeast"/>
        </w:trPr>
        <w:tc>
          <w:tcPr>
            <w:tcW w:w="521" w:type="dxa"/>
            <w:vMerge w:val="restart"/>
            <w:tcBorders>
              <w:top w:val="nil"/>
              <w:left w:val="single" w:color="auto" w:sz="4" w:space="0"/>
              <w:bottom w:val="single" w:color="auto" w:sz="4" w:space="0"/>
              <w:right w:val="single" w:color="auto" w:sz="4" w:space="0"/>
            </w:tcBorders>
            <w:shd w:val="clear" w:color="auto" w:fill="auto"/>
            <w:vAlign w:val="center"/>
          </w:tcPr>
          <w:p w14:paraId="09D0E1EF">
            <w:pPr>
              <w:widowControl/>
              <w:spacing w:line="40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部</w:t>
            </w:r>
            <w:r>
              <w:rPr>
                <w:rFonts w:hint="eastAsia" w:ascii="宋体" w:hAnsi="宋体" w:eastAsia="宋体" w:cs="宋体"/>
                <w:b/>
                <w:bCs/>
                <w:color w:val="000000"/>
                <w:kern w:val="0"/>
                <w:sz w:val="20"/>
                <w:szCs w:val="20"/>
              </w:rPr>
              <w:br w:type="textWrapping"/>
            </w:r>
            <w:r>
              <w:rPr>
                <w:rFonts w:hint="eastAsia" w:ascii="宋体" w:hAnsi="宋体" w:eastAsia="宋体" w:cs="宋体"/>
                <w:b/>
                <w:bCs/>
                <w:color w:val="000000"/>
                <w:kern w:val="0"/>
                <w:sz w:val="20"/>
                <w:szCs w:val="20"/>
              </w:rPr>
              <w:t>门</w:t>
            </w:r>
            <w:r>
              <w:rPr>
                <w:rFonts w:hint="eastAsia" w:ascii="宋体" w:hAnsi="宋体" w:eastAsia="宋体" w:cs="宋体"/>
                <w:b/>
                <w:bCs/>
                <w:color w:val="000000"/>
                <w:kern w:val="0"/>
                <w:sz w:val="20"/>
                <w:szCs w:val="20"/>
              </w:rPr>
              <w:br w:type="textWrapping"/>
            </w:r>
            <w:r>
              <w:rPr>
                <w:rFonts w:hint="eastAsia" w:ascii="宋体" w:hAnsi="宋体" w:eastAsia="宋体" w:cs="宋体"/>
                <w:b/>
                <w:bCs/>
                <w:color w:val="000000"/>
                <w:kern w:val="0"/>
                <w:sz w:val="20"/>
                <w:szCs w:val="20"/>
              </w:rPr>
              <w:t>整</w:t>
            </w:r>
            <w:r>
              <w:rPr>
                <w:rFonts w:hint="eastAsia" w:ascii="宋体" w:hAnsi="宋体" w:eastAsia="宋体" w:cs="宋体"/>
                <w:b/>
                <w:bCs/>
                <w:color w:val="000000"/>
                <w:kern w:val="0"/>
                <w:sz w:val="20"/>
                <w:szCs w:val="20"/>
              </w:rPr>
              <w:br w:type="textWrapping"/>
            </w:r>
            <w:r>
              <w:rPr>
                <w:rFonts w:hint="eastAsia" w:ascii="宋体" w:hAnsi="宋体" w:eastAsia="宋体" w:cs="宋体"/>
                <w:b/>
                <w:bCs/>
                <w:color w:val="000000"/>
                <w:kern w:val="0"/>
                <w:sz w:val="20"/>
                <w:szCs w:val="20"/>
              </w:rPr>
              <w:t>体</w:t>
            </w:r>
            <w:r>
              <w:rPr>
                <w:rFonts w:hint="eastAsia" w:ascii="宋体" w:hAnsi="宋体" w:eastAsia="宋体" w:cs="宋体"/>
                <w:b/>
                <w:bCs/>
                <w:color w:val="000000"/>
                <w:kern w:val="0"/>
                <w:sz w:val="20"/>
                <w:szCs w:val="20"/>
              </w:rPr>
              <w:br w:type="textWrapping"/>
            </w:r>
            <w:r>
              <w:rPr>
                <w:rFonts w:hint="eastAsia" w:ascii="宋体" w:hAnsi="宋体" w:eastAsia="宋体" w:cs="宋体"/>
                <w:b/>
                <w:bCs/>
                <w:color w:val="000000"/>
                <w:kern w:val="0"/>
                <w:sz w:val="20"/>
                <w:szCs w:val="20"/>
              </w:rPr>
              <w:t>绩</w:t>
            </w:r>
            <w:r>
              <w:rPr>
                <w:rFonts w:hint="eastAsia" w:ascii="宋体" w:hAnsi="宋体" w:eastAsia="宋体" w:cs="宋体"/>
                <w:b/>
                <w:bCs/>
                <w:color w:val="000000"/>
                <w:kern w:val="0"/>
                <w:sz w:val="20"/>
                <w:szCs w:val="20"/>
              </w:rPr>
              <w:br w:type="textWrapping"/>
            </w:r>
            <w:r>
              <w:rPr>
                <w:rFonts w:hint="eastAsia" w:ascii="宋体" w:hAnsi="宋体" w:eastAsia="宋体" w:cs="宋体"/>
                <w:b/>
                <w:bCs/>
                <w:color w:val="000000"/>
                <w:kern w:val="0"/>
                <w:sz w:val="20"/>
                <w:szCs w:val="20"/>
              </w:rPr>
              <w:t>效</w:t>
            </w:r>
            <w:r>
              <w:rPr>
                <w:rFonts w:hint="eastAsia" w:ascii="宋体" w:hAnsi="宋体" w:eastAsia="宋体" w:cs="宋体"/>
                <w:b/>
                <w:bCs/>
                <w:color w:val="000000"/>
                <w:kern w:val="0"/>
                <w:sz w:val="20"/>
                <w:szCs w:val="20"/>
              </w:rPr>
              <w:br w:type="textWrapping"/>
            </w:r>
            <w:r>
              <w:rPr>
                <w:rFonts w:hint="eastAsia" w:ascii="宋体" w:hAnsi="宋体" w:eastAsia="宋体" w:cs="宋体"/>
                <w:b/>
                <w:bCs/>
                <w:color w:val="000000"/>
                <w:kern w:val="0"/>
                <w:sz w:val="20"/>
                <w:szCs w:val="20"/>
              </w:rPr>
              <w:t>情</w:t>
            </w:r>
            <w:r>
              <w:rPr>
                <w:rFonts w:hint="eastAsia" w:ascii="宋体" w:hAnsi="宋体" w:eastAsia="宋体" w:cs="宋体"/>
                <w:b/>
                <w:bCs/>
                <w:color w:val="000000"/>
                <w:kern w:val="0"/>
                <w:sz w:val="20"/>
                <w:szCs w:val="20"/>
              </w:rPr>
              <w:br w:type="textWrapping"/>
            </w:r>
            <w:r>
              <w:rPr>
                <w:rFonts w:hint="eastAsia" w:ascii="宋体" w:hAnsi="宋体" w:eastAsia="宋体" w:cs="宋体"/>
                <w:b/>
                <w:bCs/>
                <w:color w:val="000000"/>
                <w:kern w:val="0"/>
                <w:sz w:val="20"/>
                <w:szCs w:val="20"/>
              </w:rPr>
              <w:t>况</w:t>
            </w:r>
          </w:p>
        </w:tc>
        <w:tc>
          <w:tcPr>
            <w:tcW w:w="838" w:type="dxa"/>
            <w:tcBorders>
              <w:top w:val="nil"/>
              <w:left w:val="nil"/>
              <w:bottom w:val="single" w:color="auto" w:sz="4" w:space="0"/>
              <w:right w:val="single" w:color="auto" w:sz="4" w:space="0"/>
            </w:tcBorders>
            <w:shd w:val="clear" w:color="auto" w:fill="auto"/>
            <w:vAlign w:val="center"/>
          </w:tcPr>
          <w:p w14:paraId="57C33581">
            <w:pPr>
              <w:widowControl/>
              <w:spacing w:line="40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整体绩效目标</w:t>
            </w:r>
          </w:p>
        </w:tc>
        <w:tc>
          <w:tcPr>
            <w:tcW w:w="7538" w:type="dxa"/>
            <w:gridSpan w:val="10"/>
            <w:tcBorders>
              <w:top w:val="single" w:color="auto" w:sz="4" w:space="0"/>
              <w:left w:val="nil"/>
              <w:bottom w:val="single" w:color="auto" w:sz="4" w:space="0"/>
              <w:right w:val="single" w:color="auto" w:sz="4" w:space="0"/>
            </w:tcBorders>
            <w:shd w:val="clear" w:color="auto" w:fill="auto"/>
          </w:tcPr>
          <w:p w14:paraId="158ECC93">
            <w:pPr>
              <w:widowControl/>
              <w:spacing w:line="40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2021年单位将深入贯彻落实党的十九届五中全会精神和全国、全市、全区教育大会精神，着力提升党建工作见实效，抓实抓牢疫情防控常态化工作，着力加快教育现代化，建设教育强镇，全力办好新时代扶欢镇人民满意的教育。一是加快推进义务教育优质均衡，各校生均公用经费保障水平不降低，不断提高师资水平和改善学校办学条件。二是落实立德树人根本任务，加强我校中小学生体育锻炼和艺术培养，不断增强学生体质和素养，家庭经济困难学生资助全覆盖，从制度上确保不让一个学生因家庭经济困难而失学。三是维护单位安全稳定，完善我校安全及卫生防范设备设施，持续抓实抓牢疫情防控常态化工作。</w:t>
            </w:r>
          </w:p>
        </w:tc>
      </w:tr>
      <w:tr w14:paraId="5ED8BF75">
        <w:tblPrEx>
          <w:tblCellMar>
            <w:top w:w="0" w:type="dxa"/>
            <w:left w:w="108" w:type="dxa"/>
            <w:bottom w:w="0" w:type="dxa"/>
            <w:right w:w="108" w:type="dxa"/>
          </w:tblCellMar>
        </w:tblPrEx>
        <w:trPr>
          <w:trHeight w:val="479" w:hRule="atLeast"/>
        </w:trPr>
        <w:tc>
          <w:tcPr>
            <w:tcW w:w="521" w:type="dxa"/>
            <w:vMerge w:val="continue"/>
            <w:tcBorders>
              <w:top w:val="nil"/>
              <w:left w:val="single" w:color="auto" w:sz="4" w:space="0"/>
              <w:bottom w:val="single" w:color="auto" w:sz="4" w:space="0"/>
              <w:right w:val="single" w:color="auto" w:sz="4" w:space="0"/>
            </w:tcBorders>
            <w:vAlign w:val="center"/>
          </w:tcPr>
          <w:p w14:paraId="2526C7A4">
            <w:pPr>
              <w:widowControl/>
              <w:spacing w:line="400" w:lineRule="exact"/>
              <w:jc w:val="left"/>
              <w:rPr>
                <w:rFonts w:ascii="宋体" w:hAnsi="宋体" w:eastAsia="宋体" w:cs="宋体"/>
                <w:b/>
                <w:bCs/>
                <w:color w:val="000000"/>
                <w:kern w:val="0"/>
                <w:sz w:val="20"/>
                <w:szCs w:val="20"/>
              </w:rPr>
            </w:pPr>
          </w:p>
        </w:tc>
        <w:tc>
          <w:tcPr>
            <w:tcW w:w="8376" w:type="dxa"/>
            <w:gridSpan w:val="11"/>
            <w:tcBorders>
              <w:top w:val="single" w:color="auto" w:sz="4" w:space="0"/>
              <w:left w:val="nil"/>
              <w:bottom w:val="single" w:color="auto" w:sz="4" w:space="0"/>
              <w:right w:val="single" w:color="auto" w:sz="4" w:space="0"/>
            </w:tcBorders>
            <w:shd w:val="clear" w:color="000000" w:fill="FFFFFF"/>
            <w:vAlign w:val="center"/>
          </w:tcPr>
          <w:p w14:paraId="1499F8BE">
            <w:pPr>
              <w:widowControl/>
              <w:spacing w:line="400" w:lineRule="exact"/>
              <w:jc w:val="center"/>
              <w:rPr>
                <w:rFonts w:ascii="微软雅黑" w:hAnsi="微软雅黑" w:eastAsia="微软雅黑" w:cs="宋体"/>
                <w:b/>
                <w:bCs/>
                <w:color w:val="808080"/>
                <w:kern w:val="0"/>
                <w:sz w:val="20"/>
                <w:szCs w:val="20"/>
              </w:rPr>
            </w:pPr>
            <w:r>
              <w:rPr>
                <w:rFonts w:hint="eastAsia" w:ascii="微软雅黑" w:hAnsi="微软雅黑" w:eastAsia="微软雅黑" w:cs="宋体"/>
                <w:b/>
                <w:bCs/>
                <w:color w:val="808080"/>
                <w:kern w:val="0"/>
                <w:sz w:val="20"/>
                <w:szCs w:val="20"/>
              </w:rPr>
              <w:t>年度绩效指标</w:t>
            </w:r>
          </w:p>
        </w:tc>
      </w:tr>
      <w:tr w14:paraId="4293AC34">
        <w:tblPrEx>
          <w:tblCellMar>
            <w:top w:w="0" w:type="dxa"/>
            <w:left w:w="108" w:type="dxa"/>
            <w:bottom w:w="0" w:type="dxa"/>
            <w:right w:w="108" w:type="dxa"/>
          </w:tblCellMar>
        </w:tblPrEx>
        <w:trPr>
          <w:trHeight w:val="745" w:hRule="atLeast"/>
        </w:trPr>
        <w:tc>
          <w:tcPr>
            <w:tcW w:w="521" w:type="dxa"/>
            <w:vMerge w:val="continue"/>
            <w:tcBorders>
              <w:top w:val="nil"/>
              <w:left w:val="single" w:color="auto" w:sz="4" w:space="0"/>
              <w:bottom w:val="single" w:color="auto" w:sz="4" w:space="0"/>
              <w:right w:val="single" w:color="auto" w:sz="4" w:space="0"/>
            </w:tcBorders>
            <w:vAlign w:val="center"/>
          </w:tcPr>
          <w:p w14:paraId="677333B8">
            <w:pPr>
              <w:widowControl/>
              <w:spacing w:line="400" w:lineRule="exact"/>
              <w:jc w:val="left"/>
              <w:rPr>
                <w:rFonts w:ascii="宋体" w:hAnsi="宋体" w:eastAsia="宋体" w:cs="宋体"/>
                <w:b/>
                <w:bCs/>
                <w:color w:val="000000"/>
                <w:kern w:val="0"/>
                <w:sz w:val="20"/>
                <w:szCs w:val="20"/>
              </w:rPr>
            </w:pPr>
          </w:p>
        </w:tc>
        <w:tc>
          <w:tcPr>
            <w:tcW w:w="1005" w:type="dxa"/>
            <w:gridSpan w:val="2"/>
            <w:tcBorders>
              <w:top w:val="nil"/>
              <w:left w:val="nil"/>
              <w:bottom w:val="single" w:color="auto" w:sz="4" w:space="0"/>
              <w:right w:val="single" w:color="auto" w:sz="4" w:space="0"/>
            </w:tcBorders>
            <w:shd w:val="clear" w:color="auto" w:fill="auto"/>
            <w:vAlign w:val="center"/>
          </w:tcPr>
          <w:p w14:paraId="1DA760DE">
            <w:pPr>
              <w:widowControl/>
              <w:spacing w:line="400" w:lineRule="exact"/>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一级指标</w:t>
            </w:r>
          </w:p>
        </w:tc>
        <w:tc>
          <w:tcPr>
            <w:tcW w:w="1975" w:type="dxa"/>
            <w:gridSpan w:val="2"/>
            <w:tcBorders>
              <w:top w:val="single" w:color="auto" w:sz="4" w:space="0"/>
              <w:left w:val="nil"/>
              <w:bottom w:val="single" w:color="auto" w:sz="4" w:space="0"/>
              <w:right w:val="single" w:color="000000" w:sz="4" w:space="0"/>
            </w:tcBorders>
            <w:shd w:val="clear" w:color="auto" w:fill="auto"/>
            <w:vAlign w:val="center"/>
          </w:tcPr>
          <w:p w14:paraId="1900CED9">
            <w:pPr>
              <w:widowControl/>
              <w:spacing w:line="40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二级指标</w:t>
            </w:r>
          </w:p>
        </w:tc>
        <w:tc>
          <w:tcPr>
            <w:tcW w:w="2429" w:type="dxa"/>
            <w:gridSpan w:val="3"/>
            <w:tcBorders>
              <w:top w:val="single" w:color="auto" w:sz="4" w:space="0"/>
              <w:left w:val="nil"/>
              <w:bottom w:val="single" w:color="auto" w:sz="4" w:space="0"/>
              <w:right w:val="single" w:color="000000" w:sz="4" w:space="0"/>
            </w:tcBorders>
            <w:shd w:val="clear" w:color="auto" w:fill="auto"/>
            <w:vAlign w:val="center"/>
          </w:tcPr>
          <w:p w14:paraId="3575A520">
            <w:pPr>
              <w:widowControl/>
              <w:spacing w:line="40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三级指标</w:t>
            </w:r>
          </w:p>
        </w:tc>
        <w:tc>
          <w:tcPr>
            <w:tcW w:w="824" w:type="dxa"/>
            <w:tcBorders>
              <w:top w:val="nil"/>
              <w:left w:val="nil"/>
              <w:bottom w:val="single" w:color="auto" w:sz="4" w:space="0"/>
              <w:right w:val="single" w:color="auto" w:sz="4" w:space="0"/>
            </w:tcBorders>
            <w:shd w:val="clear" w:color="auto" w:fill="auto"/>
            <w:vAlign w:val="center"/>
          </w:tcPr>
          <w:p w14:paraId="0EFA45DE">
            <w:pPr>
              <w:widowControl/>
              <w:spacing w:line="40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绩效指标性质</w:t>
            </w:r>
          </w:p>
        </w:tc>
        <w:tc>
          <w:tcPr>
            <w:tcW w:w="835" w:type="dxa"/>
            <w:tcBorders>
              <w:top w:val="nil"/>
              <w:left w:val="nil"/>
              <w:bottom w:val="single" w:color="auto" w:sz="4" w:space="0"/>
              <w:right w:val="single" w:color="auto" w:sz="4" w:space="0"/>
            </w:tcBorders>
            <w:shd w:val="clear" w:color="auto" w:fill="auto"/>
            <w:vAlign w:val="center"/>
          </w:tcPr>
          <w:p w14:paraId="54AB3BBD">
            <w:pPr>
              <w:widowControl/>
              <w:spacing w:line="40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绩效指标值</w:t>
            </w:r>
          </w:p>
        </w:tc>
        <w:tc>
          <w:tcPr>
            <w:tcW w:w="646" w:type="dxa"/>
            <w:tcBorders>
              <w:top w:val="nil"/>
              <w:left w:val="nil"/>
              <w:bottom w:val="single" w:color="auto" w:sz="4" w:space="0"/>
              <w:right w:val="single" w:color="auto" w:sz="4" w:space="0"/>
            </w:tcBorders>
            <w:shd w:val="clear" w:color="auto" w:fill="auto"/>
            <w:vAlign w:val="center"/>
          </w:tcPr>
          <w:p w14:paraId="60819812">
            <w:pPr>
              <w:widowControl/>
              <w:spacing w:line="32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绩效度量单位</w:t>
            </w:r>
          </w:p>
        </w:tc>
        <w:tc>
          <w:tcPr>
            <w:tcW w:w="662" w:type="dxa"/>
            <w:tcBorders>
              <w:top w:val="nil"/>
              <w:left w:val="nil"/>
              <w:bottom w:val="single" w:color="auto" w:sz="4" w:space="0"/>
              <w:right w:val="single" w:color="auto" w:sz="4" w:space="0"/>
            </w:tcBorders>
            <w:shd w:val="clear" w:color="auto" w:fill="auto"/>
            <w:vAlign w:val="center"/>
          </w:tcPr>
          <w:p w14:paraId="54AF9D27">
            <w:pPr>
              <w:widowControl/>
              <w:spacing w:line="40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权重</w:t>
            </w:r>
          </w:p>
        </w:tc>
      </w:tr>
      <w:tr w14:paraId="7B68FC63">
        <w:tblPrEx>
          <w:tblCellMar>
            <w:top w:w="0" w:type="dxa"/>
            <w:left w:w="108" w:type="dxa"/>
            <w:bottom w:w="0" w:type="dxa"/>
            <w:right w:w="108" w:type="dxa"/>
          </w:tblCellMar>
        </w:tblPrEx>
        <w:trPr>
          <w:trHeight w:val="745" w:hRule="atLeast"/>
        </w:trPr>
        <w:tc>
          <w:tcPr>
            <w:tcW w:w="521" w:type="dxa"/>
            <w:vMerge w:val="continue"/>
            <w:tcBorders>
              <w:top w:val="nil"/>
              <w:left w:val="single" w:color="auto" w:sz="4" w:space="0"/>
              <w:bottom w:val="single" w:color="auto" w:sz="4" w:space="0"/>
              <w:right w:val="single" w:color="auto" w:sz="4" w:space="0"/>
            </w:tcBorders>
            <w:vAlign w:val="center"/>
          </w:tcPr>
          <w:p w14:paraId="39A5200F">
            <w:pPr>
              <w:widowControl/>
              <w:spacing w:line="400" w:lineRule="exact"/>
              <w:jc w:val="left"/>
              <w:rPr>
                <w:rFonts w:ascii="宋体" w:hAnsi="宋体" w:eastAsia="宋体" w:cs="宋体"/>
                <w:b/>
                <w:bCs/>
                <w:color w:val="000000"/>
                <w:kern w:val="0"/>
                <w:sz w:val="20"/>
                <w:szCs w:val="20"/>
              </w:rPr>
            </w:pPr>
          </w:p>
        </w:tc>
        <w:tc>
          <w:tcPr>
            <w:tcW w:w="1005" w:type="dxa"/>
            <w:gridSpan w:val="2"/>
            <w:tcBorders>
              <w:top w:val="nil"/>
              <w:left w:val="nil"/>
              <w:bottom w:val="single" w:color="auto" w:sz="4" w:space="0"/>
              <w:right w:val="single" w:color="auto" w:sz="4" w:space="0"/>
            </w:tcBorders>
            <w:shd w:val="clear" w:color="auto" w:fill="auto"/>
            <w:vAlign w:val="center"/>
          </w:tcPr>
          <w:p w14:paraId="169238AB">
            <w:pPr>
              <w:widowControl/>
              <w:spacing w:line="32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产出指标</w:t>
            </w:r>
          </w:p>
        </w:tc>
        <w:tc>
          <w:tcPr>
            <w:tcW w:w="1975" w:type="dxa"/>
            <w:gridSpan w:val="2"/>
            <w:tcBorders>
              <w:top w:val="single" w:color="auto" w:sz="4" w:space="0"/>
              <w:left w:val="nil"/>
              <w:bottom w:val="single" w:color="auto" w:sz="4" w:space="0"/>
              <w:right w:val="single" w:color="000000" w:sz="4" w:space="0"/>
            </w:tcBorders>
            <w:shd w:val="clear" w:color="auto" w:fill="auto"/>
            <w:vAlign w:val="center"/>
          </w:tcPr>
          <w:p w14:paraId="75ECCB47">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数量指标</w:t>
            </w:r>
          </w:p>
        </w:tc>
        <w:tc>
          <w:tcPr>
            <w:tcW w:w="2429" w:type="dxa"/>
            <w:gridSpan w:val="3"/>
            <w:tcBorders>
              <w:top w:val="single" w:color="auto" w:sz="4" w:space="0"/>
              <w:left w:val="nil"/>
              <w:bottom w:val="single" w:color="auto" w:sz="4" w:space="0"/>
              <w:right w:val="single" w:color="auto" w:sz="4" w:space="0"/>
            </w:tcBorders>
            <w:shd w:val="clear" w:color="auto" w:fill="auto"/>
            <w:vAlign w:val="center"/>
          </w:tcPr>
          <w:p w14:paraId="4F27A3E2">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小学阶段毛入学率</w:t>
            </w:r>
          </w:p>
        </w:tc>
        <w:tc>
          <w:tcPr>
            <w:tcW w:w="824" w:type="dxa"/>
            <w:tcBorders>
              <w:top w:val="nil"/>
              <w:left w:val="nil"/>
              <w:bottom w:val="single" w:color="auto" w:sz="4" w:space="0"/>
              <w:right w:val="single" w:color="auto" w:sz="4" w:space="0"/>
            </w:tcBorders>
            <w:shd w:val="clear" w:color="auto" w:fill="auto"/>
            <w:vAlign w:val="center"/>
          </w:tcPr>
          <w:p w14:paraId="433EF659">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35" w:type="dxa"/>
            <w:tcBorders>
              <w:top w:val="nil"/>
              <w:left w:val="nil"/>
              <w:bottom w:val="single" w:color="auto" w:sz="4" w:space="0"/>
              <w:right w:val="single" w:color="auto" w:sz="4" w:space="0"/>
            </w:tcBorders>
            <w:shd w:val="clear" w:color="auto" w:fill="auto"/>
            <w:vAlign w:val="center"/>
          </w:tcPr>
          <w:p w14:paraId="1E1FDC19">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99</w:t>
            </w:r>
          </w:p>
        </w:tc>
        <w:tc>
          <w:tcPr>
            <w:tcW w:w="646" w:type="dxa"/>
            <w:tcBorders>
              <w:top w:val="nil"/>
              <w:left w:val="nil"/>
              <w:bottom w:val="single" w:color="auto" w:sz="4" w:space="0"/>
              <w:right w:val="single" w:color="auto" w:sz="4" w:space="0"/>
            </w:tcBorders>
            <w:shd w:val="clear" w:color="auto" w:fill="auto"/>
            <w:vAlign w:val="center"/>
          </w:tcPr>
          <w:p w14:paraId="0A2E5C61">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662" w:type="dxa"/>
            <w:tcBorders>
              <w:top w:val="nil"/>
              <w:left w:val="nil"/>
              <w:bottom w:val="single" w:color="auto" w:sz="4" w:space="0"/>
              <w:right w:val="single" w:color="auto" w:sz="4" w:space="0"/>
            </w:tcBorders>
            <w:shd w:val="clear" w:color="auto" w:fill="auto"/>
            <w:vAlign w:val="center"/>
          </w:tcPr>
          <w:p w14:paraId="3B2577DE">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13</w:t>
            </w:r>
          </w:p>
        </w:tc>
      </w:tr>
      <w:tr w14:paraId="30F2BB3B">
        <w:tblPrEx>
          <w:tblCellMar>
            <w:top w:w="0" w:type="dxa"/>
            <w:left w:w="108" w:type="dxa"/>
            <w:bottom w:w="0" w:type="dxa"/>
            <w:right w:w="108" w:type="dxa"/>
          </w:tblCellMar>
        </w:tblPrEx>
        <w:trPr>
          <w:trHeight w:val="745" w:hRule="atLeast"/>
        </w:trPr>
        <w:tc>
          <w:tcPr>
            <w:tcW w:w="521" w:type="dxa"/>
            <w:vMerge w:val="continue"/>
            <w:tcBorders>
              <w:top w:val="nil"/>
              <w:left w:val="single" w:color="auto" w:sz="4" w:space="0"/>
              <w:bottom w:val="single" w:color="auto" w:sz="4" w:space="0"/>
              <w:right w:val="single" w:color="auto" w:sz="4" w:space="0"/>
            </w:tcBorders>
            <w:vAlign w:val="center"/>
          </w:tcPr>
          <w:p w14:paraId="0013609A">
            <w:pPr>
              <w:widowControl/>
              <w:spacing w:line="400" w:lineRule="exact"/>
              <w:jc w:val="left"/>
              <w:rPr>
                <w:rFonts w:ascii="宋体" w:hAnsi="宋体" w:eastAsia="宋体" w:cs="宋体"/>
                <w:b/>
                <w:bCs/>
                <w:color w:val="000000"/>
                <w:kern w:val="0"/>
                <w:sz w:val="20"/>
                <w:szCs w:val="20"/>
              </w:rPr>
            </w:pPr>
          </w:p>
        </w:tc>
        <w:tc>
          <w:tcPr>
            <w:tcW w:w="1005" w:type="dxa"/>
            <w:gridSpan w:val="2"/>
            <w:tcBorders>
              <w:top w:val="nil"/>
              <w:left w:val="nil"/>
              <w:bottom w:val="single" w:color="auto" w:sz="4" w:space="0"/>
              <w:right w:val="single" w:color="auto" w:sz="4" w:space="0"/>
            </w:tcBorders>
            <w:shd w:val="clear" w:color="auto" w:fill="auto"/>
            <w:vAlign w:val="center"/>
          </w:tcPr>
          <w:p w14:paraId="105DAE2B">
            <w:pPr>
              <w:widowControl/>
              <w:spacing w:line="32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产出指标</w:t>
            </w:r>
          </w:p>
        </w:tc>
        <w:tc>
          <w:tcPr>
            <w:tcW w:w="1975" w:type="dxa"/>
            <w:gridSpan w:val="2"/>
            <w:tcBorders>
              <w:top w:val="single" w:color="auto" w:sz="4" w:space="0"/>
              <w:left w:val="nil"/>
              <w:bottom w:val="single" w:color="auto" w:sz="4" w:space="0"/>
              <w:right w:val="single" w:color="000000" w:sz="4" w:space="0"/>
            </w:tcBorders>
            <w:shd w:val="clear" w:color="auto" w:fill="auto"/>
            <w:vAlign w:val="center"/>
          </w:tcPr>
          <w:p w14:paraId="6E390B47">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数量指标</w:t>
            </w:r>
          </w:p>
        </w:tc>
        <w:tc>
          <w:tcPr>
            <w:tcW w:w="2429" w:type="dxa"/>
            <w:gridSpan w:val="3"/>
            <w:tcBorders>
              <w:top w:val="single" w:color="auto" w:sz="4" w:space="0"/>
              <w:left w:val="nil"/>
              <w:bottom w:val="single" w:color="auto" w:sz="4" w:space="0"/>
              <w:right w:val="single" w:color="auto" w:sz="4" w:space="0"/>
            </w:tcBorders>
            <w:shd w:val="clear" w:color="auto" w:fill="auto"/>
            <w:vAlign w:val="center"/>
          </w:tcPr>
          <w:p w14:paraId="7E072870">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小学阶段毕业生合格率</w:t>
            </w:r>
          </w:p>
        </w:tc>
        <w:tc>
          <w:tcPr>
            <w:tcW w:w="824" w:type="dxa"/>
            <w:tcBorders>
              <w:top w:val="nil"/>
              <w:left w:val="nil"/>
              <w:bottom w:val="single" w:color="auto" w:sz="4" w:space="0"/>
              <w:right w:val="single" w:color="auto" w:sz="4" w:space="0"/>
            </w:tcBorders>
            <w:shd w:val="clear" w:color="auto" w:fill="auto"/>
            <w:vAlign w:val="center"/>
          </w:tcPr>
          <w:p w14:paraId="234B1475">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35" w:type="dxa"/>
            <w:tcBorders>
              <w:top w:val="nil"/>
              <w:left w:val="nil"/>
              <w:bottom w:val="single" w:color="auto" w:sz="4" w:space="0"/>
              <w:right w:val="single" w:color="auto" w:sz="4" w:space="0"/>
            </w:tcBorders>
            <w:shd w:val="clear" w:color="auto" w:fill="auto"/>
            <w:vAlign w:val="center"/>
          </w:tcPr>
          <w:p w14:paraId="0D9C49D0">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99</w:t>
            </w:r>
          </w:p>
        </w:tc>
        <w:tc>
          <w:tcPr>
            <w:tcW w:w="646" w:type="dxa"/>
            <w:tcBorders>
              <w:top w:val="nil"/>
              <w:left w:val="nil"/>
              <w:bottom w:val="single" w:color="auto" w:sz="4" w:space="0"/>
              <w:right w:val="single" w:color="auto" w:sz="4" w:space="0"/>
            </w:tcBorders>
            <w:shd w:val="clear" w:color="auto" w:fill="auto"/>
            <w:vAlign w:val="center"/>
          </w:tcPr>
          <w:p w14:paraId="2B36CDD2">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662" w:type="dxa"/>
            <w:tcBorders>
              <w:top w:val="nil"/>
              <w:left w:val="nil"/>
              <w:bottom w:val="single" w:color="auto" w:sz="4" w:space="0"/>
              <w:right w:val="single" w:color="auto" w:sz="4" w:space="0"/>
            </w:tcBorders>
            <w:shd w:val="clear" w:color="auto" w:fill="auto"/>
            <w:vAlign w:val="center"/>
          </w:tcPr>
          <w:p w14:paraId="4816C70F">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r>
      <w:tr w14:paraId="5D427655">
        <w:tblPrEx>
          <w:tblCellMar>
            <w:top w:w="0" w:type="dxa"/>
            <w:left w:w="108" w:type="dxa"/>
            <w:bottom w:w="0" w:type="dxa"/>
            <w:right w:w="108" w:type="dxa"/>
          </w:tblCellMar>
        </w:tblPrEx>
        <w:trPr>
          <w:trHeight w:val="745" w:hRule="atLeast"/>
        </w:trPr>
        <w:tc>
          <w:tcPr>
            <w:tcW w:w="521" w:type="dxa"/>
            <w:vMerge w:val="continue"/>
            <w:tcBorders>
              <w:top w:val="nil"/>
              <w:left w:val="single" w:color="auto" w:sz="4" w:space="0"/>
              <w:bottom w:val="single" w:color="auto" w:sz="4" w:space="0"/>
              <w:right w:val="single" w:color="auto" w:sz="4" w:space="0"/>
            </w:tcBorders>
            <w:vAlign w:val="center"/>
          </w:tcPr>
          <w:p w14:paraId="7E0B9BEC">
            <w:pPr>
              <w:widowControl/>
              <w:spacing w:line="400" w:lineRule="exact"/>
              <w:jc w:val="left"/>
              <w:rPr>
                <w:rFonts w:ascii="宋体" w:hAnsi="宋体" w:eastAsia="宋体" w:cs="宋体"/>
                <w:b/>
                <w:bCs/>
                <w:color w:val="000000"/>
                <w:kern w:val="0"/>
                <w:sz w:val="20"/>
                <w:szCs w:val="20"/>
              </w:rPr>
            </w:pPr>
          </w:p>
        </w:tc>
        <w:tc>
          <w:tcPr>
            <w:tcW w:w="1005" w:type="dxa"/>
            <w:gridSpan w:val="2"/>
            <w:tcBorders>
              <w:top w:val="nil"/>
              <w:left w:val="nil"/>
              <w:bottom w:val="single" w:color="auto" w:sz="4" w:space="0"/>
              <w:right w:val="single" w:color="auto" w:sz="4" w:space="0"/>
            </w:tcBorders>
            <w:shd w:val="clear" w:color="auto" w:fill="auto"/>
            <w:vAlign w:val="center"/>
          </w:tcPr>
          <w:p w14:paraId="7B2253F8">
            <w:pPr>
              <w:widowControl/>
              <w:spacing w:line="32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产出指标</w:t>
            </w:r>
          </w:p>
        </w:tc>
        <w:tc>
          <w:tcPr>
            <w:tcW w:w="1975" w:type="dxa"/>
            <w:gridSpan w:val="2"/>
            <w:tcBorders>
              <w:top w:val="single" w:color="auto" w:sz="4" w:space="0"/>
              <w:left w:val="nil"/>
              <w:bottom w:val="single" w:color="auto" w:sz="4" w:space="0"/>
              <w:right w:val="single" w:color="000000" w:sz="4" w:space="0"/>
            </w:tcBorders>
            <w:shd w:val="clear" w:color="auto" w:fill="auto"/>
            <w:vAlign w:val="center"/>
          </w:tcPr>
          <w:p w14:paraId="1EB6EF58">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数量指标</w:t>
            </w:r>
          </w:p>
        </w:tc>
        <w:tc>
          <w:tcPr>
            <w:tcW w:w="2429" w:type="dxa"/>
            <w:gridSpan w:val="3"/>
            <w:tcBorders>
              <w:top w:val="single" w:color="auto" w:sz="4" w:space="0"/>
              <w:left w:val="nil"/>
              <w:bottom w:val="single" w:color="auto" w:sz="4" w:space="0"/>
              <w:right w:val="single" w:color="auto" w:sz="4" w:space="0"/>
            </w:tcBorders>
            <w:shd w:val="clear" w:color="auto" w:fill="auto"/>
            <w:vAlign w:val="center"/>
          </w:tcPr>
          <w:p w14:paraId="2C67D496">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学生资助人数</w:t>
            </w:r>
          </w:p>
        </w:tc>
        <w:tc>
          <w:tcPr>
            <w:tcW w:w="824" w:type="dxa"/>
            <w:tcBorders>
              <w:top w:val="nil"/>
              <w:left w:val="nil"/>
              <w:bottom w:val="single" w:color="auto" w:sz="4" w:space="0"/>
              <w:right w:val="single" w:color="auto" w:sz="4" w:space="0"/>
            </w:tcBorders>
            <w:shd w:val="clear" w:color="auto" w:fill="auto"/>
            <w:vAlign w:val="center"/>
          </w:tcPr>
          <w:p w14:paraId="4F4DF2CE">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35" w:type="dxa"/>
            <w:tcBorders>
              <w:top w:val="nil"/>
              <w:left w:val="nil"/>
              <w:bottom w:val="single" w:color="auto" w:sz="4" w:space="0"/>
              <w:right w:val="single" w:color="auto" w:sz="4" w:space="0"/>
            </w:tcBorders>
            <w:shd w:val="clear" w:color="auto" w:fill="auto"/>
            <w:vAlign w:val="center"/>
          </w:tcPr>
          <w:p w14:paraId="642FCB52">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150</w:t>
            </w:r>
          </w:p>
        </w:tc>
        <w:tc>
          <w:tcPr>
            <w:tcW w:w="646" w:type="dxa"/>
            <w:tcBorders>
              <w:top w:val="nil"/>
              <w:left w:val="nil"/>
              <w:bottom w:val="single" w:color="auto" w:sz="4" w:space="0"/>
              <w:right w:val="single" w:color="auto" w:sz="4" w:space="0"/>
            </w:tcBorders>
            <w:shd w:val="clear" w:color="auto" w:fill="auto"/>
            <w:vAlign w:val="center"/>
          </w:tcPr>
          <w:p w14:paraId="66F4B8E3">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人</w:t>
            </w:r>
          </w:p>
        </w:tc>
        <w:tc>
          <w:tcPr>
            <w:tcW w:w="662" w:type="dxa"/>
            <w:tcBorders>
              <w:top w:val="nil"/>
              <w:left w:val="nil"/>
              <w:bottom w:val="single" w:color="auto" w:sz="4" w:space="0"/>
              <w:right w:val="single" w:color="auto" w:sz="4" w:space="0"/>
            </w:tcBorders>
            <w:shd w:val="clear" w:color="auto" w:fill="auto"/>
            <w:vAlign w:val="center"/>
          </w:tcPr>
          <w:p w14:paraId="500D8E75">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11</w:t>
            </w:r>
          </w:p>
        </w:tc>
      </w:tr>
      <w:tr w14:paraId="1EBBAB1C">
        <w:tblPrEx>
          <w:tblCellMar>
            <w:top w:w="0" w:type="dxa"/>
            <w:left w:w="108" w:type="dxa"/>
            <w:bottom w:w="0" w:type="dxa"/>
            <w:right w:w="108" w:type="dxa"/>
          </w:tblCellMar>
        </w:tblPrEx>
        <w:trPr>
          <w:trHeight w:val="745" w:hRule="atLeast"/>
        </w:trPr>
        <w:tc>
          <w:tcPr>
            <w:tcW w:w="521" w:type="dxa"/>
            <w:vMerge w:val="continue"/>
            <w:tcBorders>
              <w:top w:val="nil"/>
              <w:left w:val="single" w:color="auto" w:sz="4" w:space="0"/>
              <w:bottom w:val="single" w:color="auto" w:sz="4" w:space="0"/>
              <w:right w:val="single" w:color="auto" w:sz="4" w:space="0"/>
            </w:tcBorders>
            <w:vAlign w:val="center"/>
          </w:tcPr>
          <w:p w14:paraId="5D7AEFA5">
            <w:pPr>
              <w:widowControl/>
              <w:spacing w:line="400" w:lineRule="exact"/>
              <w:jc w:val="left"/>
              <w:rPr>
                <w:rFonts w:ascii="宋体" w:hAnsi="宋体" w:eastAsia="宋体" w:cs="宋体"/>
                <w:b/>
                <w:bCs/>
                <w:color w:val="000000"/>
                <w:kern w:val="0"/>
                <w:sz w:val="20"/>
                <w:szCs w:val="20"/>
              </w:rPr>
            </w:pPr>
          </w:p>
        </w:tc>
        <w:tc>
          <w:tcPr>
            <w:tcW w:w="1005" w:type="dxa"/>
            <w:gridSpan w:val="2"/>
            <w:tcBorders>
              <w:top w:val="nil"/>
              <w:left w:val="nil"/>
              <w:bottom w:val="single" w:color="auto" w:sz="4" w:space="0"/>
              <w:right w:val="single" w:color="auto" w:sz="4" w:space="0"/>
            </w:tcBorders>
            <w:shd w:val="clear" w:color="auto" w:fill="auto"/>
            <w:vAlign w:val="center"/>
          </w:tcPr>
          <w:p w14:paraId="6AD4BC2B">
            <w:pPr>
              <w:widowControl/>
              <w:spacing w:line="32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产出指标</w:t>
            </w:r>
          </w:p>
        </w:tc>
        <w:tc>
          <w:tcPr>
            <w:tcW w:w="1975" w:type="dxa"/>
            <w:gridSpan w:val="2"/>
            <w:tcBorders>
              <w:top w:val="single" w:color="auto" w:sz="4" w:space="0"/>
              <w:left w:val="nil"/>
              <w:bottom w:val="single" w:color="auto" w:sz="4" w:space="0"/>
              <w:right w:val="single" w:color="000000" w:sz="4" w:space="0"/>
            </w:tcBorders>
            <w:shd w:val="clear" w:color="auto" w:fill="auto"/>
            <w:vAlign w:val="center"/>
          </w:tcPr>
          <w:p w14:paraId="11953441">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质量指标</w:t>
            </w:r>
          </w:p>
        </w:tc>
        <w:tc>
          <w:tcPr>
            <w:tcW w:w="2429" w:type="dxa"/>
            <w:gridSpan w:val="3"/>
            <w:tcBorders>
              <w:top w:val="single" w:color="auto" w:sz="4" w:space="0"/>
              <w:left w:val="nil"/>
              <w:bottom w:val="single" w:color="auto" w:sz="4" w:space="0"/>
              <w:right w:val="single" w:color="auto" w:sz="4" w:space="0"/>
            </w:tcBorders>
            <w:shd w:val="clear" w:color="auto" w:fill="auto"/>
            <w:vAlign w:val="center"/>
          </w:tcPr>
          <w:p w14:paraId="751AAE9A">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九年义务教育巩固率</w:t>
            </w:r>
          </w:p>
        </w:tc>
        <w:tc>
          <w:tcPr>
            <w:tcW w:w="824" w:type="dxa"/>
            <w:tcBorders>
              <w:top w:val="nil"/>
              <w:left w:val="nil"/>
              <w:bottom w:val="single" w:color="auto" w:sz="4" w:space="0"/>
              <w:right w:val="single" w:color="auto" w:sz="4" w:space="0"/>
            </w:tcBorders>
            <w:shd w:val="clear" w:color="auto" w:fill="auto"/>
            <w:vAlign w:val="center"/>
          </w:tcPr>
          <w:p w14:paraId="7C86A2D5">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35" w:type="dxa"/>
            <w:tcBorders>
              <w:top w:val="nil"/>
              <w:left w:val="nil"/>
              <w:bottom w:val="single" w:color="auto" w:sz="4" w:space="0"/>
              <w:right w:val="single" w:color="auto" w:sz="4" w:space="0"/>
            </w:tcBorders>
            <w:shd w:val="clear" w:color="auto" w:fill="auto"/>
            <w:vAlign w:val="center"/>
          </w:tcPr>
          <w:p w14:paraId="66B6C8A2">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99.94</w:t>
            </w:r>
          </w:p>
        </w:tc>
        <w:tc>
          <w:tcPr>
            <w:tcW w:w="646" w:type="dxa"/>
            <w:tcBorders>
              <w:top w:val="nil"/>
              <w:left w:val="nil"/>
              <w:bottom w:val="single" w:color="auto" w:sz="4" w:space="0"/>
              <w:right w:val="single" w:color="auto" w:sz="4" w:space="0"/>
            </w:tcBorders>
            <w:shd w:val="clear" w:color="auto" w:fill="auto"/>
            <w:vAlign w:val="center"/>
          </w:tcPr>
          <w:p w14:paraId="28473E92">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662" w:type="dxa"/>
            <w:tcBorders>
              <w:top w:val="nil"/>
              <w:left w:val="nil"/>
              <w:bottom w:val="single" w:color="auto" w:sz="4" w:space="0"/>
              <w:right w:val="single" w:color="auto" w:sz="4" w:space="0"/>
            </w:tcBorders>
            <w:shd w:val="clear" w:color="auto" w:fill="auto"/>
            <w:vAlign w:val="center"/>
          </w:tcPr>
          <w:p w14:paraId="6E3BDCFB">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r>
      <w:tr w14:paraId="26B4D7A5">
        <w:tblPrEx>
          <w:tblCellMar>
            <w:top w:w="0" w:type="dxa"/>
            <w:left w:w="108" w:type="dxa"/>
            <w:bottom w:w="0" w:type="dxa"/>
            <w:right w:w="108" w:type="dxa"/>
          </w:tblCellMar>
        </w:tblPrEx>
        <w:trPr>
          <w:trHeight w:val="745" w:hRule="atLeast"/>
        </w:trPr>
        <w:tc>
          <w:tcPr>
            <w:tcW w:w="521" w:type="dxa"/>
            <w:vMerge w:val="continue"/>
            <w:tcBorders>
              <w:top w:val="nil"/>
              <w:left w:val="single" w:color="auto" w:sz="4" w:space="0"/>
              <w:bottom w:val="single" w:color="auto" w:sz="4" w:space="0"/>
              <w:right w:val="single" w:color="auto" w:sz="4" w:space="0"/>
            </w:tcBorders>
            <w:vAlign w:val="center"/>
          </w:tcPr>
          <w:p w14:paraId="464E3247">
            <w:pPr>
              <w:widowControl/>
              <w:spacing w:line="400" w:lineRule="exact"/>
              <w:jc w:val="left"/>
              <w:rPr>
                <w:rFonts w:ascii="宋体" w:hAnsi="宋体" w:eastAsia="宋体" w:cs="宋体"/>
                <w:b/>
                <w:bCs/>
                <w:color w:val="000000"/>
                <w:kern w:val="0"/>
                <w:sz w:val="20"/>
                <w:szCs w:val="20"/>
              </w:rPr>
            </w:pPr>
          </w:p>
        </w:tc>
        <w:tc>
          <w:tcPr>
            <w:tcW w:w="1005" w:type="dxa"/>
            <w:gridSpan w:val="2"/>
            <w:tcBorders>
              <w:top w:val="nil"/>
              <w:left w:val="nil"/>
              <w:bottom w:val="single" w:color="auto" w:sz="4" w:space="0"/>
              <w:right w:val="single" w:color="auto" w:sz="4" w:space="0"/>
            </w:tcBorders>
            <w:shd w:val="clear" w:color="auto" w:fill="auto"/>
            <w:vAlign w:val="center"/>
          </w:tcPr>
          <w:p w14:paraId="5C1AC6EB">
            <w:pPr>
              <w:widowControl/>
              <w:spacing w:line="32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履职效能</w:t>
            </w:r>
          </w:p>
        </w:tc>
        <w:tc>
          <w:tcPr>
            <w:tcW w:w="1975" w:type="dxa"/>
            <w:gridSpan w:val="2"/>
            <w:tcBorders>
              <w:top w:val="single" w:color="auto" w:sz="4" w:space="0"/>
              <w:left w:val="nil"/>
              <w:bottom w:val="single" w:color="auto" w:sz="4" w:space="0"/>
              <w:right w:val="single" w:color="000000" w:sz="4" w:space="0"/>
            </w:tcBorders>
            <w:shd w:val="clear" w:color="auto" w:fill="auto"/>
            <w:vAlign w:val="center"/>
          </w:tcPr>
          <w:p w14:paraId="25DDDAB5">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数量指标</w:t>
            </w:r>
          </w:p>
        </w:tc>
        <w:tc>
          <w:tcPr>
            <w:tcW w:w="2429" w:type="dxa"/>
            <w:gridSpan w:val="3"/>
            <w:tcBorders>
              <w:top w:val="single" w:color="auto" w:sz="4" w:space="0"/>
              <w:left w:val="nil"/>
              <w:bottom w:val="single" w:color="auto" w:sz="4" w:space="0"/>
              <w:right w:val="single" w:color="auto" w:sz="4" w:space="0"/>
            </w:tcBorders>
            <w:shd w:val="clear" w:color="auto" w:fill="auto"/>
            <w:vAlign w:val="center"/>
          </w:tcPr>
          <w:p w14:paraId="168432D6">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校园“三防”配齐率</w:t>
            </w:r>
          </w:p>
        </w:tc>
        <w:tc>
          <w:tcPr>
            <w:tcW w:w="824" w:type="dxa"/>
            <w:tcBorders>
              <w:top w:val="nil"/>
              <w:left w:val="nil"/>
              <w:bottom w:val="single" w:color="auto" w:sz="4" w:space="0"/>
              <w:right w:val="single" w:color="auto" w:sz="4" w:space="0"/>
            </w:tcBorders>
            <w:shd w:val="clear" w:color="auto" w:fill="auto"/>
            <w:vAlign w:val="center"/>
          </w:tcPr>
          <w:p w14:paraId="2906AFAB">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35" w:type="dxa"/>
            <w:tcBorders>
              <w:top w:val="nil"/>
              <w:left w:val="nil"/>
              <w:bottom w:val="single" w:color="auto" w:sz="4" w:space="0"/>
              <w:right w:val="single" w:color="auto" w:sz="4" w:space="0"/>
            </w:tcBorders>
            <w:shd w:val="clear" w:color="auto" w:fill="auto"/>
            <w:vAlign w:val="center"/>
          </w:tcPr>
          <w:p w14:paraId="78B1D105">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46" w:type="dxa"/>
            <w:tcBorders>
              <w:top w:val="nil"/>
              <w:left w:val="nil"/>
              <w:bottom w:val="single" w:color="auto" w:sz="4" w:space="0"/>
              <w:right w:val="single" w:color="auto" w:sz="4" w:space="0"/>
            </w:tcBorders>
            <w:shd w:val="clear" w:color="auto" w:fill="auto"/>
            <w:vAlign w:val="center"/>
          </w:tcPr>
          <w:p w14:paraId="52048466">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662" w:type="dxa"/>
            <w:tcBorders>
              <w:top w:val="nil"/>
              <w:left w:val="nil"/>
              <w:bottom w:val="single" w:color="auto" w:sz="4" w:space="0"/>
              <w:right w:val="single" w:color="auto" w:sz="4" w:space="0"/>
            </w:tcBorders>
            <w:shd w:val="clear" w:color="auto" w:fill="auto"/>
            <w:vAlign w:val="center"/>
          </w:tcPr>
          <w:p w14:paraId="7D11D259">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15</w:t>
            </w:r>
          </w:p>
        </w:tc>
      </w:tr>
      <w:tr w14:paraId="086D2B7B">
        <w:tblPrEx>
          <w:tblCellMar>
            <w:top w:w="0" w:type="dxa"/>
            <w:left w:w="108" w:type="dxa"/>
            <w:bottom w:w="0" w:type="dxa"/>
            <w:right w:w="108" w:type="dxa"/>
          </w:tblCellMar>
        </w:tblPrEx>
        <w:trPr>
          <w:trHeight w:val="745" w:hRule="atLeast"/>
        </w:trPr>
        <w:tc>
          <w:tcPr>
            <w:tcW w:w="521" w:type="dxa"/>
            <w:vMerge w:val="continue"/>
            <w:tcBorders>
              <w:top w:val="nil"/>
              <w:left w:val="single" w:color="auto" w:sz="4" w:space="0"/>
              <w:bottom w:val="single" w:color="auto" w:sz="4" w:space="0"/>
              <w:right w:val="single" w:color="auto" w:sz="4" w:space="0"/>
            </w:tcBorders>
            <w:vAlign w:val="center"/>
          </w:tcPr>
          <w:p w14:paraId="64A51FFF">
            <w:pPr>
              <w:widowControl/>
              <w:spacing w:line="400" w:lineRule="exact"/>
              <w:jc w:val="left"/>
              <w:rPr>
                <w:rFonts w:ascii="宋体" w:hAnsi="宋体" w:eastAsia="宋体" w:cs="宋体"/>
                <w:b/>
                <w:bCs/>
                <w:color w:val="000000"/>
                <w:kern w:val="0"/>
                <w:sz w:val="20"/>
                <w:szCs w:val="20"/>
              </w:rPr>
            </w:pPr>
          </w:p>
        </w:tc>
        <w:tc>
          <w:tcPr>
            <w:tcW w:w="1005" w:type="dxa"/>
            <w:gridSpan w:val="2"/>
            <w:tcBorders>
              <w:top w:val="nil"/>
              <w:left w:val="nil"/>
              <w:bottom w:val="single" w:color="auto" w:sz="4" w:space="0"/>
              <w:right w:val="single" w:color="auto" w:sz="4" w:space="0"/>
            </w:tcBorders>
            <w:shd w:val="clear" w:color="auto" w:fill="auto"/>
            <w:vAlign w:val="center"/>
          </w:tcPr>
          <w:p w14:paraId="36175E9D">
            <w:pPr>
              <w:widowControl/>
              <w:spacing w:line="32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履职效能</w:t>
            </w:r>
          </w:p>
        </w:tc>
        <w:tc>
          <w:tcPr>
            <w:tcW w:w="1975" w:type="dxa"/>
            <w:gridSpan w:val="2"/>
            <w:tcBorders>
              <w:top w:val="single" w:color="auto" w:sz="4" w:space="0"/>
              <w:left w:val="nil"/>
              <w:bottom w:val="single" w:color="auto" w:sz="4" w:space="0"/>
              <w:right w:val="single" w:color="000000" w:sz="4" w:space="0"/>
            </w:tcBorders>
            <w:shd w:val="clear" w:color="auto" w:fill="auto"/>
            <w:vAlign w:val="center"/>
          </w:tcPr>
          <w:p w14:paraId="01DCEF4B">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质量指标</w:t>
            </w:r>
          </w:p>
        </w:tc>
        <w:tc>
          <w:tcPr>
            <w:tcW w:w="2429" w:type="dxa"/>
            <w:gridSpan w:val="3"/>
            <w:tcBorders>
              <w:top w:val="single" w:color="auto" w:sz="4" w:space="0"/>
              <w:left w:val="nil"/>
              <w:bottom w:val="single" w:color="auto" w:sz="4" w:space="0"/>
              <w:right w:val="single" w:color="auto" w:sz="4" w:space="0"/>
            </w:tcBorders>
            <w:shd w:val="clear" w:color="auto" w:fill="auto"/>
            <w:vAlign w:val="center"/>
          </w:tcPr>
          <w:p w14:paraId="7AEAFB9D">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安全事故发生率</w:t>
            </w:r>
          </w:p>
        </w:tc>
        <w:tc>
          <w:tcPr>
            <w:tcW w:w="824" w:type="dxa"/>
            <w:tcBorders>
              <w:top w:val="nil"/>
              <w:left w:val="nil"/>
              <w:bottom w:val="single" w:color="auto" w:sz="4" w:space="0"/>
              <w:right w:val="single" w:color="auto" w:sz="4" w:space="0"/>
            </w:tcBorders>
            <w:shd w:val="clear" w:color="auto" w:fill="auto"/>
            <w:vAlign w:val="center"/>
          </w:tcPr>
          <w:p w14:paraId="78EF3797">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35" w:type="dxa"/>
            <w:tcBorders>
              <w:top w:val="nil"/>
              <w:left w:val="nil"/>
              <w:bottom w:val="single" w:color="auto" w:sz="4" w:space="0"/>
              <w:right w:val="single" w:color="auto" w:sz="4" w:space="0"/>
            </w:tcBorders>
            <w:shd w:val="clear" w:color="auto" w:fill="auto"/>
            <w:vAlign w:val="center"/>
          </w:tcPr>
          <w:p w14:paraId="566C2F33">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0</w:t>
            </w:r>
          </w:p>
        </w:tc>
        <w:tc>
          <w:tcPr>
            <w:tcW w:w="646" w:type="dxa"/>
            <w:tcBorders>
              <w:top w:val="nil"/>
              <w:left w:val="nil"/>
              <w:bottom w:val="single" w:color="auto" w:sz="4" w:space="0"/>
              <w:right w:val="single" w:color="auto" w:sz="4" w:space="0"/>
            </w:tcBorders>
            <w:shd w:val="clear" w:color="auto" w:fill="auto"/>
            <w:vAlign w:val="center"/>
          </w:tcPr>
          <w:p w14:paraId="65CBDCF6">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662" w:type="dxa"/>
            <w:tcBorders>
              <w:top w:val="nil"/>
              <w:left w:val="nil"/>
              <w:bottom w:val="single" w:color="auto" w:sz="4" w:space="0"/>
              <w:right w:val="single" w:color="auto" w:sz="4" w:space="0"/>
            </w:tcBorders>
            <w:shd w:val="clear" w:color="auto" w:fill="auto"/>
            <w:vAlign w:val="center"/>
          </w:tcPr>
          <w:p w14:paraId="565E7BC0">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14</w:t>
            </w:r>
          </w:p>
        </w:tc>
      </w:tr>
      <w:tr w14:paraId="5E7C538F">
        <w:tblPrEx>
          <w:tblCellMar>
            <w:top w:w="0" w:type="dxa"/>
            <w:left w:w="108" w:type="dxa"/>
            <w:bottom w:w="0" w:type="dxa"/>
            <w:right w:w="108" w:type="dxa"/>
          </w:tblCellMar>
        </w:tblPrEx>
        <w:trPr>
          <w:trHeight w:val="745" w:hRule="atLeast"/>
        </w:trPr>
        <w:tc>
          <w:tcPr>
            <w:tcW w:w="521" w:type="dxa"/>
            <w:vMerge w:val="continue"/>
            <w:tcBorders>
              <w:top w:val="nil"/>
              <w:left w:val="single" w:color="auto" w:sz="4" w:space="0"/>
              <w:bottom w:val="single" w:color="auto" w:sz="4" w:space="0"/>
              <w:right w:val="single" w:color="auto" w:sz="4" w:space="0"/>
            </w:tcBorders>
            <w:vAlign w:val="center"/>
          </w:tcPr>
          <w:p w14:paraId="77FC4986">
            <w:pPr>
              <w:widowControl/>
              <w:spacing w:line="400" w:lineRule="exact"/>
              <w:jc w:val="left"/>
              <w:rPr>
                <w:rFonts w:ascii="宋体" w:hAnsi="宋体" w:eastAsia="宋体" w:cs="宋体"/>
                <w:b/>
                <w:bCs/>
                <w:color w:val="000000"/>
                <w:kern w:val="0"/>
                <w:sz w:val="20"/>
                <w:szCs w:val="20"/>
              </w:rPr>
            </w:pPr>
          </w:p>
        </w:tc>
        <w:tc>
          <w:tcPr>
            <w:tcW w:w="1005" w:type="dxa"/>
            <w:gridSpan w:val="2"/>
            <w:tcBorders>
              <w:top w:val="nil"/>
              <w:left w:val="nil"/>
              <w:bottom w:val="single" w:color="auto" w:sz="4" w:space="0"/>
              <w:right w:val="single" w:color="auto" w:sz="4" w:space="0"/>
            </w:tcBorders>
            <w:shd w:val="clear" w:color="auto" w:fill="auto"/>
            <w:vAlign w:val="center"/>
          </w:tcPr>
          <w:p w14:paraId="1A90C6E1">
            <w:pPr>
              <w:widowControl/>
              <w:spacing w:line="32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社会效应</w:t>
            </w:r>
          </w:p>
        </w:tc>
        <w:tc>
          <w:tcPr>
            <w:tcW w:w="1975" w:type="dxa"/>
            <w:gridSpan w:val="2"/>
            <w:tcBorders>
              <w:top w:val="single" w:color="auto" w:sz="4" w:space="0"/>
              <w:left w:val="nil"/>
              <w:bottom w:val="single" w:color="auto" w:sz="4" w:space="0"/>
              <w:right w:val="single" w:color="000000" w:sz="4" w:space="0"/>
            </w:tcBorders>
            <w:shd w:val="clear" w:color="auto" w:fill="auto"/>
            <w:vAlign w:val="center"/>
          </w:tcPr>
          <w:p w14:paraId="4D2BDB72">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经济效益</w:t>
            </w:r>
          </w:p>
        </w:tc>
        <w:tc>
          <w:tcPr>
            <w:tcW w:w="2429" w:type="dxa"/>
            <w:gridSpan w:val="3"/>
            <w:tcBorders>
              <w:top w:val="single" w:color="auto" w:sz="4" w:space="0"/>
              <w:left w:val="nil"/>
              <w:bottom w:val="single" w:color="auto" w:sz="4" w:space="0"/>
              <w:right w:val="single" w:color="auto" w:sz="4" w:space="0"/>
            </w:tcBorders>
            <w:shd w:val="clear" w:color="auto" w:fill="auto"/>
            <w:vAlign w:val="center"/>
          </w:tcPr>
          <w:p w14:paraId="06B3DC55">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毕业生升学率</w:t>
            </w:r>
          </w:p>
        </w:tc>
        <w:tc>
          <w:tcPr>
            <w:tcW w:w="824" w:type="dxa"/>
            <w:tcBorders>
              <w:top w:val="nil"/>
              <w:left w:val="nil"/>
              <w:bottom w:val="single" w:color="auto" w:sz="4" w:space="0"/>
              <w:right w:val="single" w:color="auto" w:sz="4" w:space="0"/>
            </w:tcBorders>
            <w:shd w:val="clear" w:color="auto" w:fill="auto"/>
            <w:vAlign w:val="center"/>
          </w:tcPr>
          <w:p w14:paraId="09395F07">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35" w:type="dxa"/>
            <w:tcBorders>
              <w:top w:val="nil"/>
              <w:left w:val="nil"/>
              <w:bottom w:val="single" w:color="auto" w:sz="4" w:space="0"/>
              <w:right w:val="single" w:color="auto" w:sz="4" w:space="0"/>
            </w:tcBorders>
            <w:shd w:val="clear" w:color="auto" w:fill="auto"/>
            <w:vAlign w:val="center"/>
          </w:tcPr>
          <w:p w14:paraId="4CC88C03">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646" w:type="dxa"/>
            <w:tcBorders>
              <w:top w:val="nil"/>
              <w:left w:val="nil"/>
              <w:bottom w:val="single" w:color="auto" w:sz="4" w:space="0"/>
              <w:right w:val="single" w:color="auto" w:sz="4" w:space="0"/>
            </w:tcBorders>
            <w:shd w:val="clear" w:color="auto" w:fill="auto"/>
            <w:vAlign w:val="center"/>
          </w:tcPr>
          <w:p w14:paraId="50976C13">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662" w:type="dxa"/>
            <w:tcBorders>
              <w:top w:val="nil"/>
              <w:left w:val="nil"/>
              <w:bottom w:val="single" w:color="auto" w:sz="4" w:space="0"/>
              <w:right w:val="single" w:color="auto" w:sz="4" w:space="0"/>
            </w:tcBorders>
            <w:shd w:val="clear" w:color="auto" w:fill="auto"/>
            <w:vAlign w:val="center"/>
          </w:tcPr>
          <w:p w14:paraId="3198CAE3">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r>
      <w:tr w14:paraId="0AB44136">
        <w:tblPrEx>
          <w:tblCellMar>
            <w:top w:w="0" w:type="dxa"/>
            <w:left w:w="108" w:type="dxa"/>
            <w:bottom w:w="0" w:type="dxa"/>
            <w:right w:w="108" w:type="dxa"/>
          </w:tblCellMar>
        </w:tblPrEx>
        <w:trPr>
          <w:trHeight w:val="745" w:hRule="atLeast"/>
        </w:trPr>
        <w:tc>
          <w:tcPr>
            <w:tcW w:w="521" w:type="dxa"/>
            <w:vMerge w:val="continue"/>
            <w:tcBorders>
              <w:top w:val="nil"/>
              <w:left w:val="single" w:color="auto" w:sz="4" w:space="0"/>
              <w:bottom w:val="single" w:color="auto" w:sz="4" w:space="0"/>
              <w:right w:val="single" w:color="auto" w:sz="4" w:space="0"/>
            </w:tcBorders>
            <w:vAlign w:val="center"/>
          </w:tcPr>
          <w:p w14:paraId="406FA22E">
            <w:pPr>
              <w:widowControl/>
              <w:spacing w:line="400" w:lineRule="exact"/>
              <w:jc w:val="left"/>
              <w:rPr>
                <w:rFonts w:ascii="宋体" w:hAnsi="宋体" w:eastAsia="宋体" w:cs="宋体"/>
                <w:b/>
                <w:bCs/>
                <w:color w:val="000000"/>
                <w:kern w:val="0"/>
                <w:sz w:val="20"/>
                <w:szCs w:val="20"/>
              </w:rPr>
            </w:pPr>
          </w:p>
        </w:tc>
        <w:tc>
          <w:tcPr>
            <w:tcW w:w="1005" w:type="dxa"/>
            <w:gridSpan w:val="2"/>
            <w:tcBorders>
              <w:top w:val="nil"/>
              <w:left w:val="nil"/>
              <w:bottom w:val="single" w:color="auto" w:sz="4" w:space="0"/>
              <w:right w:val="single" w:color="auto" w:sz="4" w:space="0"/>
            </w:tcBorders>
            <w:shd w:val="clear" w:color="auto" w:fill="auto"/>
            <w:vAlign w:val="center"/>
          </w:tcPr>
          <w:p w14:paraId="035F0748">
            <w:pPr>
              <w:widowControl/>
              <w:spacing w:line="320" w:lineRule="exact"/>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社会效应</w:t>
            </w:r>
          </w:p>
        </w:tc>
        <w:tc>
          <w:tcPr>
            <w:tcW w:w="1975" w:type="dxa"/>
            <w:gridSpan w:val="2"/>
            <w:tcBorders>
              <w:top w:val="single" w:color="auto" w:sz="4" w:space="0"/>
              <w:left w:val="nil"/>
              <w:bottom w:val="single" w:color="auto" w:sz="4" w:space="0"/>
              <w:right w:val="single" w:color="000000" w:sz="4" w:space="0"/>
            </w:tcBorders>
            <w:shd w:val="clear" w:color="auto" w:fill="auto"/>
            <w:vAlign w:val="center"/>
          </w:tcPr>
          <w:p w14:paraId="5996AE5B">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社会效益</w:t>
            </w:r>
          </w:p>
        </w:tc>
        <w:tc>
          <w:tcPr>
            <w:tcW w:w="2429" w:type="dxa"/>
            <w:gridSpan w:val="3"/>
            <w:tcBorders>
              <w:top w:val="single" w:color="auto" w:sz="4" w:space="0"/>
              <w:left w:val="nil"/>
              <w:bottom w:val="single" w:color="auto" w:sz="4" w:space="0"/>
              <w:right w:val="single" w:color="auto" w:sz="4" w:space="0"/>
            </w:tcBorders>
            <w:shd w:val="clear" w:color="auto" w:fill="auto"/>
            <w:vAlign w:val="center"/>
          </w:tcPr>
          <w:p w14:paraId="7ADE9574">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家长好评率</w:t>
            </w:r>
          </w:p>
        </w:tc>
        <w:tc>
          <w:tcPr>
            <w:tcW w:w="824" w:type="dxa"/>
            <w:tcBorders>
              <w:top w:val="nil"/>
              <w:left w:val="nil"/>
              <w:bottom w:val="single" w:color="auto" w:sz="4" w:space="0"/>
              <w:right w:val="single" w:color="auto" w:sz="4" w:space="0"/>
            </w:tcBorders>
            <w:shd w:val="clear" w:color="auto" w:fill="auto"/>
            <w:vAlign w:val="center"/>
          </w:tcPr>
          <w:p w14:paraId="2129DE09">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35" w:type="dxa"/>
            <w:tcBorders>
              <w:top w:val="nil"/>
              <w:left w:val="nil"/>
              <w:bottom w:val="single" w:color="auto" w:sz="4" w:space="0"/>
              <w:right w:val="single" w:color="auto" w:sz="4" w:space="0"/>
            </w:tcBorders>
            <w:shd w:val="clear" w:color="auto" w:fill="auto"/>
            <w:vAlign w:val="center"/>
          </w:tcPr>
          <w:p w14:paraId="44E032EA">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98</w:t>
            </w:r>
          </w:p>
        </w:tc>
        <w:tc>
          <w:tcPr>
            <w:tcW w:w="646" w:type="dxa"/>
            <w:tcBorders>
              <w:top w:val="nil"/>
              <w:left w:val="nil"/>
              <w:bottom w:val="single" w:color="auto" w:sz="4" w:space="0"/>
              <w:right w:val="single" w:color="auto" w:sz="4" w:space="0"/>
            </w:tcBorders>
            <w:shd w:val="clear" w:color="auto" w:fill="auto"/>
            <w:vAlign w:val="center"/>
          </w:tcPr>
          <w:p w14:paraId="673C333F">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662" w:type="dxa"/>
            <w:tcBorders>
              <w:top w:val="nil"/>
              <w:left w:val="nil"/>
              <w:bottom w:val="single" w:color="auto" w:sz="4" w:space="0"/>
              <w:right w:val="single" w:color="auto" w:sz="4" w:space="0"/>
            </w:tcBorders>
            <w:shd w:val="clear" w:color="auto" w:fill="auto"/>
            <w:vAlign w:val="center"/>
          </w:tcPr>
          <w:p w14:paraId="52128220">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9</w:t>
            </w:r>
          </w:p>
        </w:tc>
      </w:tr>
      <w:tr w14:paraId="66464939">
        <w:tblPrEx>
          <w:tblCellMar>
            <w:top w:w="0" w:type="dxa"/>
            <w:left w:w="108" w:type="dxa"/>
            <w:bottom w:w="0" w:type="dxa"/>
            <w:right w:w="108" w:type="dxa"/>
          </w:tblCellMar>
        </w:tblPrEx>
        <w:trPr>
          <w:trHeight w:val="745" w:hRule="atLeast"/>
        </w:trPr>
        <w:tc>
          <w:tcPr>
            <w:tcW w:w="521" w:type="dxa"/>
            <w:vMerge w:val="continue"/>
            <w:tcBorders>
              <w:top w:val="nil"/>
              <w:left w:val="single" w:color="auto" w:sz="4" w:space="0"/>
              <w:bottom w:val="single" w:color="auto" w:sz="4" w:space="0"/>
              <w:right w:val="single" w:color="auto" w:sz="4" w:space="0"/>
            </w:tcBorders>
            <w:vAlign w:val="center"/>
          </w:tcPr>
          <w:p w14:paraId="5948B526">
            <w:pPr>
              <w:widowControl/>
              <w:spacing w:line="400" w:lineRule="exact"/>
              <w:jc w:val="left"/>
              <w:rPr>
                <w:rFonts w:ascii="宋体" w:hAnsi="宋体" w:eastAsia="宋体" w:cs="宋体"/>
                <w:b/>
                <w:bCs/>
                <w:color w:val="000000"/>
                <w:kern w:val="0"/>
                <w:sz w:val="20"/>
                <w:szCs w:val="20"/>
              </w:rPr>
            </w:pPr>
          </w:p>
        </w:tc>
        <w:tc>
          <w:tcPr>
            <w:tcW w:w="838" w:type="dxa"/>
            <w:tcBorders>
              <w:top w:val="nil"/>
              <w:left w:val="nil"/>
              <w:bottom w:val="single" w:color="auto" w:sz="4" w:space="0"/>
              <w:right w:val="single" w:color="auto" w:sz="4" w:space="0"/>
            </w:tcBorders>
            <w:shd w:val="clear" w:color="auto" w:fill="auto"/>
            <w:vAlign w:val="center"/>
          </w:tcPr>
          <w:p w14:paraId="17D838A4">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社会效应</w:t>
            </w:r>
          </w:p>
        </w:tc>
        <w:tc>
          <w:tcPr>
            <w:tcW w:w="2142" w:type="dxa"/>
            <w:gridSpan w:val="3"/>
            <w:tcBorders>
              <w:top w:val="single" w:color="auto" w:sz="4" w:space="0"/>
              <w:left w:val="nil"/>
              <w:bottom w:val="single" w:color="auto" w:sz="4" w:space="0"/>
              <w:right w:val="single" w:color="000000" w:sz="4" w:space="0"/>
            </w:tcBorders>
            <w:shd w:val="clear" w:color="auto" w:fill="auto"/>
            <w:vAlign w:val="center"/>
          </w:tcPr>
          <w:p w14:paraId="41A49B4D">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社会效益</w:t>
            </w:r>
          </w:p>
        </w:tc>
        <w:tc>
          <w:tcPr>
            <w:tcW w:w="2429" w:type="dxa"/>
            <w:gridSpan w:val="3"/>
            <w:tcBorders>
              <w:top w:val="single" w:color="auto" w:sz="4" w:space="0"/>
              <w:left w:val="nil"/>
              <w:bottom w:val="single" w:color="auto" w:sz="4" w:space="0"/>
              <w:right w:val="single" w:color="auto" w:sz="4" w:space="0"/>
            </w:tcBorders>
            <w:shd w:val="clear" w:color="auto" w:fill="auto"/>
            <w:vAlign w:val="center"/>
          </w:tcPr>
          <w:p w14:paraId="29569F85">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各级考核合格率</w:t>
            </w:r>
          </w:p>
        </w:tc>
        <w:tc>
          <w:tcPr>
            <w:tcW w:w="824" w:type="dxa"/>
            <w:tcBorders>
              <w:top w:val="nil"/>
              <w:left w:val="nil"/>
              <w:bottom w:val="single" w:color="auto" w:sz="4" w:space="0"/>
              <w:right w:val="single" w:color="auto" w:sz="4" w:space="0"/>
            </w:tcBorders>
            <w:shd w:val="clear" w:color="auto" w:fill="auto"/>
            <w:vAlign w:val="center"/>
          </w:tcPr>
          <w:p w14:paraId="72D57E84">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835" w:type="dxa"/>
            <w:tcBorders>
              <w:top w:val="nil"/>
              <w:left w:val="nil"/>
              <w:bottom w:val="single" w:color="auto" w:sz="4" w:space="0"/>
              <w:right w:val="single" w:color="auto" w:sz="4" w:space="0"/>
            </w:tcBorders>
            <w:shd w:val="clear" w:color="auto" w:fill="auto"/>
            <w:vAlign w:val="center"/>
          </w:tcPr>
          <w:p w14:paraId="40441D66">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98</w:t>
            </w:r>
          </w:p>
        </w:tc>
        <w:tc>
          <w:tcPr>
            <w:tcW w:w="646" w:type="dxa"/>
            <w:tcBorders>
              <w:top w:val="nil"/>
              <w:left w:val="nil"/>
              <w:bottom w:val="single" w:color="auto" w:sz="4" w:space="0"/>
              <w:right w:val="single" w:color="auto" w:sz="4" w:space="0"/>
            </w:tcBorders>
            <w:shd w:val="clear" w:color="auto" w:fill="auto"/>
            <w:vAlign w:val="center"/>
          </w:tcPr>
          <w:p w14:paraId="1AD0D6A5">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662" w:type="dxa"/>
            <w:tcBorders>
              <w:top w:val="nil"/>
              <w:left w:val="nil"/>
              <w:bottom w:val="single" w:color="auto" w:sz="4" w:space="0"/>
              <w:right w:val="single" w:color="auto" w:sz="4" w:space="0"/>
            </w:tcBorders>
            <w:shd w:val="clear" w:color="auto" w:fill="auto"/>
            <w:vAlign w:val="center"/>
          </w:tcPr>
          <w:p w14:paraId="48F12CF8">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11</w:t>
            </w:r>
          </w:p>
        </w:tc>
      </w:tr>
    </w:tbl>
    <w:tbl>
      <w:tblPr>
        <w:tblStyle w:val="5"/>
        <w:tblpPr w:leftFromText="180" w:rightFromText="180" w:horzAnchor="margin" w:tblpXSpec="center" w:tblpY="-3060"/>
        <w:tblW w:w="8707" w:type="dxa"/>
        <w:tblInd w:w="0" w:type="dxa"/>
        <w:tblLayout w:type="fixed"/>
        <w:tblCellMar>
          <w:top w:w="0" w:type="dxa"/>
          <w:left w:w="108" w:type="dxa"/>
          <w:bottom w:w="0" w:type="dxa"/>
          <w:right w:w="108" w:type="dxa"/>
        </w:tblCellMar>
      </w:tblPr>
      <w:tblGrid>
        <w:gridCol w:w="1134"/>
        <w:gridCol w:w="1149"/>
        <w:gridCol w:w="1031"/>
        <w:gridCol w:w="967"/>
        <w:gridCol w:w="222"/>
        <w:gridCol w:w="937"/>
        <w:gridCol w:w="1011"/>
        <w:gridCol w:w="1540"/>
        <w:gridCol w:w="595"/>
        <w:gridCol w:w="121"/>
      </w:tblGrid>
      <w:tr w14:paraId="786F6C58">
        <w:tblPrEx>
          <w:tblCellMar>
            <w:top w:w="0" w:type="dxa"/>
            <w:left w:w="108" w:type="dxa"/>
            <w:bottom w:w="0" w:type="dxa"/>
            <w:right w:w="108" w:type="dxa"/>
          </w:tblCellMar>
        </w:tblPrEx>
        <w:trPr>
          <w:gridAfter w:val="1"/>
          <w:wAfter w:w="121" w:type="dxa"/>
          <w:trHeight w:val="500" w:hRule="atLeast"/>
        </w:trPr>
        <w:tc>
          <w:tcPr>
            <w:tcW w:w="8586" w:type="dxa"/>
            <w:gridSpan w:val="9"/>
            <w:tcBorders>
              <w:top w:val="nil"/>
              <w:left w:val="nil"/>
              <w:bottom w:val="nil"/>
              <w:right w:val="nil"/>
            </w:tcBorders>
            <w:shd w:val="clear" w:color="auto" w:fill="auto"/>
            <w:vAlign w:val="center"/>
          </w:tcPr>
          <w:p w14:paraId="2007C147">
            <w:pPr>
              <w:widowControl/>
              <w:spacing w:line="400" w:lineRule="exact"/>
              <w:jc w:val="center"/>
              <w:rPr>
                <w:rFonts w:ascii="宋体" w:hAnsi="宋体" w:eastAsia="宋体" w:cs="宋体"/>
                <w:b/>
                <w:bCs/>
                <w:color w:val="000000"/>
                <w:kern w:val="0"/>
                <w:sz w:val="32"/>
                <w:szCs w:val="32"/>
              </w:rPr>
            </w:pPr>
          </w:p>
          <w:p w14:paraId="13896394">
            <w:pPr>
              <w:widowControl/>
              <w:spacing w:line="400" w:lineRule="exact"/>
              <w:jc w:val="center"/>
              <w:rPr>
                <w:rFonts w:ascii="宋体" w:hAnsi="宋体" w:eastAsia="宋体" w:cs="宋体"/>
                <w:b/>
                <w:bCs/>
                <w:color w:val="000000"/>
                <w:kern w:val="0"/>
                <w:sz w:val="32"/>
                <w:szCs w:val="32"/>
              </w:rPr>
            </w:pPr>
          </w:p>
          <w:p w14:paraId="0EFFDF1D">
            <w:pPr>
              <w:widowControl/>
              <w:spacing w:line="400" w:lineRule="exact"/>
              <w:jc w:val="center"/>
              <w:rPr>
                <w:rFonts w:ascii="宋体" w:hAnsi="宋体" w:eastAsia="宋体" w:cs="宋体"/>
                <w:b/>
                <w:bCs/>
                <w:color w:val="000000"/>
                <w:kern w:val="0"/>
                <w:sz w:val="32"/>
                <w:szCs w:val="32"/>
              </w:rPr>
            </w:pPr>
          </w:p>
          <w:p w14:paraId="1F731DCF">
            <w:pPr>
              <w:widowControl/>
              <w:spacing w:line="400" w:lineRule="exact"/>
              <w:jc w:val="center"/>
              <w:rPr>
                <w:rFonts w:ascii="宋体" w:hAnsi="宋体" w:eastAsia="宋体" w:cs="宋体"/>
                <w:b/>
                <w:bCs/>
                <w:color w:val="000000"/>
                <w:kern w:val="0"/>
                <w:sz w:val="32"/>
                <w:szCs w:val="32"/>
              </w:rPr>
            </w:pPr>
          </w:p>
          <w:p w14:paraId="11EF4BF1">
            <w:pPr>
              <w:widowControl/>
              <w:spacing w:line="400" w:lineRule="exact"/>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2020年度区级预算单位项目支出绩效自评表</w:t>
            </w:r>
          </w:p>
        </w:tc>
      </w:tr>
      <w:tr w14:paraId="726DE06C">
        <w:tblPrEx>
          <w:tblCellMar>
            <w:top w:w="0" w:type="dxa"/>
            <w:left w:w="108" w:type="dxa"/>
            <w:bottom w:w="0" w:type="dxa"/>
            <w:right w:w="108" w:type="dxa"/>
          </w:tblCellMar>
        </w:tblPrEx>
        <w:trPr>
          <w:trHeight w:val="500" w:hRule="atLeast"/>
        </w:trPr>
        <w:tc>
          <w:tcPr>
            <w:tcW w:w="4281" w:type="dxa"/>
            <w:gridSpan w:val="4"/>
            <w:tcBorders>
              <w:top w:val="nil"/>
              <w:left w:val="nil"/>
              <w:bottom w:val="single" w:color="auto" w:sz="4" w:space="0"/>
              <w:right w:val="nil"/>
            </w:tcBorders>
            <w:shd w:val="clear" w:color="auto" w:fill="auto"/>
            <w:vAlign w:val="center"/>
          </w:tcPr>
          <w:p w14:paraId="38F88278">
            <w:pPr>
              <w:widowControl/>
              <w:spacing w:line="400" w:lineRule="exact"/>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填表单位（盖章）：重庆市綦江区扶欢小学</w:t>
            </w:r>
          </w:p>
        </w:tc>
        <w:tc>
          <w:tcPr>
            <w:tcW w:w="222" w:type="dxa"/>
            <w:tcBorders>
              <w:top w:val="nil"/>
              <w:left w:val="nil"/>
              <w:bottom w:val="nil"/>
              <w:right w:val="nil"/>
            </w:tcBorders>
            <w:shd w:val="clear" w:color="auto" w:fill="auto"/>
            <w:vAlign w:val="center"/>
          </w:tcPr>
          <w:p w14:paraId="6A886923">
            <w:pPr>
              <w:widowControl/>
              <w:spacing w:line="400" w:lineRule="exact"/>
              <w:jc w:val="center"/>
              <w:rPr>
                <w:rFonts w:ascii="宋体" w:hAnsi="宋体" w:eastAsia="宋体" w:cs="宋体"/>
                <w:b/>
                <w:bCs/>
                <w:color w:val="000000"/>
                <w:kern w:val="0"/>
                <w:sz w:val="20"/>
                <w:szCs w:val="20"/>
              </w:rPr>
            </w:pPr>
          </w:p>
        </w:tc>
        <w:tc>
          <w:tcPr>
            <w:tcW w:w="937" w:type="dxa"/>
            <w:tcBorders>
              <w:top w:val="nil"/>
              <w:left w:val="nil"/>
              <w:bottom w:val="nil"/>
              <w:right w:val="nil"/>
            </w:tcBorders>
            <w:shd w:val="clear" w:color="auto" w:fill="auto"/>
            <w:vAlign w:val="center"/>
          </w:tcPr>
          <w:p w14:paraId="2471F6C1">
            <w:pPr>
              <w:widowControl/>
              <w:spacing w:line="400" w:lineRule="exact"/>
              <w:jc w:val="center"/>
              <w:rPr>
                <w:rFonts w:ascii="Times New Roman" w:hAnsi="Times New Roman" w:eastAsia="Times New Roman" w:cs="Times New Roman"/>
                <w:kern w:val="0"/>
                <w:sz w:val="20"/>
                <w:szCs w:val="20"/>
              </w:rPr>
            </w:pPr>
          </w:p>
        </w:tc>
        <w:tc>
          <w:tcPr>
            <w:tcW w:w="1011" w:type="dxa"/>
            <w:tcBorders>
              <w:top w:val="nil"/>
              <w:left w:val="nil"/>
              <w:bottom w:val="nil"/>
              <w:right w:val="nil"/>
            </w:tcBorders>
            <w:shd w:val="clear" w:color="auto" w:fill="auto"/>
            <w:vAlign w:val="center"/>
          </w:tcPr>
          <w:p w14:paraId="513800D8">
            <w:pPr>
              <w:widowControl/>
              <w:spacing w:line="400" w:lineRule="exact"/>
              <w:jc w:val="center"/>
              <w:rPr>
                <w:rFonts w:ascii="Times New Roman" w:hAnsi="Times New Roman" w:eastAsia="Times New Roman" w:cs="Times New Roman"/>
                <w:kern w:val="0"/>
                <w:sz w:val="20"/>
                <w:szCs w:val="20"/>
              </w:rPr>
            </w:pPr>
          </w:p>
        </w:tc>
        <w:tc>
          <w:tcPr>
            <w:tcW w:w="1540" w:type="dxa"/>
            <w:tcBorders>
              <w:top w:val="nil"/>
              <w:left w:val="nil"/>
              <w:bottom w:val="nil"/>
              <w:right w:val="nil"/>
            </w:tcBorders>
            <w:shd w:val="clear" w:color="auto" w:fill="auto"/>
            <w:vAlign w:val="center"/>
          </w:tcPr>
          <w:p w14:paraId="543742ED">
            <w:pPr>
              <w:widowControl/>
              <w:spacing w:line="400" w:lineRule="exact"/>
              <w:jc w:val="center"/>
              <w:rPr>
                <w:rFonts w:ascii="Times New Roman" w:hAnsi="Times New Roman" w:eastAsia="Times New Roman" w:cs="Times New Roman"/>
                <w:kern w:val="0"/>
                <w:sz w:val="20"/>
                <w:szCs w:val="20"/>
              </w:rPr>
            </w:pPr>
          </w:p>
        </w:tc>
        <w:tc>
          <w:tcPr>
            <w:tcW w:w="716" w:type="dxa"/>
            <w:gridSpan w:val="2"/>
            <w:tcBorders>
              <w:top w:val="nil"/>
              <w:left w:val="nil"/>
              <w:bottom w:val="nil"/>
              <w:right w:val="nil"/>
            </w:tcBorders>
            <w:shd w:val="clear" w:color="auto" w:fill="auto"/>
            <w:vAlign w:val="center"/>
          </w:tcPr>
          <w:p w14:paraId="7B624511">
            <w:pPr>
              <w:widowControl/>
              <w:spacing w:line="400" w:lineRule="exact"/>
              <w:jc w:val="center"/>
              <w:rPr>
                <w:rFonts w:ascii="Times New Roman" w:hAnsi="Times New Roman" w:eastAsia="Times New Roman" w:cs="Times New Roman"/>
                <w:kern w:val="0"/>
                <w:sz w:val="20"/>
                <w:szCs w:val="20"/>
              </w:rPr>
            </w:pPr>
          </w:p>
        </w:tc>
      </w:tr>
      <w:tr w14:paraId="55B27417">
        <w:tblPrEx>
          <w:tblCellMar>
            <w:top w:w="0" w:type="dxa"/>
            <w:left w:w="108" w:type="dxa"/>
            <w:bottom w:w="0" w:type="dxa"/>
            <w:right w:w="108" w:type="dxa"/>
          </w:tblCellMar>
        </w:tblPrEx>
        <w:trPr>
          <w:trHeight w:val="552" w:hRule="atLeast"/>
        </w:trPr>
        <w:tc>
          <w:tcPr>
            <w:tcW w:w="1134" w:type="dxa"/>
            <w:tcBorders>
              <w:top w:val="nil"/>
              <w:left w:val="single" w:color="auto" w:sz="4" w:space="0"/>
              <w:bottom w:val="single" w:color="auto" w:sz="4" w:space="0"/>
              <w:right w:val="single" w:color="auto" w:sz="4" w:space="0"/>
            </w:tcBorders>
            <w:shd w:val="clear" w:color="auto" w:fill="auto"/>
            <w:vAlign w:val="center"/>
          </w:tcPr>
          <w:p w14:paraId="22BBF9E3">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3369" w:type="dxa"/>
            <w:gridSpan w:val="4"/>
            <w:tcBorders>
              <w:top w:val="single" w:color="auto" w:sz="4" w:space="0"/>
              <w:left w:val="nil"/>
              <w:bottom w:val="single" w:color="auto" w:sz="4" w:space="0"/>
              <w:right w:val="single" w:color="auto" w:sz="4" w:space="0"/>
            </w:tcBorders>
            <w:shd w:val="clear" w:color="auto" w:fill="auto"/>
            <w:vAlign w:val="center"/>
          </w:tcPr>
          <w:p w14:paraId="4181D6A1">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2020年抗疫特别国债市级预留机动资金（直达资金）-附设幼儿园户外活动场地改造</w:t>
            </w:r>
          </w:p>
        </w:tc>
        <w:tc>
          <w:tcPr>
            <w:tcW w:w="937" w:type="dxa"/>
            <w:tcBorders>
              <w:top w:val="single" w:color="auto" w:sz="4" w:space="0"/>
              <w:left w:val="nil"/>
              <w:bottom w:val="single" w:color="auto" w:sz="4" w:space="0"/>
              <w:right w:val="single" w:color="auto" w:sz="4" w:space="0"/>
            </w:tcBorders>
            <w:shd w:val="clear" w:color="auto" w:fill="auto"/>
            <w:vAlign w:val="center"/>
          </w:tcPr>
          <w:p w14:paraId="5E382869">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自评总分（分)</w:t>
            </w:r>
          </w:p>
        </w:tc>
        <w:tc>
          <w:tcPr>
            <w:tcW w:w="3267" w:type="dxa"/>
            <w:gridSpan w:val="4"/>
            <w:tcBorders>
              <w:top w:val="single" w:color="auto" w:sz="4" w:space="0"/>
              <w:left w:val="nil"/>
              <w:bottom w:val="single" w:color="auto" w:sz="4" w:space="0"/>
              <w:right w:val="single" w:color="auto" w:sz="4" w:space="0"/>
            </w:tcBorders>
            <w:shd w:val="clear" w:color="auto" w:fill="auto"/>
            <w:vAlign w:val="center"/>
          </w:tcPr>
          <w:p w14:paraId="103104EC">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r>
      <w:tr w14:paraId="74E4703F">
        <w:tblPrEx>
          <w:tblCellMar>
            <w:top w:w="0" w:type="dxa"/>
            <w:left w:w="108" w:type="dxa"/>
            <w:bottom w:w="0" w:type="dxa"/>
            <w:right w:w="108" w:type="dxa"/>
          </w:tblCellMar>
        </w:tblPrEx>
        <w:trPr>
          <w:trHeight w:val="552" w:hRule="atLeast"/>
        </w:trPr>
        <w:tc>
          <w:tcPr>
            <w:tcW w:w="1134" w:type="dxa"/>
            <w:tcBorders>
              <w:top w:val="nil"/>
              <w:left w:val="single" w:color="auto" w:sz="4" w:space="0"/>
              <w:bottom w:val="single" w:color="auto" w:sz="4" w:space="0"/>
              <w:right w:val="single" w:color="auto" w:sz="4" w:space="0"/>
            </w:tcBorders>
            <w:shd w:val="clear" w:color="auto" w:fill="auto"/>
            <w:vAlign w:val="center"/>
          </w:tcPr>
          <w:p w14:paraId="6829A415">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业务主管部门</w:t>
            </w:r>
          </w:p>
        </w:tc>
        <w:tc>
          <w:tcPr>
            <w:tcW w:w="3369" w:type="dxa"/>
            <w:gridSpan w:val="4"/>
            <w:tcBorders>
              <w:top w:val="single" w:color="auto" w:sz="4" w:space="0"/>
              <w:left w:val="nil"/>
              <w:bottom w:val="single" w:color="auto" w:sz="4" w:space="0"/>
              <w:right w:val="single" w:color="000000" w:sz="4" w:space="0"/>
            </w:tcBorders>
            <w:shd w:val="clear" w:color="auto" w:fill="auto"/>
            <w:vAlign w:val="center"/>
          </w:tcPr>
          <w:p w14:paraId="195A3E3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重庆市綦江区教育委员会</w:t>
            </w:r>
          </w:p>
        </w:tc>
        <w:tc>
          <w:tcPr>
            <w:tcW w:w="937" w:type="dxa"/>
            <w:tcBorders>
              <w:top w:val="nil"/>
              <w:left w:val="nil"/>
              <w:bottom w:val="single" w:color="auto" w:sz="4" w:space="0"/>
              <w:right w:val="single" w:color="auto" w:sz="4" w:space="0"/>
            </w:tcBorders>
            <w:shd w:val="clear" w:color="auto" w:fill="auto"/>
            <w:vAlign w:val="center"/>
          </w:tcPr>
          <w:p w14:paraId="1B2B6122">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联系人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及电话</w:t>
            </w:r>
          </w:p>
        </w:tc>
        <w:tc>
          <w:tcPr>
            <w:tcW w:w="3267" w:type="dxa"/>
            <w:gridSpan w:val="4"/>
            <w:tcBorders>
              <w:top w:val="single" w:color="auto" w:sz="4" w:space="0"/>
              <w:left w:val="nil"/>
              <w:bottom w:val="single" w:color="auto" w:sz="4" w:space="0"/>
              <w:right w:val="single" w:color="auto" w:sz="4" w:space="0"/>
            </w:tcBorders>
            <w:shd w:val="clear" w:color="auto" w:fill="auto"/>
            <w:vAlign w:val="center"/>
          </w:tcPr>
          <w:p w14:paraId="3CF6F175">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陈开南18580882485</w:t>
            </w:r>
          </w:p>
        </w:tc>
      </w:tr>
      <w:tr w14:paraId="33A6E3DC">
        <w:tblPrEx>
          <w:tblCellMar>
            <w:top w:w="0" w:type="dxa"/>
            <w:left w:w="108" w:type="dxa"/>
            <w:bottom w:w="0" w:type="dxa"/>
            <w:right w:w="108" w:type="dxa"/>
          </w:tblCellMar>
        </w:tblPrEx>
        <w:trPr>
          <w:trHeight w:val="829" w:hRule="atLeast"/>
        </w:trPr>
        <w:tc>
          <w:tcPr>
            <w:tcW w:w="1134" w:type="dxa"/>
            <w:vMerge w:val="restart"/>
            <w:tcBorders>
              <w:top w:val="nil"/>
              <w:left w:val="single" w:color="auto" w:sz="4" w:space="0"/>
              <w:bottom w:val="single" w:color="000000" w:sz="4" w:space="0"/>
              <w:right w:val="single" w:color="auto" w:sz="4" w:space="0"/>
            </w:tcBorders>
            <w:shd w:val="clear" w:color="auto" w:fill="auto"/>
            <w:vAlign w:val="center"/>
          </w:tcPr>
          <w:p w14:paraId="42B023D6">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项目资金（万元）</w:t>
            </w:r>
          </w:p>
        </w:tc>
        <w:tc>
          <w:tcPr>
            <w:tcW w:w="1149" w:type="dxa"/>
            <w:tcBorders>
              <w:top w:val="nil"/>
              <w:left w:val="nil"/>
              <w:bottom w:val="single" w:color="auto" w:sz="4" w:space="0"/>
              <w:right w:val="nil"/>
            </w:tcBorders>
            <w:shd w:val="clear" w:color="auto" w:fill="auto"/>
            <w:vAlign w:val="center"/>
          </w:tcPr>
          <w:p w14:paraId="51AE0399">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22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14F1146F">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全年预算数（A）</w:t>
            </w:r>
          </w:p>
        </w:tc>
        <w:tc>
          <w:tcPr>
            <w:tcW w:w="937" w:type="dxa"/>
            <w:tcBorders>
              <w:top w:val="nil"/>
              <w:left w:val="nil"/>
              <w:bottom w:val="single" w:color="auto" w:sz="4" w:space="0"/>
              <w:right w:val="single" w:color="auto" w:sz="4" w:space="0"/>
            </w:tcBorders>
            <w:shd w:val="clear" w:color="auto" w:fill="auto"/>
            <w:vAlign w:val="center"/>
          </w:tcPr>
          <w:p w14:paraId="0ADAFB74">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全年执行数（B）</w:t>
            </w:r>
          </w:p>
        </w:tc>
        <w:tc>
          <w:tcPr>
            <w:tcW w:w="1011" w:type="dxa"/>
            <w:tcBorders>
              <w:top w:val="nil"/>
              <w:left w:val="nil"/>
              <w:bottom w:val="single" w:color="auto" w:sz="4" w:space="0"/>
              <w:right w:val="single" w:color="auto" w:sz="4" w:space="0"/>
            </w:tcBorders>
            <w:shd w:val="clear" w:color="auto" w:fill="auto"/>
            <w:vAlign w:val="center"/>
          </w:tcPr>
          <w:p w14:paraId="110506B9">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执行率%（B/A）</w:t>
            </w:r>
          </w:p>
        </w:tc>
        <w:tc>
          <w:tcPr>
            <w:tcW w:w="2256" w:type="dxa"/>
            <w:gridSpan w:val="3"/>
            <w:tcBorders>
              <w:top w:val="single" w:color="auto" w:sz="4" w:space="0"/>
              <w:left w:val="nil"/>
              <w:bottom w:val="single" w:color="auto" w:sz="4" w:space="0"/>
              <w:right w:val="single" w:color="auto" w:sz="4" w:space="0"/>
            </w:tcBorders>
            <w:shd w:val="clear" w:color="auto" w:fill="auto"/>
            <w:vAlign w:val="center"/>
          </w:tcPr>
          <w:p w14:paraId="5CB45B5B">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执行率得分（分）</w:t>
            </w:r>
          </w:p>
        </w:tc>
      </w:tr>
      <w:tr w14:paraId="51901487">
        <w:tblPrEx>
          <w:tblCellMar>
            <w:top w:w="0" w:type="dxa"/>
            <w:left w:w="108" w:type="dxa"/>
            <w:bottom w:w="0" w:type="dxa"/>
            <w:right w:w="108" w:type="dxa"/>
          </w:tblCellMar>
        </w:tblPrEx>
        <w:trPr>
          <w:trHeight w:val="308" w:hRule="atLeast"/>
        </w:trPr>
        <w:tc>
          <w:tcPr>
            <w:tcW w:w="1134" w:type="dxa"/>
            <w:vMerge w:val="continue"/>
            <w:tcBorders>
              <w:top w:val="nil"/>
              <w:left w:val="single" w:color="auto" w:sz="4" w:space="0"/>
              <w:bottom w:val="single" w:color="000000" w:sz="4" w:space="0"/>
              <w:right w:val="single" w:color="auto" w:sz="4" w:space="0"/>
            </w:tcBorders>
            <w:vAlign w:val="center"/>
          </w:tcPr>
          <w:p w14:paraId="0ABED528">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76EC1A81">
            <w:pPr>
              <w:widowControl/>
              <w:spacing w:line="320" w:lineRule="exact"/>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2220" w:type="dxa"/>
            <w:gridSpan w:val="3"/>
            <w:tcBorders>
              <w:top w:val="single" w:color="auto" w:sz="4" w:space="0"/>
              <w:left w:val="nil"/>
              <w:bottom w:val="single" w:color="auto" w:sz="4" w:space="0"/>
              <w:right w:val="single" w:color="000000" w:sz="4" w:space="0"/>
            </w:tcBorders>
            <w:shd w:val="clear" w:color="auto" w:fill="auto"/>
            <w:vAlign w:val="center"/>
          </w:tcPr>
          <w:p w14:paraId="06A39619">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937" w:type="dxa"/>
            <w:tcBorders>
              <w:top w:val="nil"/>
              <w:left w:val="nil"/>
              <w:bottom w:val="single" w:color="auto" w:sz="4" w:space="0"/>
              <w:right w:val="single" w:color="auto" w:sz="4" w:space="0"/>
            </w:tcBorders>
            <w:shd w:val="clear" w:color="auto" w:fill="auto"/>
            <w:vAlign w:val="center"/>
          </w:tcPr>
          <w:p w14:paraId="3BEFE933">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011" w:type="dxa"/>
            <w:tcBorders>
              <w:top w:val="nil"/>
              <w:left w:val="nil"/>
              <w:bottom w:val="single" w:color="auto" w:sz="4" w:space="0"/>
              <w:right w:val="single" w:color="auto" w:sz="4" w:space="0"/>
            </w:tcBorders>
            <w:shd w:val="clear" w:color="auto" w:fill="auto"/>
            <w:vAlign w:val="center"/>
          </w:tcPr>
          <w:p w14:paraId="2C672AE4">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2256" w:type="dxa"/>
            <w:gridSpan w:val="3"/>
            <w:tcBorders>
              <w:top w:val="single" w:color="auto" w:sz="4" w:space="0"/>
              <w:left w:val="nil"/>
              <w:bottom w:val="single" w:color="auto" w:sz="4" w:space="0"/>
              <w:right w:val="single" w:color="auto" w:sz="4" w:space="0"/>
            </w:tcBorders>
            <w:shd w:val="clear" w:color="auto" w:fill="auto"/>
            <w:vAlign w:val="center"/>
          </w:tcPr>
          <w:p w14:paraId="239D0B96">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14:paraId="40C8A61B">
        <w:tblPrEx>
          <w:tblCellMar>
            <w:top w:w="0" w:type="dxa"/>
            <w:left w:w="108" w:type="dxa"/>
            <w:bottom w:w="0" w:type="dxa"/>
            <w:right w:w="108" w:type="dxa"/>
          </w:tblCellMar>
        </w:tblPrEx>
        <w:trPr>
          <w:trHeight w:val="339" w:hRule="atLeast"/>
        </w:trPr>
        <w:tc>
          <w:tcPr>
            <w:tcW w:w="1134" w:type="dxa"/>
            <w:vMerge w:val="continue"/>
            <w:tcBorders>
              <w:top w:val="nil"/>
              <w:left w:val="single" w:color="auto" w:sz="4" w:space="0"/>
              <w:bottom w:val="single" w:color="000000" w:sz="4" w:space="0"/>
              <w:right w:val="single" w:color="auto" w:sz="4" w:space="0"/>
            </w:tcBorders>
            <w:vAlign w:val="center"/>
          </w:tcPr>
          <w:p w14:paraId="1464F688">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79E17C7C">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其中：中央补助</w:t>
            </w:r>
          </w:p>
        </w:tc>
        <w:tc>
          <w:tcPr>
            <w:tcW w:w="2220" w:type="dxa"/>
            <w:gridSpan w:val="3"/>
            <w:tcBorders>
              <w:top w:val="single" w:color="auto" w:sz="4" w:space="0"/>
              <w:left w:val="nil"/>
              <w:bottom w:val="single" w:color="auto" w:sz="4" w:space="0"/>
              <w:right w:val="single" w:color="000000" w:sz="4" w:space="0"/>
            </w:tcBorders>
            <w:shd w:val="clear" w:color="auto" w:fill="auto"/>
            <w:vAlign w:val="center"/>
          </w:tcPr>
          <w:p w14:paraId="118AE577">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937" w:type="dxa"/>
            <w:tcBorders>
              <w:top w:val="nil"/>
              <w:left w:val="nil"/>
              <w:bottom w:val="single" w:color="auto" w:sz="4" w:space="0"/>
              <w:right w:val="single" w:color="auto" w:sz="4" w:space="0"/>
            </w:tcBorders>
            <w:shd w:val="clear" w:color="auto" w:fill="auto"/>
            <w:vAlign w:val="center"/>
          </w:tcPr>
          <w:p w14:paraId="5A6BC077">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011" w:type="dxa"/>
            <w:tcBorders>
              <w:top w:val="nil"/>
              <w:left w:val="nil"/>
              <w:bottom w:val="single" w:color="auto" w:sz="4" w:space="0"/>
              <w:right w:val="single" w:color="auto" w:sz="4" w:space="0"/>
            </w:tcBorders>
            <w:shd w:val="clear" w:color="auto" w:fill="auto"/>
            <w:vAlign w:val="center"/>
          </w:tcPr>
          <w:p w14:paraId="5564CC84">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100</w:t>
            </w:r>
          </w:p>
        </w:tc>
        <w:tc>
          <w:tcPr>
            <w:tcW w:w="2256" w:type="dxa"/>
            <w:gridSpan w:val="3"/>
            <w:tcBorders>
              <w:top w:val="single" w:color="auto" w:sz="4" w:space="0"/>
              <w:left w:val="nil"/>
              <w:bottom w:val="single" w:color="auto" w:sz="4" w:space="0"/>
              <w:right w:val="single" w:color="auto" w:sz="4" w:space="0"/>
            </w:tcBorders>
            <w:shd w:val="clear" w:color="auto" w:fill="auto"/>
            <w:vAlign w:val="center"/>
          </w:tcPr>
          <w:p w14:paraId="2597CC4E">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14:paraId="03D15F49">
        <w:tblPrEx>
          <w:tblCellMar>
            <w:top w:w="0" w:type="dxa"/>
            <w:left w:w="108" w:type="dxa"/>
            <w:bottom w:w="0" w:type="dxa"/>
            <w:right w:w="108" w:type="dxa"/>
          </w:tblCellMar>
        </w:tblPrEx>
        <w:trPr>
          <w:trHeight w:val="320" w:hRule="atLeast"/>
        </w:trPr>
        <w:tc>
          <w:tcPr>
            <w:tcW w:w="1134" w:type="dxa"/>
            <w:vMerge w:val="continue"/>
            <w:tcBorders>
              <w:top w:val="nil"/>
              <w:left w:val="single" w:color="auto" w:sz="4" w:space="0"/>
              <w:bottom w:val="single" w:color="000000" w:sz="4" w:space="0"/>
              <w:right w:val="single" w:color="auto" w:sz="4" w:space="0"/>
            </w:tcBorders>
            <w:vAlign w:val="center"/>
          </w:tcPr>
          <w:p w14:paraId="45445A3C">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0DBE836E">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市级补助</w:t>
            </w:r>
          </w:p>
        </w:tc>
        <w:tc>
          <w:tcPr>
            <w:tcW w:w="2220" w:type="dxa"/>
            <w:gridSpan w:val="3"/>
            <w:tcBorders>
              <w:top w:val="single" w:color="auto" w:sz="4" w:space="0"/>
              <w:left w:val="nil"/>
              <w:bottom w:val="single" w:color="auto" w:sz="4" w:space="0"/>
              <w:right w:val="single" w:color="000000" w:sz="4" w:space="0"/>
            </w:tcBorders>
            <w:shd w:val="clear" w:color="auto" w:fill="auto"/>
            <w:vAlign w:val="center"/>
          </w:tcPr>
          <w:p w14:paraId="0A2AD6BE">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37" w:type="dxa"/>
            <w:tcBorders>
              <w:top w:val="nil"/>
              <w:left w:val="nil"/>
              <w:bottom w:val="single" w:color="auto" w:sz="4" w:space="0"/>
              <w:right w:val="single" w:color="auto" w:sz="4" w:space="0"/>
            </w:tcBorders>
            <w:shd w:val="clear" w:color="auto" w:fill="auto"/>
            <w:vAlign w:val="center"/>
          </w:tcPr>
          <w:p w14:paraId="2291A9F6">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011" w:type="dxa"/>
            <w:tcBorders>
              <w:top w:val="nil"/>
              <w:left w:val="nil"/>
              <w:bottom w:val="single" w:color="auto" w:sz="4" w:space="0"/>
              <w:right w:val="single" w:color="auto" w:sz="4" w:space="0"/>
            </w:tcBorders>
            <w:shd w:val="clear" w:color="auto" w:fill="auto"/>
            <w:vAlign w:val="center"/>
          </w:tcPr>
          <w:p w14:paraId="683CDFC1">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256" w:type="dxa"/>
            <w:gridSpan w:val="3"/>
            <w:tcBorders>
              <w:top w:val="single" w:color="auto" w:sz="4" w:space="0"/>
              <w:left w:val="nil"/>
              <w:bottom w:val="single" w:color="auto" w:sz="4" w:space="0"/>
              <w:right w:val="single" w:color="auto" w:sz="4" w:space="0"/>
            </w:tcBorders>
            <w:shd w:val="clear" w:color="auto" w:fill="auto"/>
            <w:vAlign w:val="center"/>
          </w:tcPr>
          <w:p w14:paraId="7595A13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14:paraId="516C9FD9">
        <w:tblPrEx>
          <w:tblCellMar>
            <w:top w:w="0" w:type="dxa"/>
            <w:left w:w="108" w:type="dxa"/>
            <w:bottom w:w="0" w:type="dxa"/>
            <w:right w:w="108" w:type="dxa"/>
          </w:tblCellMar>
        </w:tblPrEx>
        <w:trPr>
          <w:trHeight w:val="359" w:hRule="atLeast"/>
        </w:trPr>
        <w:tc>
          <w:tcPr>
            <w:tcW w:w="1134" w:type="dxa"/>
            <w:vMerge w:val="continue"/>
            <w:tcBorders>
              <w:top w:val="nil"/>
              <w:left w:val="single" w:color="auto" w:sz="4" w:space="0"/>
              <w:bottom w:val="single" w:color="000000" w:sz="4" w:space="0"/>
              <w:right w:val="single" w:color="auto" w:sz="4" w:space="0"/>
            </w:tcBorders>
            <w:vAlign w:val="center"/>
          </w:tcPr>
          <w:p w14:paraId="545C90FA">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3B27116F">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区级资金</w:t>
            </w:r>
          </w:p>
        </w:tc>
        <w:tc>
          <w:tcPr>
            <w:tcW w:w="2220" w:type="dxa"/>
            <w:gridSpan w:val="3"/>
            <w:tcBorders>
              <w:top w:val="single" w:color="auto" w:sz="4" w:space="0"/>
              <w:left w:val="nil"/>
              <w:bottom w:val="single" w:color="auto" w:sz="4" w:space="0"/>
              <w:right w:val="single" w:color="000000" w:sz="4" w:space="0"/>
            </w:tcBorders>
            <w:shd w:val="clear" w:color="auto" w:fill="auto"/>
            <w:vAlign w:val="center"/>
          </w:tcPr>
          <w:p w14:paraId="1D150BA9">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37" w:type="dxa"/>
            <w:tcBorders>
              <w:top w:val="nil"/>
              <w:left w:val="nil"/>
              <w:bottom w:val="single" w:color="auto" w:sz="4" w:space="0"/>
              <w:right w:val="single" w:color="auto" w:sz="4" w:space="0"/>
            </w:tcBorders>
            <w:shd w:val="clear" w:color="auto" w:fill="auto"/>
            <w:vAlign w:val="center"/>
          </w:tcPr>
          <w:p w14:paraId="6D0540AE">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011" w:type="dxa"/>
            <w:tcBorders>
              <w:top w:val="nil"/>
              <w:left w:val="nil"/>
              <w:bottom w:val="single" w:color="auto" w:sz="4" w:space="0"/>
              <w:right w:val="single" w:color="auto" w:sz="4" w:space="0"/>
            </w:tcBorders>
            <w:shd w:val="clear" w:color="auto" w:fill="auto"/>
            <w:vAlign w:val="center"/>
          </w:tcPr>
          <w:p w14:paraId="452FC22F">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256" w:type="dxa"/>
            <w:gridSpan w:val="3"/>
            <w:tcBorders>
              <w:top w:val="single" w:color="auto" w:sz="4" w:space="0"/>
              <w:left w:val="nil"/>
              <w:bottom w:val="single" w:color="auto" w:sz="4" w:space="0"/>
              <w:right w:val="single" w:color="auto" w:sz="4" w:space="0"/>
            </w:tcBorders>
            <w:shd w:val="clear" w:color="auto" w:fill="auto"/>
            <w:vAlign w:val="center"/>
          </w:tcPr>
          <w:p w14:paraId="7632953B">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14:paraId="13F97085">
        <w:tblPrEx>
          <w:tblCellMar>
            <w:top w:w="0" w:type="dxa"/>
            <w:left w:w="108" w:type="dxa"/>
            <w:bottom w:w="0" w:type="dxa"/>
            <w:right w:w="108" w:type="dxa"/>
          </w:tblCellMar>
        </w:tblPrEx>
        <w:trPr>
          <w:trHeight w:val="281" w:hRule="atLeast"/>
        </w:trPr>
        <w:tc>
          <w:tcPr>
            <w:tcW w:w="1134" w:type="dxa"/>
            <w:vMerge w:val="continue"/>
            <w:tcBorders>
              <w:top w:val="nil"/>
              <w:left w:val="single" w:color="auto" w:sz="4" w:space="0"/>
              <w:bottom w:val="single" w:color="000000" w:sz="4" w:space="0"/>
              <w:right w:val="single" w:color="auto" w:sz="4" w:space="0"/>
            </w:tcBorders>
            <w:vAlign w:val="center"/>
          </w:tcPr>
          <w:p w14:paraId="4C7AAE47">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253A242B">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其他资金</w:t>
            </w:r>
          </w:p>
        </w:tc>
        <w:tc>
          <w:tcPr>
            <w:tcW w:w="2220" w:type="dxa"/>
            <w:gridSpan w:val="3"/>
            <w:tcBorders>
              <w:top w:val="single" w:color="auto" w:sz="4" w:space="0"/>
              <w:left w:val="nil"/>
              <w:bottom w:val="single" w:color="auto" w:sz="4" w:space="0"/>
              <w:right w:val="single" w:color="000000" w:sz="4" w:space="0"/>
            </w:tcBorders>
            <w:shd w:val="clear" w:color="auto" w:fill="auto"/>
            <w:vAlign w:val="center"/>
          </w:tcPr>
          <w:p w14:paraId="5793E340">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37" w:type="dxa"/>
            <w:tcBorders>
              <w:top w:val="nil"/>
              <w:left w:val="nil"/>
              <w:bottom w:val="single" w:color="auto" w:sz="4" w:space="0"/>
              <w:right w:val="single" w:color="auto" w:sz="4" w:space="0"/>
            </w:tcBorders>
            <w:shd w:val="clear" w:color="auto" w:fill="auto"/>
            <w:vAlign w:val="center"/>
          </w:tcPr>
          <w:p w14:paraId="362ED1D2">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011" w:type="dxa"/>
            <w:tcBorders>
              <w:top w:val="nil"/>
              <w:left w:val="nil"/>
              <w:bottom w:val="single" w:color="auto" w:sz="4" w:space="0"/>
              <w:right w:val="single" w:color="auto" w:sz="4" w:space="0"/>
            </w:tcBorders>
            <w:shd w:val="clear" w:color="auto" w:fill="auto"/>
            <w:vAlign w:val="center"/>
          </w:tcPr>
          <w:p w14:paraId="73CF469C">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256" w:type="dxa"/>
            <w:gridSpan w:val="3"/>
            <w:tcBorders>
              <w:top w:val="single" w:color="auto" w:sz="4" w:space="0"/>
              <w:left w:val="nil"/>
              <w:bottom w:val="single" w:color="auto" w:sz="4" w:space="0"/>
              <w:right w:val="single" w:color="auto" w:sz="4" w:space="0"/>
            </w:tcBorders>
            <w:shd w:val="clear" w:color="auto" w:fill="auto"/>
            <w:vAlign w:val="center"/>
          </w:tcPr>
          <w:p w14:paraId="3F28F38F">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14:paraId="27ABF211">
        <w:tblPrEx>
          <w:tblCellMar>
            <w:top w:w="0" w:type="dxa"/>
            <w:left w:w="108" w:type="dxa"/>
            <w:bottom w:w="0" w:type="dxa"/>
            <w:right w:w="108" w:type="dxa"/>
          </w:tblCellMar>
        </w:tblPrEx>
        <w:trPr>
          <w:trHeight w:val="436" w:hRule="atLeast"/>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225B6169">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3369" w:type="dxa"/>
            <w:gridSpan w:val="4"/>
            <w:tcBorders>
              <w:top w:val="single" w:color="auto" w:sz="4" w:space="0"/>
              <w:left w:val="nil"/>
              <w:bottom w:val="single" w:color="auto" w:sz="4" w:space="0"/>
              <w:right w:val="single" w:color="auto" w:sz="4" w:space="0"/>
            </w:tcBorders>
            <w:shd w:val="clear" w:color="auto" w:fill="auto"/>
            <w:vAlign w:val="center"/>
          </w:tcPr>
          <w:p w14:paraId="1659CE51">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年初设定目标</w:t>
            </w:r>
          </w:p>
        </w:tc>
        <w:tc>
          <w:tcPr>
            <w:tcW w:w="4204" w:type="dxa"/>
            <w:gridSpan w:val="5"/>
            <w:tcBorders>
              <w:top w:val="single" w:color="auto" w:sz="4" w:space="0"/>
              <w:left w:val="nil"/>
              <w:bottom w:val="single" w:color="auto" w:sz="4" w:space="0"/>
              <w:right w:val="single" w:color="auto" w:sz="4" w:space="0"/>
            </w:tcBorders>
            <w:shd w:val="clear" w:color="auto" w:fill="auto"/>
            <w:vAlign w:val="center"/>
          </w:tcPr>
          <w:p w14:paraId="44DDB91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全年目标实际完成情况</w:t>
            </w:r>
          </w:p>
        </w:tc>
      </w:tr>
      <w:tr w14:paraId="091B262D">
        <w:tblPrEx>
          <w:tblCellMar>
            <w:top w:w="0" w:type="dxa"/>
            <w:left w:w="108" w:type="dxa"/>
            <w:bottom w:w="0" w:type="dxa"/>
            <w:right w:w="108" w:type="dxa"/>
          </w:tblCellMar>
        </w:tblPrEx>
        <w:trPr>
          <w:trHeight w:val="1271" w:hRule="atLeast"/>
        </w:trPr>
        <w:tc>
          <w:tcPr>
            <w:tcW w:w="1134" w:type="dxa"/>
            <w:vMerge w:val="continue"/>
            <w:tcBorders>
              <w:top w:val="nil"/>
              <w:left w:val="single" w:color="auto" w:sz="4" w:space="0"/>
              <w:bottom w:val="single" w:color="auto" w:sz="4" w:space="0"/>
              <w:right w:val="single" w:color="auto" w:sz="4" w:space="0"/>
            </w:tcBorders>
            <w:vAlign w:val="center"/>
          </w:tcPr>
          <w:p w14:paraId="56B6C85D">
            <w:pPr>
              <w:widowControl/>
              <w:spacing w:line="320" w:lineRule="exact"/>
              <w:jc w:val="left"/>
              <w:rPr>
                <w:rFonts w:ascii="宋体" w:hAnsi="宋体" w:eastAsia="宋体" w:cs="宋体"/>
                <w:color w:val="000000"/>
                <w:kern w:val="0"/>
                <w:sz w:val="20"/>
                <w:szCs w:val="20"/>
              </w:rPr>
            </w:pPr>
          </w:p>
        </w:tc>
        <w:tc>
          <w:tcPr>
            <w:tcW w:w="3369" w:type="dxa"/>
            <w:gridSpan w:val="4"/>
            <w:tcBorders>
              <w:top w:val="single" w:color="auto" w:sz="4" w:space="0"/>
              <w:left w:val="nil"/>
              <w:bottom w:val="single" w:color="auto" w:sz="4" w:space="0"/>
              <w:right w:val="single" w:color="auto" w:sz="4" w:space="0"/>
            </w:tcBorders>
            <w:shd w:val="clear" w:color="auto" w:fill="auto"/>
            <w:vAlign w:val="center"/>
          </w:tcPr>
          <w:p w14:paraId="2F264525">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中心幼儿园户外活动场地改造，进行花台拆除、新建水槽、沙池、洗手池等，户外运动场地悬浮地板，大型玩具等。</w:t>
            </w:r>
          </w:p>
        </w:tc>
        <w:tc>
          <w:tcPr>
            <w:tcW w:w="4204" w:type="dxa"/>
            <w:gridSpan w:val="5"/>
            <w:tcBorders>
              <w:top w:val="single" w:color="auto" w:sz="4" w:space="0"/>
              <w:left w:val="nil"/>
              <w:bottom w:val="single" w:color="auto" w:sz="4" w:space="0"/>
              <w:right w:val="single" w:color="auto" w:sz="4" w:space="0"/>
            </w:tcBorders>
            <w:shd w:val="clear" w:color="auto" w:fill="auto"/>
            <w:vAlign w:val="center"/>
          </w:tcPr>
          <w:p w14:paraId="5FF45B26">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幼儿园户外活动场地改造，进行花台拆除、新建水槽、沙池、洗手池等，户外运动场地悬浮地板795平方米，各类玩具14515件。</w:t>
            </w:r>
          </w:p>
        </w:tc>
      </w:tr>
      <w:tr w14:paraId="7D8599A7">
        <w:tblPrEx>
          <w:tblCellMar>
            <w:top w:w="0" w:type="dxa"/>
            <w:left w:w="108" w:type="dxa"/>
            <w:bottom w:w="0" w:type="dxa"/>
            <w:right w:w="108" w:type="dxa"/>
          </w:tblCellMar>
        </w:tblPrEx>
        <w:trPr>
          <w:trHeight w:val="552" w:hRule="atLeast"/>
        </w:trPr>
        <w:tc>
          <w:tcPr>
            <w:tcW w:w="1134"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14:paraId="46B3571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1149" w:type="dxa"/>
            <w:tcBorders>
              <w:top w:val="nil"/>
              <w:left w:val="nil"/>
              <w:bottom w:val="single" w:color="auto" w:sz="4" w:space="0"/>
              <w:right w:val="single" w:color="auto" w:sz="4" w:space="0"/>
            </w:tcBorders>
            <w:shd w:val="clear" w:color="auto" w:fill="auto"/>
            <w:vAlign w:val="center"/>
          </w:tcPr>
          <w:p w14:paraId="1FB92F5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指标名称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（三级指标）</w:t>
            </w:r>
          </w:p>
        </w:tc>
        <w:tc>
          <w:tcPr>
            <w:tcW w:w="1031" w:type="dxa"/>
            <w:tcBorders>
              <w:top w:val="nil"/>
              <w:left w:val="nil"/>
              <w:bottom w:val="single" w:color="auto" w:sz="4" w:space="0"/>
              <w:right w:val="single" w:color="auto" w:sz="4" w:space="0"/>
            </w:tcBorders>
            <w:shd w:val="clear" w:color="auto" w:fill="auto"/>
            <w:vAlign w:val="center"/>
          </w:tcPr>
          <w:p w14:paraId="78A077E6">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1189" w:type="dxa"/>
            <w:gridSpan w:val="2"/>
            <w:tcBorders>
              <w:top w:val="single" w:color="auto" w:sz="4" w:space="0"/>
              <w:left w:val="nil"/>
              <w:bottom w:val="single" w:color="auto" w:sz="4" w:space="0"/>
              <w:right w:val="single" w:color="000000" w:sz="4" w:space="0"/>
            </w:tcBorders>
            <w:shd w:val="clear" w:color="auto" w:fill="auto"/>
            <w:vAlign w:val="center"/>
          </w:tcPr>
          <w:p w14:paraId="1D486071">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指标权重</w:t>
            </w:r>
          </w:p>
        </w:tc>
        <w:tc>
          <w:tcPr>
            <w:tcW w:w="937" w:type="dxa"/>
            <w:tcBorders>
              <w:top w:val="nil"/>
              <w:left w:val="nil"/>
              <w:bottom w:val="single" w:color="auto" w:sz="4" w:space="0"/>
              <w:right w:val="single" w:color="auto" w:sz="4" w:space="0"/>
            </w:tcBorders>
            <w:shd w:val="clear" w:color="auto" w:fill="auto"/>
            <w:vAlign w:val="center"/>
          </w:tcPr>
          <w:p w14:paraId="6D16B2CF">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1011" w:type="dxa"/>
            <w:tcBorders>
              <w:top w:val="nil"/>
              <w:left w:val="nil"/>
              <w:bottom w:val="single" w:color="auto" w:sz="4" w:space="0"/>
              <w:right w:val="single" w:color="auto" w:sz="4" w:space="0"/>
            </w:tcBorders>
            <w:shd w:val="clear" w:color="auto" w:fill="auto"/>
            <w:vAlign w:val="center"/>
          </w:tcPr>
          <w:p w14:paraId="166560DE">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全年完成值</w:t>
            </w:r>
          </w:p>
        </w:tc>
        <w:tc>
          <w:tcPr>
            <w:tcW w:w="1540" w:type="dxa"/>
            <w:tcBorders>
              <w:top w:val="nil"/>
              <w:left w:val="nil"/>
              <w:bottom w:val="single" w:color="auto" w:sz="4" w:space="0"/>
              <w:right w:val="single" w:color="auto" w:sz="4" w:space="0"/>
            </w:tcBorders>
            <w:shd w:val="clear" w:color="auto" w:fill="auto"/>
            <w:vAlign w:val="center"/>
          </w:tcPr>
          <w:p w14:paraId="3704CB9A">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得分系数（%）</w:t>
            </w:r>
          </w:p>
        </w:tc>
        <w:tc>
          <w:tcPr>
            <w:tcW w:w="716" w:type="dxa"/>
            <w:gridSpan w:val="2"/>
            <w:tcBorders>
              <w:top w:val="nil"/>
              <w:left w:val="nil"/>
              <w:bottom w:val="single" w:color="auto" w:sz="4" w:space="0"/>
              <w:right w:val="single" w:color="auto" w:sz="4" w:space="0"/>
            </w:tcBorders>
            <w:shd w:val="clear" w:color="auto" w:fill="auto"/>
            <w:vAlign w:val="center"/>
          </w:tcPr>
          <w:p w14:paraId="121F153B">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指标得分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p>
        </w:tc>
      </w:tr>
      <w:tr w14:paraId="01ADF840">
        <w:tblPrEx>
          <w:tblCellMar>
            <w:top w:w="0" w:type="dxa"/>
            <w:left w:w="108" w:type="dxa"/>
            <w:bottom w:w="0" w:type="dxa"/>
            <w:right w:w="108" w:type="dxa"/>
          </w:tblCellMar>
        </w:tblPrEx>
        <w:trPr>
          <w:trHeight w:val="500" w:hRule="atLeast"/>
        </w:trPr>
        <w:tc>
          <w:tcPr>
            <w:tcW w:w="1134" w:type="dxa"/>
            <w:vMerge w:val="continue"/>
            <w:tcBorders>
              <w:top w:val="nil"/>
              <w:left w:val="single" w:color="auto" w:sz="4" w:space="0"/>
              <w:bottom w:val="single" w:color="auto" w:sz="4" w:space="0"/>
              <w:right w:val="single" w:color="auto" w:sz="4" w:space="0"/>
            </w:tcBorders>
            <w:vAlign w:val="center"/>
          </w:tcPr>
          <w:p w14:paraId="2DD65996">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76DC773B">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改造维修面积</w:t>
            </w:r>
          </w:p>
        </w:tc>
        <w:tc>
          <w:tcPr>
            <w:tcW w:w="1031" w:type="dxa"/>
            <w:tcBorders>
              <w:top w:val="nil"/>
              <w:left w:val="nil"/>
              <w:bottom w:val="single" w:color="auto" w:sz="4" w:space="0"/>
              <w:right w:val="single" w:color="auto" w:sz="4" w:space="0"/>
            </w:tcBorders>
            <w:shd w:val="clear" w:color="auto" w:fill="auto"/>
            <w:vAlign w:val="center"/>
          </w:tcPr>
          <w:p w14:paraId="7878B0B3">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平方米</w:t>
            </w:r>
          </w:p>
        </w:tc>
        <w:tc>
          <w:tcPr>
            <w:tcW w:w="1189" w:type="dxa"/>
            <w:gridSpan w:val="2"/>
            <w:tcBorders>
              <w:top w:val="single" w:color="auto" w:sz="4" w:space="0"/>
              <w:left w:val="nil"/>
              <w:bottom w:val="single" w:color="auto" w:sz="4" w:space="0"/>
              <w:right w:val="single" w:color="000000" w:sz="4" w:space="0"/>
            </w:tcBorders>
            <w:shd w:val="clear" w:color="auto" w:fill="auto"/>
            <w:vAlign w:val="center"/>
          </w:tcPr>
          <w:p w14:paraId="2304242A">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937" w:type="dxa"/>
            <w:tcBorders>
              <w:top w:val="nil"/>
              <w:left w:val="nil"/>
              <w:bottom w:val="single" w:color="auto" w:sz="4" w:space="0"/>
              <w:right w:val="single" w:color="auto" w:sz="4" w:space="0"/>
            </w:tcBorders>
            <w:shd w:val="clear" w:color="auto" w:fill="auto"/>
            <w:vAlign w:val="center"/>
          </w:tcPr>
          <w:p w14:paraId="39DF0651">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795</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14:paraId="4FBEA336">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795</w:t>
            </w:r>
          </w:p>
        </w:tc>
        <w:tc>
          <w:tcPr>
            <w:tcW w:w="1540" w:type="dxa"/>
            <w:tcBorders>
              <w:top w:val="nil"/>
              <w:left w:val="nil"/>
              <w:bottom w:val="single" w:color="auto" w:sz="4" w:space="0"/>
              <w:right w:val="single" w:color="auto" w:sz="4" w:space="0"/>
            </w:tcBorders>
            <w:shd w:val="clear" w:color="auto" w:fill="auto"/>
            <w:vAlign w:val="center"/>
          </w:tcPr>
          <w:p w14:paraId="2973D413">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2"/>
            <w:tcBorders>
              <w:top w:val="nil"/>
              <w:left w:val="nil"/>
              <w:bottom w:val="single" w:color="auto" w:sz="4" w:space="0"/>
              <w:right w:val="single" w:color="auto" w:sz="4" w:space="0"/>
            </w:tcBorders>
            <w:shd w:val="clear" w:color="auto" w:fill="auto"/>
            <w:vAlign w:val="center"/>
          </w:tcPr>
          <w:p w14:paraId="1EDA4628">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14:paraId="3A67019A">
        <w:tblPrEx>
          <w:tblCellMar>
            <w:top w:w="0" w:type="dxa"/>
            <w:left w:w="108" w:type="dxa"/>
            <w:bottom w:w="0" w:type="dxa"/>
            <w:right w:w="108" w:type="dxa"/>
          </w:tblCellMar>
        </w:tblPrEx>
        <w:trPr>
          <w:trHeight w:val="552" w:hRule="atLeast"/>
        </w:trPr>
        <w:tc>
          <w:tcPr>
            <w:tcW w:w="1134" w:type="dxa"/>
            <w:vMerge w:val="continue"/>
            <w:tcBorders>
              <w:top w:val="nil"/>
              <w:left w:val="single" w:color="auto" w:sz="4" w:space="0"/>
              <w:bottom w:val="single" w:color="auto" w:sz="4" w:space="0"/>
              <w:right w:val="single" w:color="auto" w:sz="4" w:space="0"/>
            </w:tcBorders>
            <w:vAlign w:val="center"/>
          </w:tcPr>
          <w:p w14:paraId="6A6F236D">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11E6E415">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购置设备数量</w:t>
            </w:r>
          </w:p>
        </w:tc>
        <w:tc>
          <w:tcPr>
            <w:tcW w:w="1031" w:type="dxa"/>
            <w:tcBorders>
              <w:top w:val="nil"/>
              <w:left w:val="nil"/>
              <w:bottom w:val="single" w:color="auto" w:sz="4" w:space="0"/>
              <w:right w:val="single" w:color="auto" w:sz="4" w:space="0"/>
            </w:tcBorders>
            <w:shd w:val="clear" w:color="auto" w:fill="auto"/>
            <w:vAlign w:val="center"/>
          </w:tcPr>
          <w:p w14:paraId="47FE02BC">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台（件）</w:t>
            </w:r>
          </w:p>
        </w:tc>
        <w:tc>
          <w:tcPr>
            <w:tcW w:w="1189" w:type="dxa"/>
            <w:gridSpan w:val="2"/>
            <w:tcBorders>
              <w:top w:val="single" w:color="auto" w:sz="4" w:space="0"/>
              <w:left w:val="nil"/>
              <w:bottom w:val="single" w:color="auto" w:sz="4" w:space="0"/>
              <w:right w:val="single" w:color="000000" w:sz="4" w:space="0"/>
            </w:tcBorders>
            <w:shd w:val="clear" w:color="auto" w:fill="auto"/>
            <w:vAlign w:val="center"/>
          </w:tcPr>
          <w:p w14:paraId="6319131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937" w:type="dxa"/>
            <w:tcBorders>
              <w:top w:val="nil"/>
              <w:left w:val="nil"/>
              <w:bottom w:val="single" w:color="auto" w:sz="4" w:space="0"/>
              <w:right w:val="single" w:color="auto" w:sz="4" w:space="0"/>
            </w:tcBorders>
            <w:shd w:val="clear" w:color="auto" w:fill="auto"/>
            <w:vAlign w:val="center"/>
          </w:tcPr>
          <w:p w14:paraId="432344D8">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14515</w:t>
            </w:r>
          </w:p>
        </w:tc>
        <w:tc>
          <w:tcPr>
            <w:tcW w:w="1011" w:type="dxa"/>
            <w:tcBorders>
              <w:top w:val="single" w:color="auto" w:sz="4" w:space="0"/>
              <w:left w:val="single" w:color="auto" w:sz="4" w:space="0"/>
              <w:bottom w:val="single" w:color="auto" w:sz="4" w:space="0"/>
              <w:right w:val="single" w:color="auto" w:sz="4" w:space="0"/>
            </w:tcBorders>
            <w:shd w:val="clear" w:color="auto" w:fill="auto"/>
            <w:vAlign w:val="center"/>
          </w:tcPr>
          <w:p w14:paraId="4D5F4FDB">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14515</w:t>
            </w:r>
          </w:p>
        </w:tc>
        <w:tc>
          <w:tcPr>
            <w:tcW w:w="1540" w:type="dxa"/>
            <w:tcBorders>
              <w:top w:val="nil"/>
              <w:left w:val="nil"/>
              <w:bottom w:val="single" w:color="auto" w:sz="4" w:space="0"/>
              <w:right w:val="single" w:color="auto" w:sz="4" w:space="0"/>
            </w:tcBorders>
            <w:shd w:val="clear" w:color="auto" w:fill="auto"/>
            <w:vAlign w:val="center"/>
          </w:tcPr>
          <w:p w14:paraId="6CBB0998">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2"/>
            <w:tcBorders>
              <w:top w:val="nil"/>
              <w:left w:val="nil"/>
              <w:bottom w:val="single" w:color="auto" w:sz="4" w:space="0"/>
              <w:right w:val="single" w:color="auto" w:sz="4" w:space="0"/>
            </w:tcBorders>
            <w:shd w:val="clear" w:color="auto" w:fill="auto"/>
            <w:vAlign w:val="center"/>
          </w:tcPr>
          <w:p w14:paraId="7E34C0B0">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14:paraId="47FBF0C4">
        <w:tblPrEx>
          <w:tblCellMar>
            <w:top w:w="0" w:type="dxa"/>
            <w:left w:w="108" w:type="dxa"/>
            <w:bottom w:w="0" w:type="dxa"/>
            <w:right w:w="108" w:type="dxa"/>
          </w:tblCellMar>
        </w:tblPrEx>
        <w:trPr>
          <w:trHeight w:val="513" w:hRule="atLeast"/>
        </w:trPr>
        <w:tc>
          <w:tcPr>
            <w:tcW w:w="1134" w:type="dxa"/>
            <w:vMerge w:val="continue"/>
            <w:tcBorders>
              <w:top w:val="nil"/>
              <w:left w:val="single" w:color="auto" w:sz="4" w:space="0"/>
              <w:bottom w:val="single" w:color="auto" w:sz="4" w:space="0"/>
              <w:right w:val="single" w:color="auto" w:sz="4" w:space="0"/>
            </w:tcBorders>
            <w:vAlign w:val="center"/>
          </w:tcPr>
          <w:p w14:paraId="0098CDDC">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7D51AB5C">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设备验收合格率</w:t>
            </w:r>
          </w:p>
        </w:tc>
        <w:tc>
          <w:tcPr>
            <w:tcW w:w="1031" w:type="dxa"/>
            <w:tcBorders>
              <w:top w:val="nil"/>
              <w:left w:val="nil"/>
              <w:bottom w:val="single" w:color="auto" w:sz="4" w:space="0"/>
              <w:right w:val="single" w:color="auto" w:sz="4" w:space="0"/>
            </w:tcBorders>
            <w:shd w:val="clear" w:color="auto" w:fill="auto"/>
            <w:vAlign w:val="center"/>
          </w:tcPr>
          <w:p w14:paraId="5B35D1BE">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967" w:type="dxa"/>
            <w:tcBorders>
              <w:top w:val="nil"/>
              <w:left w:val="nil"/>
              <w:bottom w:val="single" w:color="auto" w:sz="4" w:space="0"/>
              <w:right w:val="nil"/>
            </w:tcBorders>
            <w:shd w:val="clear" w:color="auto" w:fill="auto"/>
            <w:vAlign w:val="center"/>
          </w:tcPr>
          <w:p w14:paraId="3A857B26">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222" w:type="dxa"/>
            <w:tcBorders>
              <w:top w:val="nil"/>
              <w:left w:val="nil"/>
              <w:bottom w:val="single" w:color="auto" w:sz="4" w:space="0"/>
              <w:right w:val="single" w:color="auto" w:sz="4" w:space="0"/>
            </w:tcBorders>
            <w:shd w:val="clear" w:color="auto" w:fill="auto"/>
            <w:vAlign w:val="center"/>
          </w:tcPr>
          <w:p w14:paraId="4EB32ECA">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37" w:type="dxa"/>
            <w:tcBorders>
              <w:top w:val="nil"/>
              <w:left w:val="nil"/>
              <w:bottom w:val="single" w:color="auto" w:sz="4" w:space="0"/>
              <w:right w:val="single" w:color="auto" w:sz="4" w:space="0"/>
            </w:tcBorders>
            <w:shd w:val="clear" w:color="auto" w:fill="auto"/>
            <w:vAlign w:val="center"/>
          </w:tcPr>
          <w:p w14:paraId="059585F6">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11" w:type="dxa"/>
            <w:tcBorders>
              <w:top w:val="nil"/>
              <w:left w:val="nil"/>
              <w:bottom w:val="single" w:color="auto" w:sz="4" w:space="0"/>
              <w:right w:val="single" w:color="auto" w:sz="4" w:space="0"/>
            </w:tcBorders>
            <w:shd w:val="clear" w:color="auto" w:fill="auto"/>
            <w:vAlign w:val="center"/>
          </w:tcPr>
          <w:p w14:paraId="0EA0515A">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540" w:type="dxa"/>
            <w:tcBorders>
              <w:top w:val="nil"/>
              <w:left w:val="nil"/>
              <w:bottom w:val="single" w:color="auto" w:sz="4" w:space="0"/>
              <w:right w:val="single" w:color="auto" w:sz="4" w:space="0"/>
            </w:tcBorders>
            <w:shd w:val="clear" w:color="auto" w:fill="auto"/>
            <w:vAlign w:val="center"/>
          </w:tcPr>
          <w:p w14:paraId="518CED61">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2"/>
            <w:tcBorders>
              <w:top w:val="nil"/>
              <w:left w:val="nil"/>
              <w:bottom w:val="single" w:color="auto" w:sz="4" w:space="0"/>
              <w:right w:val="single" w:color="auto" w:sz="4" w:space="0"/>
            </w:tcBorders>
            <w:shd w:val="clear" w:color="auto" w:fill="auto"/>
            <w:vAlign w:val="center"/>
          </w:tcPr>
          <w:p w14:paraId="0F6364B0">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14:paraId="6629AF14">
        <w:tblPrEx>
          <w:tblCellMar>
            <w:top w:w="0" w:type="dxa"/>
            <w:left w:w="108" w:type="dxa"/>
            <w:bottom w:w="0" w:type="dxa"/>
            <w:right w:w="108" w:type="dxa"/>
          </w:tblCellMar>
        </w:tblPrEx>
        <w:trPr>
          <w:trHeight w:val="513" w:hRule="atLeast"/>
        </w:trPr>
        <w:tc>
          <w:tcPr>
            <w:tcW w:w="1134" w:type="dxa"/>
            <w:vMerge w:val="continue"/>
            <w:tcBorders>
              <w:top w:val="nil"/>
              <w:left w:val="single" w:color="auto" w:sz="4" w:space="0"/>
              <w:bottom w:val="single" w:color="auto" w:sz="4" w:space="0"/>
              <w:right w:val="single" w:color="auto" w:sz="4" w:space="0"/>
            </w:tcBorders>
            <w:vAlign w:val="center"/>
          </w:tcPr>
          <w:p w14:paraId="6FD565BD">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76B700FF">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采购完成率</w:t>
            </w:r>
          </w:p>
        </w:tc>
        <w:tc>
          <w:tcPr>
            <w:tcW w:w="1031" w:type="dxa"/>
            <w:tcBorders>
              <w:top w:val="nil"/>
              <w:left w:val="nil"/>
              <w:bottom w:val="single" w:color="auto" w:sz="4" w:space="0"/>
              <w:right w:val="single" w:color="auto" w:sz="4" w:space="0"/>
            </w:tcBorders>
            <w:shd w:val="clear" w:color="auto" w:fill="auto"/>
            <w:vAlign w:val="center"/>
          </w:tcPr>
          <w:p w14:paraId="30980623">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967" w:type="dxa"/>
            <w:tcBorders>
              <w:top w:val="nil"/>
              <w:left w:val="nil"/>
              <w:bottom w:val="single" w:color="auto" w:sz="4" w:space="0"/>
              <w:right w:val="nil"/>
            </w:tcBorders>
            <w:shd w:val="clear" w:color="auto" w:fill="auto"/>
            <w:vAlign w:val="center"/>
          </w:tcPr>
          <w:p w14:paraId="722E0B00">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222" w:type="dxa"/>
            <w:tcBorders>
              <w:top w:val="nil"/>
              <w:left w:val="nil"/>
              <w:bottom w:val="single" w:color="auto" w:sz="4" w:space="0"/>
              <w:right w:val="single" w:color="auto" w:sz="4" w:space="0"/>
            </w:tcBorders>
            <w:shd w:val="clear" w:color="auto" w:fill="auto"/>
            <w:vAlign w:val="center"/>
          </w:tcPr>
          <w:p w14:paraId="291B4451">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37" w:type="dxa"/>
            <w:tcBorders>
              <w:top w:val="nil"/>
              <w:left w:val="nil"/>
              <w:bottom w:val="single" w:color="auto" w:sz="4" w:space="0"/>
              <w:right w:val="single" w:color="auto" w:sz="4" w:space="0"/>
            </w:tcBorders>
            <w:shd w:val="clear" w:color="auto" w:fill="auto"/>
            <w:vAlign w:val="center"/>
          </w:tcPr>
          <w:p w14:paraId="4D240960">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11" w:type="dxa"/>
            <w:tcBorders>
              <w:top w:val="nil"/>
              <w:left w:val="nil"/>
              <w:bottom w:val="single" w:color="auto" w:sz="4" w:space="0"/>
              <w:right w:val="single" w:color="auto" w:sz="4" w:space="0"/>
            </w:tcBorders>
            <w:shd w:val="clear" w:color="auto" w:fill="auto"/>
            <w:vAlign w:val="center"/>
          </w:tcPr>
          <w:p w14:paraId="0AB618EF">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540" w:type="dxa"/>
            <w:tcBorders>
              <w:top w:val="nil"/>
              <w:left w:val="nil"/>
              <w:bottom w:val="single" w:color="auto" w:sz="4" w:space="0"/>
              <w:right w:val="single" w:color="auto" w:sz="4" w:space="0"/>
            </w:tcBorders>
            <w:shd w:val="clear" w:color="auto" w:fill="auto"/>
            <w:vAlign w:val="center"/>
          </w:tcPr>
          <w:p w14:paraId="6ABE3B92">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2"/>
            <w:tcBorders>
              <w:top w:val="nil"/>
              <w:left w:val="nil"/>
              <w:bottom w:val="single" w:color="auto" w:sz="4" w:space="0"/>
              <w:right w:val="single" w:color="auto" w:sz="4" w:space="0"/>
            </w:tcBorders>
            <w:shd w:val="clear" w:color="auto" w:fill="auto"/>
            <w:vAlign w:val="center"/>
          </w:tcPr>
          <w:p w14:paraId="6C18801E">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14:paraId="11DAC2BB">
        <w:tblPrEx>
          <w:tblCellMar>
            <w:top w:w="0" w:type="dxa"/>
            <w:left w:w="108" w:type="dxa"/>
            <w:bottom w:w="0" w:type="dxa"/>
            <w:right w:w="108" w:type="dxa"/>
          </w:tblCellMar>
        </w:tblPrEx>
        <w:trPr>
          <w:trHeight w:val="754" w:hRule="atLeast"/>
        </w:trPr>
        <w:tc>
          <w:tcPr>
            <w:tcW w:w="1134" w:type="dxa"/>
            <w:vMerge w:val="continue"/>
            <w:tcBorders>
              <w:top w:val="nil"/>
              <w:left w:val="single" w:color="auto" w:sz="4" w:space="0"/>
              <w:bottom w:val="single" w:color="auto" w:sz="4" w:space="0"/>
              <w:right w:val="single" w:color="auto" w:sz="4" w:space="0"/>
            </w:tcBorders>
            <w:vAlign w:val="center"/>
          </w:tcPr>
          <w:p w14:paraId="1A7A3944">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4AC3DAC8">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受益师生</w:t>
            </w:r>
          </w:p>
        </w:tc>
        <w:tc>
          <w:tcPr>
            <w:tcW w:w="1031" w:type="dxa"/>
            <w:tcBorders>
              <w:top w:val="nil"/>
              <w:left w:val="nil"/>
              <w:bottom w:val="single" w:color="auto" w:sz="4" w:space="0"/>
              <w:right w:val="single" w:color="auto" w:sz="4" w:space="0"/>
            </w:tcBorders>
            <w:shd w:val="clear" w:color="auto" w:fill="auto"/>
            <w:vAlign w:val="center"/>
          </w:tcPr>
          <w:p w14:paraId="103A733F">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人</w:t>
            </w:r>
          </w:p>
        </w:tc>
        <w:tc>
          <w:tcPr>
            <w:tcW w:w="1189" w:type="dxa"/>
            <w:gridSpan w:val="2"/>
            <w:tcBorders>
              <w:top w:val="single" w:color="auto" w:sz="4" w:space="0"/>
              <w:left w:val="nil"/>
              <w:bottom w:val="single" w:color="auto" w:sz="4" w:space="0"/>
              <w:right w:val="single" w:color="000000" w:sz="4" w:space="0"/>
            </w:tcBorders>
            <w:shd w:val="clear" w:color="auto" w:fill="auto"/>
            <w:vAlign w:val="center"/>
          </w:tcPr>
          <w:p w14:paraId="2225BA2E">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937" w:type="dxa"/>
            <w:tcBorders>
              <w:top w:val="nil"/>
              <w:left w:val="nil"/>
              <w:bottom w:val="single" w:color="auto" w:sz="4" w:space="0"/>
              <w:right w:val="single" w:color="auto" w:sz="4" w:space="0"/>
            </w:tcBorders>
            <w:shd w:val="clear" w:color="auto" w:fill="auto"/>
            <w:vAlign w:val="center"/>
          </w:tcPr>
          <w:p w14:paraId="64D71BC6">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252</w:t>
            </w:r>
          </w:p>
        </w:tc>
        <w:tc>
          <w:tcPr>
            <w:tcW w:w="1011" w:type="dxa"/>
            <w:tcBorders>
              <w:top w:val="nil"/>
              <w:left w:val="nil"/>
              <w:bottom w:val="single" w:color="auto" w:sz="4" w:space="0"/>
              <w:right w:val="single" w:color="auto" w:sz="4" w:space="0"/>
            </w:tcBorders>
            <w:shd w:val="clear" w:color="auto" w:fill="auto"/>
            <w:vAlign w:val="center"/>
          </w:tcPr>
          <w:p w14:paraId="40400E30">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252</w:t>
            </w:r>
          </w:p>
        </w:tc>
        <w:tc>
          <w:tcPr>
            <w:tcW w:w="1540" w:type="dxa"/>
            <w:tcBorders>
              <w:top w:val="nil"/>
              <w:left w:val="nil"/>
              <w:bottom w:val="single" w:color="auto" w:sz="4" w:space="0"/>
              <w:right w:val="single" w:color="auto" w:sz="4" w:space="0"/>
            </w:tcBorders>
            <w:shd w:val="clear" w:color="auto" w:fill="auto"/>
            <w:vAlign w:val="center"/>
          </w:tcPr>
          <w:p w14:paraId="0F53E2F6">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2"/>
            <w:tcBorders>
              <w:top w:val="nil"/>
              <w:left w:val="nil"/>
              <w:bottom w:val="single" w:color="auto" w:sz="4" w:space="0"/>
              <w:right w:val="single" w:color="auto" w:sz="4" w:space="0"/>
            </w:tcBorders>
            <w:shd w:val="clear" w:color="auto" w:fill="auto"/>
            <w:vAlign w:val="center"/>
          </w:tcPr>
          <w:p w14:paraId="7F3240C2">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14:paraId="2D4EE79D">
        <w:tblPrEx>
          <w:tblCellMar>
            <w:top w:w="0" w:type="dxa"/>
            <w:left w:w="108" w:type="dxa"/>
            <w:bottom w:w="0" w:type="dxa"/>
            <w:right w:w="108" w:type="dxa"/>
          </w:tblCellMar>
        </w:tblPrEx>
        <w:trPr>
          <w:trHeight w:val="526" w:hRule="atLeast"/>
        </w:trPr>
        <w:tc>
          <w:tcPr>
            <w:tcW w:w="1134" w:type="dxa"/>
            <w:vMerge w:val="continue"/>
            <w:tcBorders>
              <w:top w:val="nil"/>
              <w:left w:val="single" w:color="auto" w:sz="4" w:space="0"/>
              <w:bottom w:val="single" w:color="auto" w:sz="4" w:space="0"/>
              <w:right w:val="single" w:color="auto" w:sz="4" w:space="0"/>
            </w:tcBorders>
            <w:vAlign w:val="center"/>
          </w:tcPr>
          <w:p w14:paraId="2AC3367E">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27A53697">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师生满意率</w:t>
            </w:r>
          </w:p>
        </w:tc>
        <w:tc>
          <w:tcPr>
            <w:tcW w:w="1031" w:type="dxa"/>
            <w:tcBorders>
              <w:top w:val="nil"/>
              <w:left w:val="nil"/>
              <w:bottom w:val="single" w:color="auto" w:sz="4" w:space="0"/>
              <w:right w:val="single" w:color="auto" w:sz="4" w:space="0"/>
            </w:tcBorders>
            <w:shd w:val="clear" w:color="auto" w:fill="auto"/>
            <w:vAlign w:val="center"/>
          </w:tcPr>
          <w:p w14:paraId="6475DAEC">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189" w:type="dxa"/>
            <w:gridSpan w:val="2"/>
            <w:tcBorders>
              <w:top w:val="single" w:color="auto" w:sz="4" w:space="0"/>
              <w:left w:val="nil"/>
              <w:bottom w:val="single" w:color="auto" w:sz="4" w:space="0"/>
              <w:right w:val="single" w:color="000000" w:sz="4" w:space="0"/>
            </w:tcBorders>
            <w:shd w:val="clear" w:color="auto" w:fill="auto"/>
            <w:vAlign w:val="center"/>
          </w:tcPr>
          <w:p w14:paraId="1C3FA290">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937" w:type="dxa"/>
            <w:tcBorders>
              <w:top w:val="nil"/>
              <w:left w:val="nil"/>
              <w:bottom w:val="single" w:color="auto" w:sz="4" w:space="0"/>
              <w:right w:val="single" w:color="auto" w:sz="4" w:space="0"/>
            </w:tcBorders>
            <w:shd w:val="clear" w:color="auto" w:fill="auto"/>
            <w:vAlign w:val="center"/>
          </w:tcPr>
          <w:p w14:paraId="3098917F">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11" w:type="dxa"/>
            <w:tcBorders>
              <w:top w:val="nil"/>
              <w:left w:val="nil"/>
              <w:bottom w:val="single" w:color="auto" w:sz="4" w:space="0"/>
              <w:right w:val="single" w:color="auto" w:sz="4" w:space="0"/>
            </w:tcBorders>
            <w:shd w:val="clear" w:color="auto" w:fill="auto"/>
            <w:vAlign w:val="center"/>
          </w:tcPr>
          <w:p w14:paraId="1E3A112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540" w:type="dxa"/>
            <w:tcBorders>
              <w:top w:val="nil"/>
              <w:left w:val="nil"/>
              <w:bottom w:val="single" w:color="auto" w:sz="4" w:space="0"/>
              <w:right w:val="single" w:color="auto" w:sz="4" w:space="0"/>
            </w:tcBorders>
            <w:shd w:val="clear" w:color="auto" w:fill="auto"/>
            <w:vAlign w:val="center"/>
          </w:tcPr>
          <w:p w14:paraId="6228BA0A">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2"/>
            <w:tcBorders>
              <w:top w:val="nil"/>
              <w:left w:val="nil"/>
              <w:bottom w:val="single" w:color="auto" w:sz="4" w:space="0"/>
              <w:right w:val="single" w:color="auto" w:sz="4" w:space="0"/>
            </w:tcBorders>
            <w:shd w:val="clear" w:color="auto" w:fill="auto"/>
            <w:vAlign w:val="center"/>
          </w:tcPr>
          <w:p w14:paraId="5D31837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14:paraId="5CF3A765">
        <w:tblPrEx>
          <w:tblCellMar>
            <w:top w:w="0" w:type="dxa"/>
            <w:left w:w="108" w:type="dxa"/>
            <w:bottom w:w="0" w:type="dxa"/>
            <w:right w:w="108" w:type="dxa"/>
          </w:tblCellMar>
        </w:tblPrEx>
        <w:trPr>
          <w:trHeight w:val="538" w:hRule="atLeast"/>
        </w:trPr>
        <w:tc>
          <w:tcPr>
            <w:tcW w:w="1134" w:type="dxa"/>
            <w:vMerge w:val="continue"/>
            <w:tcBorders>
              <w:top w:val="nil"/>
              <w:left w:val="single" w:color="auto" w:sz="4" w:space="0"/>
              <w:bottom w:val="single" w:color="auto" w:sz="4" w:space="0"/>
              <w:right w:val="single" w:color="auto" w:sz="4" w:space="0"/>
            </w:tcBorders>
            <w:vAlign w:val="center"/>
          </w:tcPr>
          <w:p w14:paraId="51CFA4E1">
            <w:pPr>
              <w:widowControl/>
              <w:spacing w:line="320" w:lineRule="exact"/>
              <w:jc w:val="left"/>
              <w:rPr>
                <w:rFonts w:ascii="宋体" w:hAnsi="宋体" w:eastAsia="宋体" w:cs="宋体"/>
                <w:color w:val="000000"/>
                <w:kern w:val="0"/>
                <w:sz w:val="20"/>
                <w:szCs w:val="20"/>
              </w:rPr>
            </w:pPr>
          </w:p>
        </w:tc>
        <w:tc>
          <w:tcPr>
            <w:tcW w:w="1149" w:type="dxa"/>
            <w:tcBorders>
              <w:top w:val="nil"/>
              <w:left w:val="nil"/>
              <w:bottom w:val="single" w:color="auto" w:sz="4" w:space="0"/>
              <w:right w:val="single" w:color="auto" w:sz="4" w:space="0"/>
            </w:tcBorders>
            <w:shd w:val="clear" w:color="auto" w:fill="auto"/>
            <w:vAlign w:val="center"/>
          </w:tcPr>
          <w:p w14:paraId="4CAB0907">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社会满意率</w:t>
            </w:r>
          </w:p>
        </w:tc>
        <w:tc>
          <w:tcPr>
            <w:tcW w:w="1031" w:type="dxa"/>
            <w:tcBorders>
              <w:top w:val="nil"/>
              <w:left w:val="nil"/>
              <w:bottom w:val="single" w:color="auto" w:sz="4" w:space="0"/>
              <w:right w:val="single" w:color="auto" w:sz="4" w:space="0"/>
            </w:tcBorders>
            <w:shd w:val="clear" w:color="auto" w:fill="auto"/>
            <w:vAlign w:val="center"/>
          </w:tcPr>
          <w:p w14:paraId="578A2648">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189" w:type="dxa"/>
            <w:gridSpan w:val="2"/>
            <w:tcBorders>
              <w:top w:val="single" w:color="auto" w:sz="4" w:space="0"/>
              <w:left w:val="nil"/>
              <w:bottom w:val="single" w:color="auto" w:sz="4" w:space="0"/>
              <w:right w:val="single" w:color="000000" w:sz="4" w:space="0"/>
            </w:tcBorders>
            <w:shd w:val="clear" w:color="auto" w:fill="auto"/>
            <w:vAlign w:val="center"/>
          </w:tcPr>
          <w:p w14:paraId="58FB5220">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937" w:type="dxa"/>
            <w:tcBorders>
              <w:top w:val="nil"/>
              <w:left w:val="nil"/>
              <w:bottom w:val="single" w:color="auto" w:sz="4" w:space="0"/>
              <w:right w:val="single" w:color="auto" w:sz="4" w:space="0"/>
            </w:tcBorders>
            <w:shd w:val="clear" w:color="auto" w:fill="auto"/>
            <w:vAlign w:val="center"/>
          </w:tcPr>
          <w:p w14:paraId="2EE37AE0">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11" w:type="dxa"/>
            <w:tcBorders>
              <w:top w:val="nil"/>
              <w:left w:val="nil"/>
              <w:bottom w:val="single" w:color="auto" w:sz="4" w:space="0"/>
              <w:right w:val="single" w:color="auto" w:sz="4" w:space="0"/>
            </w:tcBorders>
            <w:shd w:val="clear" w:color="auto" w:fill="auto"/>
            <w:vAlign w:val="center"/>
          </w:tcPr>
          <w:p w14:paraId="7F0C8A2C">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540" w:type="dxa"/>
            <w:tcBorders>
              <w:top w:val="nil"/>
              <w:left w:val="nil"/>
              <w:bottom w:val="single" w:color="auto" w:sz="4" w:space="0"/>
              <w:right w:val="single" w:color="auto" w:sz="4" w:space="0"/>
            </w:tcBorders>
            <w:shd w:val="clear" w:color="auto" w:fill="auto"/>
            <w:vAlign w:val="center"/>
          </w:tcPr>
          <w:p w14:paraId="38E0920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16" w:type="dxa"/>
            <w:gridSpan w:val="2"/>
            <w:tcBorders>
              <w:top w:val="nil"/>
              <w:left w:val="nil"/>
              <w:bottom w:val="single" w:color="auto" w:sz="4" w:space="0"/>
              <w:right w:val="single" w:color="auto" w:sz="4" w:space="0"/>
            </w:tcBorders>
            <w:shd w:val="clear" w:color="auto" w:fill="auto"/>
            <w:vAlign w:val="center"/>
          </w:tcPr>
          <w:p w14:paraId="1357FF9D">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14:paraId="7DE1A212">
        <w:tblPrEx>
          <w:tblCellMar>
            <w:top w:w="0" w:type="dxa"/>
            <w:left w:w="108" w:type="dxa"/>
            <w:bottom w:w="0" w:type="dxa"/>
            <w:right w:w="108" w:type="dxa"/>
          </w:tblCellMar>
        </w:tblPrEx>
        <w:trPr>
          <w:trHeight w:val="2054" w:hRule="atLeast"/>
        </w:trPr>
        <w:tc>
          <w:tcPr>
            <w:tcW w:w="1134" w:type="dxa"/>
            <w:tcBorders>
              <w:top w:val="nil"/>
              <w:left w:val="single" w:color="auto" w:sz="4" w:space="0"/>
              <w:bottom w:val="single" w:color="auto" w:sz="4" w:space="0"/>
              <w:right w:val="single" w:color="auto" w:sz="4" w:space="0"/>
            </w:tcBorders>
            <w:shd w:val="clear" w:color="auto" w:fill="auto"/>
            <w:vAlign w:val="center"/>
          </w:tcPr>
          <w:p w14:paraId="65077137">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7573" w:type="dxa"/>
            <w:gridSpan w:val="9"/>
            <w:tcBorders>
              <w:top w:val="single" w:color="auto" w:sz="4" w:space="0"/>
              <w:left w:val="nil"/>
              <w:bottom w:val="single" w:color="auto" w:sz="4" w:space="0"/>
              <w:right w:val="single" w:color="auto" w:sz="4" w:space="0"/>
            </w:tcBorders>
            <w:shd w:val="clear" w:color="auto" w:fill="auto"/>
            <w:vAlign w:val="center"/>
          </w:tcPr>
          <w:p w14:paraId="25F47767">
            <w:pPr>
              <w:widowControl/>
              <w:spacing w:line="320" w:lineRule="exact"/>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14:paraId="17D865B5">
        <w:tblPrEx>
          <w:tblCellMar>
            <w:top w:w="0" w:type="dxa"/>
            <w:left w:w="108" w:type="dxa"/>
            <w:bottom w:w="0" w:type="dxa"/>
            <w:right w:w="108" w:type="dxa"/>
          </w:tblCellMar>
        </w:tblPrEx>
        <w:trPr>
          <w:trHeight w:val="230" w:hRule="atLeast"/>
        </w:trPr>
        <w:tc>
          <w:tcPr>
            <w:tcW w:w="1134" w:type="dxa"/>
            <w:tcBorders>
              <w:top w:val="nil"/>
              <w:left w:val="nil"/>
              <w:bottom w:val="nil"/>
              <w:right w:val="nil"/>
            </w:tcBorders>
            <w:shd w:val="clear" w:color="auto" w:fill="auto"/>
            <w:vAlign w:val="center"/>
          </w:tcPr>
          <w:p w14:paraId="768509C3">
            <w:pPr>
              <w:widowControl/>
              <w:spacing w:line="320" w:lineRule="exact"/>
              <w:jc w:val="center"/>
              <w:rPr>
                <w:rFonts w:ascii="宋体" w:hAnsi="宋体" w:eastAsia="宋体" w:cs="宋体"/>
                <w:color w:val="000000"/>
                <w:kern w:val="0"/>
                <w:sz w:val="20"/>
                <w:szCs w:val="20"/>
              </w:rPr>
            </w:pPr>
          </w:p>
        </w:tc>
        <w:tc>
          <w:tcPr>
            <w:tcW w:w="1149" w:type="dxa"/>
            <w:tcBorders>
              <w:top w:val="nil"/>
              <w:left w:val="nil"/>
              <w:bottom w:val="nil"/>
              <w:right w:val="nil"/>
            </w:tcBorders>
            <w:shd w:val="clear" w:color="auto" w:fill="auto"/>
            <w:vAlign w:val="center"/>
          </w:tcPr>
          <w:p w14:paraId="09AD3977">
            <w:pPr>
              <w:widowControl/>
              <w:spacing w:line="320" w:lineRule="exact"/>
              <w:jc w:val="left"/>
              <w:rPr>
                <w:rFonts w:ascii="Times New Roman" w:hAnsi="Times New Roman" w:eastAsia="Times New Roman" w:cs="Times New Roman"/>
                <w:kern w:val="0"/>
                <w:sz w:val="20"/>
                <w:szCs w:val="20"/>
              </w:rPr>
            </w:pPr>
          </w:p>
        </w:tc>
        <w:tc>
          <w:tcPr>
            <w:tcW w:w="1031" w:type="dxa"/>
            <w:tcBorders>
              <w:top w:val="nil"/>
              <w:left w:val="nil"/>
              <w:bottom w:val="nil"/>
              <w:right w:val="nil"/>
            </w:tcBorders>
            <w:shd w:val="clear" w:color="auto" w:fill="auto"/>
            <w:vAlign w:val="center"/>
          </w:tcPr>
          <w:p w14:paraId="44D879BB">
            <w:pPr>
              <w:widowControl/>
              <w:spacing w:line="320" w:lineRule="exact"/>
              <w:jc w:val="left"/>
              <w:rPr>
                <w:rFonts w:ascii="Times New Roman" w:hAnsi="Times New Roman" w:eastAsia="Times New Roman" w:cs="Times New Roman"/>
                <w:kern w:val="0"/>
                <w:sz w:val="20"/>
                <w:szCs w:val="20"/>
              </w:rPr>
            </w:pPr>
          </w:p>
        </w:tc>
        <w:tc>
          <w:tcPr>
            <w:tcW w:w="967" w:type="dxa"/>
            <w:tcBorders>
              <w:top w:val="nil"/>
              <w:left w:val="nil"/>
              <w:bottom w:val="nil"/>
              <w:right w:val="nil"/>
            </w:tcBorders>
            <w:shd w:val="clear" w:color="auto" w:fill="auto"/>
            <w:vAlign w:val="center"/>
          </w:tcPr>
          <w:p w14:paraId="2926EDC8">
            <w:pPr>
              <w:widowControl/>
              <w:spacing w:line="320" w:lineRule="exact"/>
              <w:jc w:val="left"/>
              <w:rPr>
                <w:rFonts w:ascii="Times New Roman" w:hAnsi="Times New Roman" w:eastAsia="Times New Roman" w:cs="Times New Roman"/>
                <w:kern w:val="0"/>
                <w:sz w:val="20"/>
                <w:szCs w:val="20"/>
              </w:rPr>
            </w:pPr>
          </w:p>
        </w:tc>
        <w:tc>
          <w:tcPr>
            <w:tcW w:w="222" w:type="dxa"/>
            <w:tcBorders>
              <w:top w:val="nil"/>
              <w:left w:val="nil"/>
              <w:bottom w:val="nil"/>
              <w:right w:val="nil"/>
            </w:tcBorders>
            <w:shd w:val="clear" w:color="auto" w:fill="auto"/>
            <w:vAlign w:val="center"/>
          </w:tcPr>
          <w:p w14:paraId="40FF2934">
            <w:pPr>
              <w:widowControl/>
              <w:spacing w:line="320" w:lineRule="exact"/>
              <w:jc w:val="left"/>
              <w:rPr>
                <w:rFonts w:ascii="Times New Roman" w:hAnsi="Times New Roman" w:eastAsia="Times New Roman" w:cs="Times New Roman"/>
                <w:kern w:val="0"/>
                <w:sz w:val="20"/>
                <w:szCs w:val="20"/>
              </w:rPr>
            </w:pPr>
          </w:p>
        </w:tc>
        <w:tc>
          <w:tcPr>
            <w:tcW w:w="937" w:type="dxa"/>
            <w:tcBorders>
              <w:top w:val="nil"/>
              <w:left w:val="nil"/>
              <w:bottom w:val="nil"/>
              <w:right w:val="nil"/>
            </w:tcBorders>
            <w:shd w:val="clear" w:color="auto" w:fill="auto"/>
            <w:vAlign w:val="center"/>
          </w:tcPr>
          <w:p w14:paraId="12B7384C">
            <w:pPr>
              <w:widowControl/>
              <w:spacing w:line="320" w:lineRule="exact"/>
              <w:jc w:val="left"/>
              <w:rPr>
                <w:rFonts w:ascii="Times New Roman" w:hAnsi="Times New Roman" w:eastAsia="Times New Roman" w:cs="Times New Roman"/>
                <w:kern w:val="0"/>
                <w:sz w:val="20"/>
                <w:szCs w:val="20"/>
              </w:rPr>
            </w:pPr>
          </w:p>
        </w:tc>
        <w:tc>
          <w:tcPr>
            <w:tcW w:w="1011" w:type="dxa"/>
            <w:tcBorders>
              <w:top w:val="nil"/>
              <w:left w:val="nil"/>
              <w:bottom w:val="nil"/>
              <w:right w:val="nil"/>
            </w:tcBorders>
            <w:shd w:val="clear" w:color="auto" w:fill="auto"/>
            <w:vAlign w:val="center"/>
          </w:tcPr>
          <w:p w14:paraId="5410AA83">
            <w:pPr>
              <w:widowControl/>
              <w:spacing w:line="320" w:lineRule="exact"/>
              <w:jc w:val="left"/>
              <w:rPr>
                <w:rFonts w:ascii="Times New Roman" w:hAnsi="Times New Roman" w:eastAsia="Times New Roman" w:cs="Times New Roman"/>
                <w:kern w:val="0"/>
                <w:sz w:val="20"/>
                <w:szCs w:val="20"/>
              </w:rPr>
            </w:pPr>
          </w:p>
        </w:tc>
        <w:tc>
          <w:tcPr>
            <w:tcW w:w="1540" w:type="dxa"/>
            <w:tcBorders>
              <w:top w:val="nil"/>
              <w:left w:val="nil"/>
              <w:bottom w:val="nil"/>
              <w:right w:val="nil"/>
            </w:tcBorders>
            <w:shd w:val="clear" w:color="auto" w:fill="auto"/>
            <w:vAlign w:val="center"/>
          </w:tcPr>
          <w:p w14:paraId="1C1D9D07">
            <w:pPr>
              <w:widowControl/>
              <w:spacing w:line="320" w:lineRule="exact"/>
              <w:jc w:val="left"/>
              <w:rPr>
                <w:rFonts w:ascii="Times New Roman" w:hAnsi="Times New Roman" w:eastAsia="Times New Roman" w:cs="Times New Roman"/>
                <w:kern w:val="0"/>
                <w:sz w:val="20"/>
                <w:szCs w:val="20"/>
              </w:rPr>
            </w:pPr>
          </w:p>
        </w:tc>
        <w:tc>
          <w:tcPr>
            <w:tcW w:w="716" w:type="dxa"/>
            <w:gridSpan w:val="2"/>
            <w:tcBorders>
              <w:top w:val="nil"/>
              <w:left w:val="nil"/>
              <w:bottom w:val="nil"/>
              <w:right w:val="nil"/>
            </w:tcBorders>
            <w:shd w:val="clear" w:color="auto" w:fill="auto"/>
            <w:vAlign w:val="center"/>
          </w:tcPr>
          <w:p w14:paraId="1E038B5E">
            <w:pPr>
              <w:widowControl/>
              <w:spacing w:line="320" w:lineRule="exact"/>
              <w:jc w:val="left"/>
              <w:rPr>
                <w:rFonts w:ascii="Times New Roman" w:hAnsi="Times New Roman" w:eastAsia="Times New Roman" w:cs="Times New Roman"/>
                <w:kern w:val="0"/>
                <w:sz w:val="20"/>
                <w:szCs w:val="20"/>
              </w:rPr>
            </w:pPr>
          </w:p>
        </w:tc>
      </w:tr>
    </w:tbl>
    <w:p w14:paraId="18FC4DD5">
      <w:pPr>
        <w:pStyle w:val="4"/>
        <w:spacing w:line="600" w:lineRule="exact"/>
        <w:rPr>
          <w:rFonts w:ascii="方正仿宋_GBK" w:hAnsi="仿宋" w:eastAsia="方正仿宋_GBK"/>
          <w:b/>
          <w:bCs/>
          <w:sz w:val="32"/>
          <w:szCs w:val="32"/>
        </w:rPr>
      </w:pPr>
      <w:r>
        <w:rPr>
          <w:rFonts w:hint="eastAsia" w:ascii="方正仿宋_GBK" w:hAnsi="仿宋" w:eastAsia="方正仿宋_GBK"/>
          <w:b/>
          <w:bCs/>
          <w:sz w:val="32"/>
          <w:szCs w:val="32"/>
        </w:rPr>
        <w:t>2.绩效自评报告或案例</w:t>
      </w:r>
    </w:p>
    <w:p w14:paraId="1BB4C83A">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本单位未委托第三方开展绩效评价。</w:t>
      </w:r>
    </w:p>
    <w:p w14:paraId="1202878F">
      <w:pPr>
        <w:pStyle w:val="4"/>
        <w:spacing w:line="600" w:lineRule="exact"/>
        <w:rPr>
          <w:rStyle w:val="8"/>
          <w:rFonts w:hint="eastAsia" w:ascii="方正楷体_GBK" w:eastAsia="方正楷体_GBK" w:hAnsiTheme="minorHAnsi" w:cstheme="minorBidi"/>
          <w:kern w:val="2"/>
          <w:sz w:val="32"/>
          <w:szCs w:val="32"/>
        </w:rPr>
      </w:pPr>
      <w:r>
        <w:rPr>
          <w:rStyle w:val="8"/>
          <w:rFonts w:hint="eastAsia" w:ascii="方正楷体_GBK" w:eastAsia="方正楷体_GBK" w:hAnsiTheme="minorHAnsi" w:cstheme="minorBidi"/>
          <w:kern w:val="2"/>
          <w:sz w:val="32"/>
          <w:szCs w:val="32"/>
        </w:rPr>
        <w:t>（三）重点绩效评价结果</w:t>
      </w:r>
    </w:p>
    <w:p w14:paraId="45AD1BA3">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本单位未委托第三方开展绩效评价。</w:t>
      </w:r>
    </w:p>
    <w:p w14:paraId="23818CEA">
      <w:pPr>
        <w:pStyle w:val="4"/>
        <w:spacing w:line="600" w:lineRule="exact"/>
        <w:rPr>
          <w:rStyle w:val="8"/>
          <w:rFonts w:ascii="方正黑体_GBK" w:eastAsia="方正黑体_GBK"/>
          <w:sz w:val="32"/>
          <w:szCs w:val="32"/>
        </w:rPr>
      </w:pPr>
      <w:r>
        <w:rPr>
          <w:rStyle w:val="8"/>
          <w:rFonts w:hint="eastAsia" w:ascii="方正黑体_GBK" w:eastAsia="方正黑体_GBK"/>
          <w:sz w:val="32"/>
          <w:szCs w:val="32"/>
        </w:rPr>
        <w:t>六、专业名词解释</w:t>
      </w:r>
    </w:p>
    <w:p w14:paraId="268C801D">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（一）财政拨款收入</w:t>
      </w:r>
      <w:r>
        <w:rPr>
          <w:rFonts w:hint="eastAsia" w:ascii="方正仿宋_GBK" w:hAnsi="仿宋" w:eastAsia="方正仿宋_GBK"/>
          <w:sz w:val="32"/>
          <w:szCs w:val="32"/>
        </w:rPr>
        <w:t>：指本年度从本级财政部门取得的财政拨款，包括一般公共预算财政拨款和政府性基金预算财政拨款。</w:t>
      </w:r>
    </w:p>
    <w:p w14:paraId="0B105B6F">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（二）事业收入</w:t>
      </w:r>
      <w:r>
        <w:rPr>
          <w:rFonts w:hint="eastAsia" w:ascii="方正仿宋_GBK" w:hAnsi="仿宋" w:eastAsia="方正仿宋_GBK"/>
          <w:sz w:val="32"/>
          <w:szCs w:val="32"/>
        </w:rPr>
        <w:t>：指事业单位开展专业业务活动及其辅助活动取得的现金流入；事业单位收到的财政专户实际核拨的教育收费等资金在此反映。</w:t>
      </w:r>
    </w:p>
    <w:p w14:paraId="45C5B2F3">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（三）经营收入</w:t>
      </w:r>
      <w:r>
        <w:rPr>
          <w:rFonts w:hint="eastAsia" w:ascii="方正仿宋_GBK" w:hAnsi="仿宋" w:eastAsia="方正仿宋_GBK"/>
          <w:sz w:val="32"/>
          <w:szCs w:val="32"/>
        </w:rPr>
        <w:t>：指事业单位在专业业务活动及其辅助活动之外开展非独立核算经营活动取得的现金流入。</w:t>
      </w:r>
    </w:p>
    <w:p w14:paraId="0D988ECD">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（四）其他收入</w:t>
      </w:r>
      <w:r>
        <w:rPr>
          <w:rFonts w:hint="eastAsia" w:ascii="方正仿宋_GBK" w:hAnsi="仿宋"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7E501FD2">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（五）使用非财政拨款结余</w:t>
      </w:r>
      <w:r>
        <w:rPr>
          <w:rFonts w:hint="eastAsia" w:ascii="方正仿宋_GBK" w:hAnsi="仿宋" w:eastAsia="方正仿宋_GBK"/>
          <w:sz w:val="32"/>
          <w:szCs w:val="32"/>
        </w:rPr>
        <w:t>：指单位在当年的“财政拨款收入”、“事业收入”、“经营收入”、“其他收入”等不足以安排当年支出的情况下，使用以前年度积累的非财政拨款结余弥补本年度收支缺口的资金。</w:t>
      </w:r>
    </w:p>
    <w:p w14:paraId="3498E078">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（六）年初结转和结余</w:t>
      </w:r>
      <w:r>
        <w:rPr>
          <w:rFonts w:hint="eastAsia" w:ascii="方正仿宋_GBK" w:hAnsi="仿宋" w:eastAsia="方正仿宋_GBK"/>
          <w:sz w:val="32"/>
          <w:szCs w:val="32"/>
        </w:rPr>
        <w:t>：指单位上年结转本年使用的基本支出结转、项目支出结转和结余、经营结余。</w:t>
      </w:r>
    </w:p>
    <w:p w14:paraId="365191AE">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（七）结余分配</w:t>
      </w:r>
      <w:r>
        <w:rPr>
          <w:rFonts w:hint="eastAsia" w:ascii="方正仿宋_GBK" w:hAnsi="仿宋" w:eastAsia="方正仿宋_GBK"/>
          <w:sz w:val="32"/>
          <w:szCs w:val="32"/>
        </w:rPr>
        <w:t>：指单位按照国家有关规定，缴纳所得税、提取专用基金、转入非财政拨款结余等当年结余的分配情况。</w:t>
      </w:r>
    </w:p>
    <w:p w14:paraId="64C1D1E7">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（八）年末结转和结余</w:t>
      </w:r>
      <w:r>
        <w:rPr>
          <w:rFonts w:hint="eastAsia" w:ascii="方正仿宋_GBK" w:hAnsi="仿宋" w:eastAsia="方正仿宋_GBK"/>
          <w:sz w:val="32"/>
          <w:szCs w:val="32"/>
        </w:rPr>
        <w:t>：指单位结转下年的基本支出结转、项目支出结转和结余、经营结余。</w:t>
      </w:r>
    </w:p>
    <w:p w14:paraId="5050C8E6">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（九）基本支出</w:t>
      </w:r>
      <w:r>
        <w:rPr>
          <w:rFonts w:hint="eastAsia" w:ascii="方正仿宋_GBK" w:hAnsi="仿宋"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300663EB">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（十）项目支出</w:t>
      </w:r>
      <w:r>
        <w:rPr>
          <w:rFonts w:hint="eastAsia" w:ascii="方正仿宋_GBK" w:hAnsi="仿宋" w:eastAsia="方正仿宋_GBK"/>
          <w:sz w:val="32"/>
          <w:szCs w:val="32"/>
        </w:rPr>
        <w:t>：指在基本支出之外为完成特定行政任务和事业发展目标所发生的支出。</w:t>
      </w:r>
    </w:p>
    <w:p w14:paraId="416D5963">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（十一）经营支出</w:t>
      </w:r>
      <w:r>
        <w:rPr>
          <w:rFonts w:hint="eastAsia" w:ascii="方正仿宋_GBK" w:hAnsi="仿宋" w:eastAsia="方正仿宋_GBK"/>
          <w:sz w:val="32"/>
          <w:szCs w:val="32"/>
        </w:rPr>
        <w:t>：指事业单位在专业业务活动及其辅助活动之外开展非独立核算经营活动发生的支出。</w:t>
      </w:r>
    </w:p>
    <w:p w14:paraId="1D3266B5">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（十二）“三公”经费</w:t>
      </w:r>
      <w:r>
        <w:rPr>
          <w:rFonts w:hint="eastAsia" w:ascii="方正仿宋_GBK" w:hAnsi="仿宋"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14:paraId="4F3C6BB9">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（十三）机关运行经费</w:t>
      </w:r>
      <w:r>
        <w:rPr>
          <w:rFonts w:hint="eastAsia" w:ascii="方正仿宋_GBK" w:hAnsi="仿宋" w:eastAsia="方正仿宋_GBK"/>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14:paraId="023849C5">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（十四）工资福利支出（支出经济分类科目类级）</w:t>
      </w:r>
      <w:r>
        <w:rPr>
          <w:rFonts w:hint="eastAsia" w:ascii="方正仿宋_GBK" w:hAnsi="仿宋" w:eastAsia="方正仿宋_GBK"/>
          <w:sz w:val="32"/>
          <w:szCs w:val="32"/>
        </w:rPr>
        <w:t>：反映单位开支的在职职工和编制外长期聘用人员的各类劳动报酬，以及为上述人员缴纳的各项社会保险费等。</w:t>
      </w:r>
    </w:p>
    <w:p w14:paraId="286CED5D">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（十五）商品和服务支出（支出经济分类科目类级）</w:t>
      </w:r>
      <w:r>
        <w:rPr>
          <w:rFonts w:hint="eastAsia" w:ascii="方正仿宋_GBK" w:hAnsi="仿宋" w:eastAsia="方正仿宋_GBK"/>
          <w:sz w:val="32"/>
          <w:szCs w:val="32"/>
        </w:rPr>
        <w:t>：反映单位购买商品和服务的支出（不包括用于购置固定资产的支出、战略性和应急储备支出）。</w:t>
      </w:r>
    </w:p>
    <w:p w14:paraId="17C01EF1">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（十六）对个人和家庭的补助（支出经济分类科目类级）</w:t>
      </w:r>
      <w:r>
        <w:rPr>
          <w:rFonts w:hint="eastAsia" w:ascii="方正仿宋_GBK" w:hAnsi="仿宋" w:eastAsia="方正仿宋_GBK"/>
          <w:sz w:val="32"/>
          <w:szCs w:val="32"/>
        </w:rPr>
        <w:t>：反映用于对个人和家庭的补助支出。</w:t>
      </w:r>
    </w:p>
    <w:p w14:paraId="2FA88105">
      <w:pPr>
        <w:pStyle w:val="4"/>
        <w:spacing w:line="600" w:lineRule="exact"/>
        <w:ind w:firstLine="643" w:firstLineChars="200"/>
        <w:rPr>
          <w:rFonts w:ascii="方正仿宋_GBK" w:hAnsi="仿宋" w:eastAsia="方正仿宋_GBK"/>
          <w:sz w:val="32"/>
          <w:szCs w:val="32"/>
        </w:rPr>
      </w:pPr>
      <w:r>
        <w:rPr>
          <w:rFonts w:hint="eastAsia" w:ascii="方正仿宋_GBK" w:hAnsi="仿宋" w:eastAsia="方正仿宋_GBK"/>
          <w:b/>
          <w:bCs/>
          <w:sz w:val="32"/>
          <w:szCs w:val="32"/>
        </w:rPr>
        <w:t>（十七）其他资本性支出（支出经济分类科目类级）</w:t>
      </w:r>
      <w:r>
        <w:rPr>
          <w:rFonts w:hint="eastAsia" w:ascii="方正仿宋_GBK" w:hAnsi="仿宋"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14:paraId="3E73F71D">
      <w:pPr>
        <w:pStyle w:val="4"/>
        <w:spacing w:line="600" w:lineRule="exact"/>
        <w:rPr>
          <w:rStyle w:val="8"/>
          <w:rFonts w:ascii="方正黑体_GBK" w:eastAsia="方正黑体_GBK"/>
          <w:sz w:val="32"/>
          <w:szCs w:val="32"/>
        </w:rPr>
      </w:pPr>
      <w:r>
        <w:rPr>
          <w:rStyle w:val="8"/>
          <w:rFonts w:hint="eastAsia" w:ascii="方正黑体_GBK" w:eastAsia="方正黑体_GBK"/>
          <w:sz w:val="32"/>
          <w:szCs w:val="32"/>
        </w:rPr>
        <w:t>七、决算公开联系方式及信息反馈渠道</w:t>
      </w:r>
    </w:p>
    <w:p w14:paraId="3480D8C3">
      <w:pPr>
        <w:pStyle w:val="4"/>
        <w:spacing w:line="600" w:lineRule="exact"/>
        <w:ind w:firstLine="643" w:firstLineChars="200"/>
        <w:rPr>
          <w:rFonts w:ascii="方正仿宋_GBK" w:hAnsi="仿宋" w:eastAsia="方正仿宋_GBK"/>
          <w:b/>
          <w:sz w:val="32"/>
          <w:szCs w:val="32"/>
        </w:rPr>
      </w:pPr>
      <w:r>
        <w:rPr>
          <w:rFonts w:hint="eastAsia" w:ascii="方正仿宋_GBK" w:hAnsi="仿宋" w:eastAsia="方正仿宋_GBK"/>
          <w:b/>
          <w:sz w:val="32"/>
          <w:szCs w:val="32"/>
        </w:rPr>
        <w:t>本单位决算公开信息反馈和联系方式：023-</w:t>
      </w:r>
      <w:r>
        <w:rPr>
          <w:rFonts w:ascii="方正仿宋_GBK" w:hAnsi="仿宋" w:eastAsia="方正仿宋_GBK"/>
          <w:b/>
          <w:sz w:val="32"/>
          <w:szCs w:val="32"/>
        </w:rPr>
        <w:t>48790546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font>
  <w:font w:name="等线 Light">
    <w:altName w:val="微软雅黑"/>
    <w:panose1 w:val="00000000000000000000"/>
    <w:charset w:val="86"/>
    <w:family w:val="auto"/>
    <w:pitch w:val="default"/>
    <w:sig w:usb0="00000000" w:usb1="00000000"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ZmMzdmZjM2Y2U4ZjNkM2M2OWM1MjEyNjBmZDE0Y2YifQ=="/>
  </w:docVars>
  <w:rsids>
    <w:rsidRoot w:val="002D4689"/>
    <w:rsid w:val="00006D07"/>
    <w:rsid w:val="000704B7"/>
    <w:rsid w:val="0013115D"/>
    <w:rsid w:val="001D04C4"/>
    <w:rsid w:val="00216A78"/>
    <w:rsid w:val="002D4689"/>
    <w:rsid w:val="00373708"/>
    <w:rsid w:val="0046416F"/>
    <w:rsid w:val="004A01A2"/>
    <w:rsid w:val="004B239A"/>
    <w:rsid w:val="005567D3"/>
    <w:rsid w:val="00602D1D"/>
    <w:rsid w:val="006C31A3"/>
    <w:rsid w:val="006E50F3"/>
    <w:rsid w:val="006F138D"/>
    <w:rsid w:val="007A2B51"/>
    <w:rsid w:val="00865954"/>
    <w:rsid w:val="008C58B7"/>
    <w:rsid w:val="00972F6E"/>
    <w:rsid w:val="009E1A95"/>
    <w:rsid w:val="009E75D1"/>
    <w:rsid w:val="00AA3EAD"/>
    <w:rsid w:val="00B13792"/>
    <w:rsid w:val="00B605BE"/>
    <w:rsid w:val="00B94552"/>
    <w:rsid w:val="00C55283"/>
    <w:rsid w:val="00CE00AA"/>
    <w:rsid w:val="00DA1DC8"/>
    <w:rsid w:val="00DC76E4"/>
    <w:rsid w:val="00F329A9"/>
    <w:rsid w:val="13022699"/>
    <w:rsid w:val="6C076433"/>
    <w:rsid w:val="76865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bCs/>
    </w:rPr>
  </w:style>
  <w:style w:type="character" w:customStyle="1" w:styleId="9">
    <w:name w:val="页眉 字符"/>
    <w:basedOn w:val="7"/>
    <w:link w:val="3"/>
    <w:qFormat/>
    <w:uiPriority w:val="99"/>
    <w:rPr>
      <w:sz w:val="18"/>
      <w:szCs w:val="18"/>
    </w:rPr>
  </w:style>
  <w:style w:type="character" w:customStyle="1" w:styleId="10">
    <w:name w:val="页脚 字符"/>
    <w:basedOn w:val="7"/>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6117</Words>
  <Characters>6937</Characters>
  <Lines>52</Lines>
  <Paragraphs>14</Paragraphs>
  <TotalTime>115</TotalTime>
  <ScaleCrop>false</ScaleCrop>
  <LinksUpToDate>false</LinksUpToDate>
  <CharactersWithSpaces>6963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2022-08-27T01:09:00Z</dcterms:created>
  <dc:creator>Administrator</dc:creator>
  <cp:lastModifiedBy>桂贝</cp:lastModifiedBy>
  <dcterms:modified xsi:type="dcterms:W3CDTF">2024-11-12T08:12:48Z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2DD2D9158ECA4775BBAFD815D5A93721</vt:lpwstr>
  </property>
</Properties>
</file>