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keepNext w:val="0"/>
        <w:keepLines w:val="0"/>
        <w:pageBreakBefore w:val="0"/>
        <w:shd w:val="clear" w:color="auto" w:fill="FFFFFF"/>
        <w:kinsoku/>
        <w:wordWrap/>
        <w:overflowPunct/>
        <w:topLinePunct w:val="0"/>
        <w:autoSpaceDE/>
        <w:autoSpaceDN/>
        <w:bidi w:val="0"/>
        <w:adjustRightInd/>
        <w:snapToGrid w:val="0"/>
        <w:spacing w:line="600" w:lineRule="exact"/>
        <w:jc w:val="center"/>
        <w:textAlignment w:val="auto"/>
        <w:rPr>
          <w:rFonts w:ascii="方正小标宋_GBK" w:eastAsia="方正小标宋_GBK"/>
          <w:sz w:val="44"/>
          <w:szCs w:val="44"/>
        </w:rPr>
      </w:pPr>
      <w:r>
        <w:rPr>
          <w:rFonts w:hint="eastAsia" w:ascii="方正小标宋_GBK" w:eastAsia="方正小标宋_GBK"/>
          <w:sz w:val="44"/>
          <w:szCs w:val="44"/>
        </w:rPr>
        <w:t>重庆市綦江区特殊教育学校</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jc w:val="center"/>
        <w:textAlignment w:val="auto"/>
        <w:rPr>
          <w:rFonts w:ascii="方正小标宋_GBK" w:eastAsia="方正小标宋_GBK"/>
          <w:sz w:val="44"/>
          <w:szCs w:val="44"/>
        </w:rPr>
      </w:pPr>
      <w:r>
        <w:rPr>
          <w:rFonts w:hint="eastAsia" w:ascii="方正小标宋_GBK" w:eastAsia="方正小标宋_GBK"/>
          <w:sz w:val="44"/>
          <w:szCs w:val="44"/>
        </w:rPr>
        <w:t>2020年度部门决算情况说明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黑体_GBK" w:eastAsia="方正黑体_GBK"/>
          <w:sz w:val="32"/>
          <w:szCs w:val="32"/>
        </w:rPr>
      </w:pPr>
      <w:r>
        <w:rPr>
          <w:rStyle w:val="8"/>
          <w:rFonts w:hint="eastAsia" w:ascii="方正黑体_GBK" w:eastAsia="方正黑体_GBK"/>
          <w:sz w:val="32"/>
          <w:szCs w:val="32"/>
        </w:rPr>
        <w:t>一、部门基本情况</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hAnsiTheme="minorEastAsia"/>
          <w:sz w:val="32"/>
          <w:szCs w:val="32"/>
        </w:rPr>
      </w:pPr>
      <w:r>
        <w:rPr>
          <w:rFonts w:hint="eastAsia" w:ascii="方正仿宋_GBK" w:eastAsia="方正仿宋_GBK" w:cs="仿宋_GB2312" w:hAnsiTheme="minorEastAsia"/>
          <w:sz w:val="32"/>
          <w:szCs w:val="32"/>
        </w:rPr>
        <w:t>按照（綦编〔2012〕227号）文件，设立重庆市綦江区特殊教育学校。</w:t>
      </w:r>
      <w:r>
        <w:rPr>
          <w:rFonts w:hint="eastAsia" w:ascii="方正仿宋_GBK" w:eastAsia="方正仿宋_GBK" w:hAnsiTheme="minorEastAsia"/>
          <w:sz w:val="32"/>
          <w:szCs w:val="32"/>
        </w:rPr>
        <w:t>綦江区特殊教育学校位于古南街道后山路72号，是一所财政全额拨款事业单位，主要为残疾儿童提供特殊教育及康复的九年一贯制学校。我校现有在编教职工37人，专技33人，工勤3人、职员1人。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hint="eastAsia" w:ascii="方正楷体_GBK" w:hAnsi="方正楷体_GBK" w:eastAsia="方正楷体_GBK" w:cs="方正楷体_GBK"/>
          <w:b w:val="0"/>
          <w:bCs w:val="0"/>
          <w:sz w:val="32"/>
          <w:szCs w:val="32"/>
        </w:rPr>
      </w:pPr>
      <w:r>
        <w:rPr>
          <w:rStyle w:val="8"/>
          <w:rFonts w:hint="eastAsia" w:ascii="方正楷体_GBK" w:hAnsi="方正楷体_GBK" w:eastAsia="方正楷体_GBK" w:cs="方正楷体_GBK"/>
          <w:b w:val="0"/>
          <w:bCs w:val="0"/>
          <w:sz w:val="32"/>
          <w:szCs w:val="32"/>
        </w:rPr>
        <w:t>（一）职能职责</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1.贯彻执行党和国家的教育方针、政策和法律法规，依法治教；</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 xml:space="preserve"> 2.负责本校教育的统筹规划和布局结构调整；指导各学校随班就读学生中残疾学生教学。</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3.负责推进义务教育特殊教育工《重庆市綦江区机构编制委员会关于调整重庆市綦江区教育委员会主要职责内设机构和人员编制规定的通知》作，全面实施素质教育。</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4.负责对残疾儿童少年实施义务教育。</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Theme="minorEastAsia" w:hAnsiTheme="minorEastAsia"/>
          <w:sz w:val="30"/>
          <w:szCs w:val="30"/>
        </w:rPr>
      </w:pPr>
      <w:r>
        <w:rPr>
          <w:rFonts w:hint="eastAsia" w:ascii="方正仿宋_GBK" w:eastAsia="方正仿宋_GBK" w:cs="仿宋_GB2312" w:hAnsiTheme="minorEastAsia"/>
          <w:sz w:val="32"/>
          <w:szCs w:val="32"/>
        </w:rPr>
        <w:t>5.我校的业务范围：实施义务教育、康复训练。</w:t>
      </w:r>
      <w:r>
        <w:rPr>
          <w:rFonts w:hint="eastAsia" w:asciiTheme="minorEastAsia" w:hAnsiTheme="minorEastAsia"/>
          <w:sz w:val="30"/>
          <w:szCs w:val="30"/>
        </w:rPr>
        <w:t> </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rFonts w:ascii="方正黑体_GBK" w:eastAsia="方正黑体_GBK"/>
        </w:rPr>
      </w:pPr>
      <w:r>
        <w:rPr>
          <w:rStyle w:val="8"/>
          <w:rFonts w:hint="eastAsia" w:ascii="方正黑体_GBK" w:eastAsia="方正黑体_GBK"/>
          <w:sz w:val="32"/>
          <w:szCs w:val="32"/>
        </w:rPr>
        <w:t>二、部门决算情况说明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rFonts w:hint="eastAsia" w:ascii="方正楷体_GBK" w:hAnsi="方正楷体_GBK" w:eastAsia="方正楷体_GBK" w:cs="方正楷体_GBK"/>
          <w:b w:val="0"/>
          <w:sz w:val="32"/>
          <w:szCs w:val="32"/>
        </w:rPr>
      </w:pPr>
      <w:r>
        <w:rPr>
          <w:rStyle w:val="8"/>
          <w:rFonts w:hint="eastAsia" w:ascii="方正楷体_GBK" w:hAnsi="方正楷体_GBK" w:eastAsia="方正楷体_GBK" w:cs="方正楷体_GBK"/>
          <w:b w:val="0"/>
          <w:sz w:val="32"/>
          <w:szCs w:val="32"/>
        </w:rPr>
        <w:t>（一）收入支出决算总体情况说明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b w:val="0"/>
          <w:bCs w:val="0"/>
          <w:sz w:val="32"/>
          <w:szCs w:val="32"/>
        </w:rPr>
      </w:pPr>
      <w:r>
        <w:rPr>
          <w:rStyle w:val="8"/>
          <w:rFonts w:hint="eastAsia"/>
          <w:sz w:val="30"/>
          <w:szCs w:val="30"/>
        </w:rPr>
        <w:t>1</w:t>
      </w:r>
      <w:r>
        <w:rPr>
          <w:rFonts w:hint="eastAsia" w:ascii="方正仿宋_GBK" w:eastAsia="方正仿宋_GBK" w:cs="仿宋_GB2312" w:hAnsiTheme="minorEastAsia"/>
          <w:b/>
          <w:bCs/>
          <w:sz w:val="32"/>
          <w:szCs w:val="32"/>
        </w:rPr>
        <w:t>.</w:t>
      </w:r>
      <w:r>
        <w:rPr>
          <w:rFonts w:hint="eastAsia" w:ascii="方正楷体_GBK" w:hAnsi="方正楷体_GBK" w:eastAsia="方正楷体_GBK" w:cs="方正楷体_GBK"/>
          <w:b/>
          <w:bCs/>
          <w:sz w:val="32"/>
          <w:szCs w:val="32"/>
        </w:rPr>
        <w:t>总体情况</w:t>
      </w:r>
      <w:r>
        <w:rPr>
          <w:rFonts w:hint="eastAsia" w:ascii="方正仿宋_GBK" w:eastAsia="方正仿宋_GBK" w:cs="仿宋_GB2312" w:hAnsiTheme="minorEastAsia"/>
          <w:sz w:val="32"/>
          <w:szCs w:val="32"/>
        </w:rPr>
        <w:t>。2020年度收入总计1,013.09万元，支出总计1,013.09万元。收支较上年决算数增加55.74万元、 增长 5.8%，主要原因是人员工资调标导致人员经费和社保等经费同时有所增加。</w:t>
      </w:r>
      <w:r>
        <w:rPr>
          <w:rFonts w:hint="eastAsia" w:ascii="方正仿宋_GBK" w:eastAsia="方正仿宋_GBK" w:cs="仿宋_GB2312" w:hAnsiTheme="minorEastAsia"/>
          <w:b/>
          <w:bCs/>
          <w:sz w:val="32"/>
          <w:szCs w:val="32"/>
        </w:rPr>
        <w:t>2.收入情况。</w:t>
      </w:r>
      <w:r>
        <w:rPr>
          <w:rFonts w:hint="eastAsia" w:ascii="方正仿宋_GBK" w:eastAsia="方正仿宋_GBK" w:cs="仿宋_GB2312" w:hAnsiTheme="minorEastAsia"/>
          <w:sz w:val="32"/>
          <w:szCs w:val="32"/>
        </w:rPr>
        <w:t>2020年度收入合计857.82万元，较上年决算数增加27.73万元，增长3.3%，主要原因 是人员工资调标导致人员经费和社保等经费同时有所增加</w:t>
      </w:r>
      <w:r>
        <w:rPr>
          <w:rFonts w:hint="eastAsia" w:ascii="方正仿宋_GBK" w:eastAsia="方正仿宋_GBK" w:cs="仿宋_GB2312" w:hAnsiTheme="minorEastAsia"/>
          <w:sz w:val="32"/>
          <w:szCs w:val="32"/>
          <w:lang w:eastAsia="zh-CN"/>
        </w:rPr>
        <w:t>。</w:t>
      </w:r>
      <w:r>
        <w:rPr>
          <w:rFonts w:hint="eastAsia" w:ascii="方正仿宋_GBK" w:eastAsia="方正仿宋_GBK" w:cs="仿宋_GB2312" w:hAnsiTheme="minorEastAsia"/>
          <w:sz w:val="32"/>
          <w:szCs w:val="32"/>
        </w:rPr>
        <w:t>其中：财政拨款收入857.82万元，占100%；事业收入0.00万元，占0%；经营收入0.00万元，占0%；其他收入0.00万元，占0%。此外，使用非财政拨款结余0.00万元，年初结转和结余155.27万元。</w:t>
      </w:r>
      <w:r>
        <w:rPr>
          <w:rFonts w:hint="eastAsia" w:ascii="方正仿宋_GBK" w:eastAsia="方正仿宋_GBK" w:cs="仿宋_GB2312" w:hAnsiTheme="minorEastAsia"/>
          <w:b/>
          <w:bCs/>
          <w:sz w:val="32"/>
          <w:szCs w:val="32"/>
        </w:rPr>
        <w:t>3.支出情况。</w:t>
      </w:r>
      <w:r>
        <w:rPr>
          <w:rFonts w:hint="eastAsia" w:ascii="方正仿宋_GBK" w:eastAsia="方正仿宋_GBK" w:cs="仿宋_GB2312" w:hAnsiTheme="minorEastAsia"/>
          <w:sz w:val="32"/>
          <w:szCs w:val="32"/>
        </w:rPr>
        <w:t>2020年度支出合计954.34万元，较上年决算数增加96.32万元，增长11.2%，主要原因是人员工资调标导致人员经费和社保等经费同时有所增加。其中：基本支出 891.54万元，占93.4%；项目支出62.80万元，占6.6%；经营支出0.00万元，占0%。此外，结余分配0.00万元。</w:t>
      </w:r>
      <w:r>
        <w:rPr>
          <w:rFonts w:hint="eastAsia" w:ascii="方正仿宋_GBK" w:eastAsia="方正仿宋_GBK" w:cs="仿宋_GB2312" w:hAnsiTheme="minorEastAsia"/>
          <w:b/>
          <w:bCs/>
          <w:sz w:val="32"/>
          <w:szCs w:val="32"/>
        </w:rPr>
        <w:t>4.结转结余情况。</w:t>
      </w:r>
      <w:r>
        <w:rPr>
          <w:rFonts w:hint="eastAsia" w:ascii="方正仿宋_GBK" w:eastAsia="方正仿宋_GBK" w:cs="仿宋_GB2312" w:hAnsiTheme="minorEastAsia"/>
          <w:sz w:val="32"/>
          <w:szCs w:val="32"/>
        </w:rPr>
        <w:t>2020年度年末结转和结余58.75万元，较上年决算数减少40.58万元，下降40.9%。</w:t>
      </w:r>
      <w:r>
        <w:rPr>
          <w:rStyle w:val="8"/>
          <w:rFonts w:hint="eastAsia" w:ascii="方正楷体_GBK" w:hAnsi="方正楷体_GBK" w:eastAsia="方正楷体_GBK" w:cs="方正楷体_GBK"/>
          <w:b w:val="0"/>
          <w:bCs w:val="0"/>
          <w:sz w:val="32"/>
          <w:szCs w:val="32"/>
        </w:rPr>
        <w:t>（二）财政拨款收入支出决算总体情况说明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  2020年度财政拨款收、支总计1,013.09万元。与2019年相比，财政拨款收、支总计各增加55.74万 元，增长5.8%。主要原因是人员工资调标导致人员经费和社保等经费同时有所增加。</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（三）一般公共预算财政拨款支出决算情况说明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b/>
          <w:bCs/>
          <w:sz w:val="32"/>
          <w:szCs w:val="32"/>
        </w:rPr>
        <w:t>1.</w:t>
      </w:r>
      <w:r>
        <w:rPr>
          <w:rFonts w:hint="eastAsia" w:ascii="方正楷体_GBK" w:hAnsi="方正楷体_GBK" w:eastAsia="方正楷体_GBK" w:cs="方正楷体_GBK"/>
          <w:b w:val="0"/>
          <w:bCs w:val="0"/>
          <w:sz w:val="32"/>
          <w:szCs w:val="32"/>
        </w:rPr>
        <w:t>收入情况</w:t>
      </w:r>
      <w:r>
        <w:rPr>
          <w:rFonts w:hint="eastAsia" w:ascii="方正仿宋_GBK" w:eastAsia="方正仿宋_GBK" w:cs="仿宋_GB2312" w:hAnsiTheme="minorEastAsia"/>
          <w:b/>
          <w:bCs/>
          <w:sz w:val="32"/>
          <w:szCs w:val="32"/>
        </w:rPr>
        <w:t>。</w:t>
      </w:r>
      <w:r>
        <w:rPr>
          <w:rFonts w:hint="eastAsia" w:ascii="方正仿宋_GBK" w:eastAsia="方正仿宋_GBK" w:cs="仿宋_GB2312" w:hAnsiTheme="minorEastAsia"/>
          <w:sz w:val="32"/>
          <w:szCs w:val="32"/>
        </w:rPr>
        <w:t>2020年度一般公共预算财政拨款收入857.82万元，较上年决算数增加27.73万元，增长3.3%。主要原因是人员工资调标导致人员经费和社保等经费同时有所增加。较年初预算数增加88.91万元，增长11.6%。主要原因是人员工资调标导致人员经费和社保等经费同时有所增加。此外，年初财政拨款结转和结余155.27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b/>
          <w:bCs/>
          <w:sz w:val="32"/>
          <w:szCs w:val="32"/>
        </w:rPr>
        <w:t>2.</w:t>
      </w:r>
      <w:r>
        <w:rPr>
          <w:rFonts w:hint="eastAsia" w:ascii="方正楷体_GBK" w:hAnsi="方正楷体_GBK" w:eastAsia="方正楷体_GBK" w:cs="方正楷体_GBK"/>
          <w:b/>
          <w:bCs/>
          <w:sz w:val="32"/>
          <w:szCs w:val="32"/>
        </w:rPr>
        <w:t>支出情况</w:t>
      </w:r>
      <w:r>
        <w:rPr>
          <w:rFonts w:hint="eastAsia" w:ascii="方正仿宋_GBK" w:eastAsia="方正仿宋_GBK" w:cs="仿宋_GB2312" w:hAnsiTheme="minorEastAsia"/>
          <w:b/>
          <w:bCs/>
          <w:sz w:val="32"/>
          <w:szCs w:val="32"/>
        </w:rPr>
        <w:t>。</w:t>
      </w:r>
      <w:r>
        <w:rPr>
          <w:rFonts w:hint="eastAsia" w:ascii="方正仿宋_GBK" w:eastAsia="方正仿宋_GBK" w:cs="仿宋_GB2312" w:hAnsiTheme="minorEastAsia"/>
          <w:sz w:val="32"/>
          <w:szCs w:val="32"/>
        </w:rPr>
        <w:t>2020年度一般公共预算财政拨款支出954.34万元，较上年决算数增加96.32万元，增长11.2%。主要原因是人员工资调标导致人员经费和社保等经费同时有所增加。较年初预算数增加86.09万 元，增长9.9%。主要原因是人员工资调标导致人员经费和社保等经费同时有所增加。</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3.结转结余情况</w:t>
      </w:r>
      <w:r>
        <w:rPr>
          <w:rFonts w:hint="eastAsia" w:ascii="方正仿宋_GBK" w:eastAsia="方正仿宋_GBK" w:cs="仿宋_GB2312" w:hAnsiTheme="minorEastAsia"/>
          <w:b/>
          <w:bCs/>
          <w:sz w:val="32"/>
          <w:szCs w:val="32"/>
        </w:rPr>
        <w:t>。</w:t>
      </w:r>
      <w:r>
        <w:rPr>
          <w:rFonts w:hint="eastAsia" w:ascii="方正仿宋_GBK" w:eastAsia="方正仿宋_GBK" w:cs="仿宋_GB2312" w:hAnsiTheme="minorEastAsia"/>
          <w:sz w:val="32"/>
          <w:szCs w:val="32"/>
        </w:rPr>
        <w:t>2020年度年末一般公共预算财政拨款结转和结余58.75万元，较上年决算数减少40.58万元，下降40.9%。</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4.比较情况</w:t>
      </w:r>
      <w:r>
        <w:rPr>
          <w:rFonts w:hint="eastAsia" w:ascii="方正楷体_GBK" w:hAnsi="方正楷体_GBK" w:eastAsia="方正楷体_GBK" w:cs="方正楷体_GBK"/>
          <w:sz w:val="32"/>
          <w:szCs w:val="32"/>
        </w:rPr>
        <w:t>。</w:t>
      </w:r>
      <w:r>
        <w:rPr>
          <w:rFonts w:hint="eastAsia" w:ascii="方正仿宋_GBK" w:eastAsia="方正仿宋_GBK" w:cs="仿宋_GB2312" w:hAnsiTheme="minorEastAsia"/>
          <w:sz w:val="32"/>
          <w:szCs w:val="32"/>
        </w:rPr>
        <w:t>本部门2020年度一般公共预算财政拨款支出主要用于以下几个方面：</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（1）一般公共服务支出0.00万元。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（2）外交支出0.00万元。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（3）国防支出0.00万元。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（4）公共安全支出0.00万元。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（5）教育支出753.08万元，占78.9%，较年初预算数增加70.23万 元，增长10.3%，主要原因是人员工资调标导致人员经费和社保等经费同时有所增加。</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（6）科学技术支出0.00万元。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（7）文化旅游体育与传媒支出0.00万元。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（8）社会保障与就业支出117.40万元，占12.3%，较年初预算数增加22.47万 元，增长23.7%，主要原因是人员工资调标导致人员经费和社保等经费同时有所增加。</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（9）卫生健康支出42.49万元，占4.5%，较年初预算数增加0.61万 元，增长1.5%，主要原因是人员工资调标导致人员经费和社保等经费同时有所增加。</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（10）节能环保支出0.00万元。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（11）城乡社区支出0.00万元。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（12）农林水支出0.00万元。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（13）交通运输支出0.00万元。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（14）资源勘探信息等支出0.00万元。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（15）商业服务业等支出0.00万元。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（16）金融支出0.00万元。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（17）援助其他地区支出0.00万元。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（18）自然资源海洋气象等支出0.00万元。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（19）住房保障支出41.37万元，占4.3%，较年初预算数减少7.23万 元，下降14.9%，主要原因是今年有教师退休导致预算较上年减少。</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（20）粮油物资储备支出0.00万元。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（21）国有资本经营预算支出0.00万元。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（22）灾害防治及应急管理支出0.00万元。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（23）其他支出0.00万元。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（24）债务还本支出0.00万元。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（25）债务付息支出0.00万元。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（26）抗疫特别国债安排的支出0.00万元。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（四）一般公共预算财政拨款基本支出决算情况说明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960" w:firstLineChars="30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2020年度一般公共财政拨款基本支出891.54万元。其中：人员经费781.99万元，较上年决算数增加61.47万 元，增长8.5%，主要原因是人员工资调标导致人员经费和社保等经费同时有所增加。人员经费用途主要包括基本工资、津贴补贴、绩效工资等。公用经费109.55万元，较上年决算数增加35.26万元，增长47.5%，主要原因是2020年维修经费及疫情防控保障经费增多。公用经费用途主要包括办公费、水电费、差旅费、培训费、会议费、维修费、工会经费、劳务</w:t>
      </w:r>
      <w:bookmarkStart w:id="0" w:name="_GoBack"/>
      <w:bookmarkEnd w:id="0"/>
      <w:r>
        <w:rPr>
          <w:rFonts w:hint="eastAsia" w:ascii="方正仿宋_GBK" w:eastAsia="方正仿宋_GBK" w:cs="仿宋_GB2312" w:hAnsiTheme="minorEastAsia"/>
          <w:sz w:val="32"/>
          <w:szCs w:val="32"/>
        </w:rPr>
        <w:t>费等。</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（五）政府性基金预算收支决算情况说明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本部门2020年度无政府性基金预算财政拨款收支。</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bCs/>
          <w:sz w:val="32"/>
          <w:szCs w:val="32"/>
        </w:rPr>
        <w:t>（六）国有资本经营预算财政拨款</w:t>
      </w:r>
      <w:r>
        <w:rPr>
          <w:rFonts w:hint="eastAsia" w:ascii="方正仿宋_GBK" w:eastAsia="方正仿宋_GBK" w:cs="仿宋_GB2312" w:hAnsiTheme="minorEastAsia"/>
          <w:bCs/>
          <w:sz w:val="32"/>
          <w:szCs w:val="32"/>
          <w:lang w:eastAsia="zh-CN"/>
        </w:rPr>
        <w:t>支出</w:t>
      </w:r>
      <w:r>
        <w:rPr>
          <w:rFonts w:hint="eastAsia" w:ascii="方正仿宋_GBK" w:eastAsia="方正仿宋_GBK" w:cs="仿宋_GB2312" w:hAnsiTheme="minorEastAsia"/>
          <w:bCs/>
          <w:sz w:val="32"/>
          <w:szCs w:val="32"/>
        </w:rPr>
        <w:t>决算情况说明。</w:t>
      </w:r>
      <w:r>
        <w:rPr>
          <w:rFonts w:hint="eastAsia" w:ascii="方正仿宋_GBK" w:eastAsia="方正仿宋_GBK" w:cs="仿宋_GB2312" w:hAnsiTheme="minorEastAsia"/>
          <w:sz w:val="32"/>
          <w:szCs w:val="32"/>
        </w:rPr>
        <w:br w:type="textWrapping"/>
      </w:r>
      <w:r>
        <w:rPr>
          <w:rFonts w:hint="eastAsia" w:ascii="方正仿宋_GBK" w:eastAsia="方正仿宋_GBK" w:cs="仿宋_GB2312" w:hAnsiTheme="minorEastAsia"/>
          <w:sz w:val="32"/>
          <w:szCs w:val="32"/>
        </w:rPr>
        <w:t>本部门2020年度无国有资本经营预算财政拨款支出。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黑体_GBK" w:eastAsia="方正黑体_GBK"/>
          <w:sz w:val="32"/>
          <w:szCs w:val="32"/>
        </w:rPr>
      </w:pPr>
      <w:r>
        <w:rPr>
          <w:rStyle w:val="8"/>
          <w:rFonts w:hint="eastAsia" w:ascii="方正黑体_GBK" w:eastAsia="方正黑体_GBK"/>
          <w:sz w:val="32"/>
          <w:szCs w:val="32"/>
        </w:rPr>
        <w:t>三、“三公”经费情况说明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（一）“三公”经费支出总体情况说明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2020年度“三公”经费支出共计11.03万元，较年初预算数减少0.57万元，主要原因是2020年本单位厉行节俭、严格做好疫情防控没有公务接待费用。（二）“三公”经费分项支出情况</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2020年度本部门无因公出国（境）费用。</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2020年度本部门无公务车购置费。</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2020年度本部门无公务车运行维护费。</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r>
        <w:rPr>
          <w:rFonts w:hint="eastAsia" w:ascii="方正仿宋_GBK" w:eastAsia="方正仿宋_GBK" w:cs="仿宋_GB2312" w:hAnsiTheme="minorEastAsia"/>
          <w:sz w:val="32"/>
          <w:szCs w:val="32"/>
        </w:rPr>
        <w:t>2020年度本部门厉行节俭、严格落实疫情防控要求没有公务接</w:t>
      </w:r>
      <w:r>
        <w:rPr>
          <w:rFonts w:hint="eastAsia"/>
          <w:sz w:val="30"/>
          <w:szCs w:val="30"/>
        </w:rPr>
        <w:t>待费用。</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b/>
          <w:sz w:val="32"/>
          <w:szCs w:val="32"/>
        </w:rPr>
      </w:pPr>
      <w:r>
        <w:rPr>
          <w:rStyle w:val="8"/>
          <w:rFonts w:hint="eastAsia" w:ascii="方正楷体_GBK" w:hAnsi="方正楷体_GBK" w:eastAsia="方正楷体_GBK" w:cs="方正楷体_GBK"/>
          <w:b w:val="0"/>
          <w:sz w:val="32"/>
          <w:szCs w:val="32"/>
        </w:rPr>
        <w:t>（三）“三公”经</w:t>
      </w:r>
      <w:r>
        <w:rPr>
          <w:rFonts w:hint="eastAsia" w:ascii="方正楷体_GBK" w:hAnsi="方正楷体_GBK" w:eastAsia="方正楷体_GBK" w:cs="方正楷体_GBK"/>
          <w:b/>
          <w:bCs/>
          <w:sz w:val="32"/>
          <w:szCs w:val="32"/>
        </w:rPr>
        <w:t>费实物量情况</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本部门因公出国（境）共计0个团组，0人；公务用车购置0辆，公务车保有量为0辆；国内公务接待0批次0人，其中：国内外事接待0批次，0人；国（境）外公务接待0批次，0人。2020年本部门人均接待费0.00元，车均购置费0.00万元，车均维护费0.00万元。</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黑体_GBK" w:eastAsia="方正黑体_GBK" w:cs="仿宋_GB2312" w:hAnsiTheme="minorEastAsia"/>
          <w:sz w:val="32"/>
          <w:szCs w:val="32"/>
        </w:rPr>
      </w:pPr>
      <w:r>
        <w:rPr>
          <w:rFonts w:hint="eastAsia" w:ascii="方正黑体_GBK" w:eastAsia="方正黑体_GBK" w:cs="仿宋_GB2312" w:hAnsiTheme="minorEastAsia"/>
          <w:b/>
          <w:bCs/>
          <w:sz w:val="32"/>
          <w:szCs w:val="32"/>
        </w:rPr>
        <w:t>四、其他需要说明的事项</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（一）机关运行经费情况说明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仿宋_GBK" w:eastAsia="方正仿宋_GBK" w:cs="仿宋_GB2312" w:hAnsiTheme="minorEastAsia"/>
          <w:sz w:val="32"/>
          <w:szCs w:val="32"/>
        </w:rPr>
      </w:pPr>
      <w:r>
        <w:rPr>
          <w:rFonts w:hint="eastAsia" w:ascii="方正仿宋_GBK" w:eastAsia="方正仿宋_GBK" w:cs="仿宋_GB2312" w:hAnsiTheme="minorEastAsia"/>
          <w:sz w:val="32"/>
          <w:szCs w:val="32"/>
        </w:rPr>
        <w:t>按照部门决算列报口径，我单位不在机关运行经费统计范围之内。</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（二）国有资产占用情况说明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截至2020年12月31日，本部门共有车辆0辆，其中，副部（省）级及以上领导用车0辆、主要领导干部用车0辆、机要通信用车0辆、应急保障用车0辆、执法执勤用车0辆，特种专业技术用车0辆，离退休干部用车0辆，其他用车0辆。单价50万元（含）以上通用设备0台（套），单价100万元（含）以上专用设备0台（套）。</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（三）政府采购支出情况说明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2020年度本部门政府采购支出总额6.35万元，其中：政府采购货物支出6.35万元、政府采购工程支出0.00万元、政府采购服务支出0.00万元。授予中小企业合同金额6.35万元，占政府采购支出总额的100%，其中：授予小微企业合同金额 6.35万元，占政府采购支出总额的100%。主要用于采购多功能会议室桌椅。</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黑体_GBK" w:eastAsia="方正黑体_GBK" w:cs="仿宋_GB2312" w:hAnsiTheme="minorEastAsia"/>
          <w:sz w:val="32"/>
          <w:szCs w:val="32"/>
        </w:rPr>
      </w:pPr>
      <w:r>
        <w:rPr>
          <w:rFonts w:hint="eastAsia" w:ascii="方正黑体_GBK" w:eastAsia="方正黑体_GBK" w:cs="仿宋_GB2312" w:hAnsiTheme="minorEastAsia"/>
          <w:b/>
          <w:bCs/>
          <w:sz w:val="32"/>
          <w:szCs w:val="32"/>
        </w:rPr>
        <w:t>五、预算绩效管理情况说明</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（一）预算绩效管理工作开展情况</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根据预算绩效管理要求，本部门对本单位5个项目开展了绩效自评，其中，以填报目标自评表形式开展自评5项，涉及资金62.8万元，主要用于校园维修、设备添置、学生资助等方面，改善了师生教学环境，保障了贫困学生不因贫失学。</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bCs/>
          <w:sz w:val="32"/>
          <w:szCs w:val="32"/>
        </w:rPr>
        <w:t>（二）绩效自评结果</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ind w:firstLine="630"/>
        <w:textAlignment w:val="auto"/>
        <w:rPr>
          <w:rFonts w:ascii="方正仿宋_GBK" w:eastAsia="方正仿宋_GBK" w:cs="仿宋_GB2312" w:hAnsiTheme="minorEastAsia"/>
          <w:b/>
          <w:bCs/>
          <w:sz w:val="32"/>
          <w:szCs w:val="32"/>
        </w:rPr>
      </w:pPr>
      <w:r>
        <w:rPr>
          <w:rFonts w:hint="eastAsia" w:ascii="方正仿宋_GBK" w:eastAsia="方正仿宋_GBK" w:cs="仿宋_GB2312" w:hAnsiTheme="minorEastAsia"/>
          <w:b/>
          <w:bCs/>
          <w:sz w:val="32"/>
          <w:szCs w:val="32"/>
        </w:rPr>
        <w:t>1.绩效自评表</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r>
        <w:drawing>
          <wp:anchor distT="0" distB="0" distL="114300" distR="114300" simplePos="0" relativeHeight="251659264" behindDoc="0" locked="0" layoutInCell="1" allowOverlap="1">
            <wp:simplePos x="0" y="0"/>
            <wp:positionH relativeFrom="column">
              <wp:posOffset>16510</wp:posOffset>
            </wp:positionH>
            <wp:positionV relativeFrom="paragraph">
              <wp:posOffset>-2753360</wp:posOffset>
            </wp:positionV>
            <wp:extent cx="5273040" cy="3056890"/>
            <wp:effectExtent l="19050" t="0" r="3629" b="0"/>
            <wp:wrapNone/>
            <wp:docPr id="3" name="图片 2" descr="D:\Documents\Tencent Files\305559111\FileRecv\MobileFile\Image\ZR4IH{EUIPHMLV2N}8Z01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D:\Documents\Tencent Files\305559111\FileRecv\MobileFile\Image\ZR4IH{EUIPHMLV2N}8Z012C.png"/>
                    <pic:cNvPicPr>
                      <a:picLocks noChangeAspect="1" noChangeArrowheads="1"/>
                    </pic:cNvPicPr>
                  </pic:nvPicPr>
                  <pic:blipFill>
                    <a:blip r:embed="rId4" cstate="print"/>
                    <a:srcRect/>
                    <a:stretch>
                      <a:fillRect/>
                    </a:stretch>
                  </pic:blipFill>
                  <pic:spPr>
                    <a:xfrm>
                      <a:off x="0" y="0"/>
                      <a:ext cx="5273221" cy="3056709"/>
                    </a:xfrm>
                    <a:prstGeom prst="rect">
                      <a:avLst/>
                    </a:prstGeom>
                    <a:noFill/>
                    <a:ln w="9525">
                      <a:noFill/>
                      <a:miter lim="800000"/>
                      <a:headEnd/>
                      <a:tailEnd/>
                    </a:ln>
                  </pic:spPr>
                </pic:pic>
              </a:graphicData>
            </a:graphic>
          </wp:anchor>
        </w:drawing>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r>
        <w:rPr>
          <w:rFonts w:hint="eastAsia"/>
          <w:b/>
          <w:bCs/>
          <w:sz w:val="30"/>
          <w:szCs w:val="30"/>
        </w:rPr>
        <w:drawing>
          <wp:anchor distT="0" distB="0" distL="114300" distR="114300" simplePos="0" relativeHeight="251663360" behindDoc="0" locked="0" layoutInCell="1" allowOverlap="1">
            <wp:simplePos x="0" y="0"/>
            <wp:positionH relativeFrom="column">
              <wp:posOffset>-53340</wp:posOffset>
            </wp:positionH>
            <wp:positionV relativeFrom="paragraph">
              <wp:posOffset>528320</wp:posOffset>
            </wp:positionV>
            <wp:extent cx="5266055" cy="3840480"/>
            <wp:effectExtent l="19050" t="0" r="0" b="0"/>
            <wp:wrapNone/>
            <wp:docPr id="5" name="图片 4" descr="D:\Documents\Tencent Files\305559111\FileRecv\MobileFile\Image\[M2_JD}XD991EEXAXF%_Z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D:\Documents\Tencent Files\305559111\FileRecv\MobileFile\Image\[M2_JD}XD991EEXAXF%_Z44.png"/>
                    <pic:cNvPicPr>
                      <a:picLocks noChangeAspect="1" noChangeArrowheads="1"/>
                    </pic:cNvPicPr>
                  </pic:nvPicPr>
                  <pic:blipFill>
                    <a:blip r:embed="rId5" cstate="print"/>
                    <a:srcRect/>
                    <a:stretch>
                      <a:fillRect/>
                    </a:stretch>
                  </pic:blipFill>
                  <pic:spPr>
                    <a:xfrm>
                      <a:off x="0" y="0"/>
                      <a:ext cx="5266055" cy="3840480"/>
                    </a:xfrm>
                    <a:prstGeom prst="rect">
                      <a:avLst/>
                    </a:prstGeom>
                    <a:noFill/>
                    <a:ln w="9525">
                      <a:noFill/>
                      <a:miter lim="800000"/>
                      <a:headEnd/>
                      <a:tailEnd/>
                    </a:ln>
                  </pic:spPr>
                </pic:pic>
              </a:graphicData>
            </a:graphic>
          </wp:anchor>
        </w:drawing>
      </w:r>
      <w:r>
        <w:rPr>
          <w:rStyle w:val="8"/>
          <w:rFonts w:hint="eastAsia"/>
          <w:sz w:val="30"/>
          <w:szCs w:val="30"/>
        </w:rPr>
        <w:t>2.绩效自评报告或案例</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30"/>
          <w:szCs w:val="3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r>
        <w:drawing>
          <wp:anchor distT="0" distB="0" distL="114300" distR="114300" simplePos="0" relativeHeight="251661312" behindDoc="1" locked="0" layoutInCell="1" allowOverlap="1">
            <wp:simplePos x="0" y="0"/>
            <wp:positionH relativeFrom="column">
              <wp:posOffset>16510</wp:posOffset>
            </wp:positionH>
            <wp:positionV relativeFrom="paragraph">
              <wp:posOffset>-3478530</wp:posOffset>
            </wp:positionV>
            <wp:extent cx="5271135" cy="3779520"/>
            <wp:effectExtent l="19050" t="0" r="5534" b="0"/>
            <wp:wrapNone/>
            <wp:docPr id="8" name="图片 5" descr="D:\Documents\Tencent Files\305559111\FileRecv\MobileFile\Image\T}L08YRP@ZK{T07S((_V%J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D:\Documents\Tencent Files\305559111\FileRecv\MobileFile\Image\T}L08YRP@ZK{T07S((_V%JH.png"/>
                    <pic:cNvPicPr>
                      <a:picLocks noChangeAspect="1" noChangeArrowheads="1"/>
                    </pic:cNvPicPr>
                  </pic:nvPicPr>
                  <pic:blipFill>
                    <a:blip r:embed="rId6" cstate="print"/>
                    <a:srcRect/>
                    <a:stretch>
                      <a:fillRect/>
                    </a:stretch>
                  </pic:blipFill>
                  <pic:spPr>
                    <a:xfrm>
                      <a:off x="0" y="0"/>
                      <a:ext cx="5271316" cy="3779520"/>
                    </a:xfrm>
                    <a:prstGeom prst="rect">
                      <a:avLst/>
                    </a:prstGeom>
                    <a:noFill/>
                    <a:ln w="9525">
                      <a:noFill/>
                      <a:miter lim="800000"/>
                      <a:headEnd/>
                      <a:tailEnd/>
                    </a:ln>
                  </pic:spPr>
                </pic:pic>
              </a:graphicData>
            </a:graphic>
          </wp:anchor>
        </w:drawing>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r>
        <w:rPr>
          <w:rFonts w:hint="eastAsia"/>
          <w:b/>
          <w:bCs/>
          <w:sz w:val="40"/>
          <w:szCs w:val="40"/>
        </w:rPr>
        <w:drawing>
          <wp:anchor distT="0" distB="0" distL="114300" distR="114300" simplePos="0" relativeHeight="251660288" behindDoc="0" locked="0" layoutInCell="1" allowOverlap="1">
            <wp:simplePos x="0" y="0"/>
            <wp:positionH relativeFrom="column">
              <wp:posOffset>-26670</wp:posOffset>
            </wp:positionH>
            <wp:positionV relativeFrom="paragraph">
              <wp:posOffset>86995</wp:posOffset>
            </wp:positionV>
            <wp:extent cx="5267325" cy="3936365"/>
            <wp:effectExtent l="19050" t="0" r="0" b="0"/>
            <wp:wrapNone/>
            <wp:docPr id="4" name="图片 3" descr="D:\Documents\Tencent Files\305559111\FileRecv\MobileFile\Image\E]OC%@IM((~SL3[T[J_2H{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D:\Documents\Tencent Files\305559111\FileRecv\MobileFile\Image\E]OC%@IM((~SL3[T[J_2H{6.png"/>
                    <pic:cNvPicPr>
                      <a:picLocks noChangeAspect="1" noChangeArrowheads="1"/>
                    </pic:cNvPicPr>
                  </pic:nvPicPr>
                  <pic:blipFill>
                    <a:blip r:embed="rId7" cstate="print"/>
                    <a:srcRect/>
                    <a:stretch>
                      <a:fillRect/>
                    </a:stretch>
                  </pic:blipFill>
                  <pic:spPr>
                    <a:xfrm>
                      <a:off x="0" y="0"/>
                      <a:ext cx="5267053" cy="3936274"/>
                    </a:xfrm>
                    <a:prstGeom prst="rect">
                      <a:avLst/>
                    </a:prstGeom>
                    <a:noFill/>
                    <a:ln w="9525">
                      <a:noFill/>
                      <a:miter lim="800000"/>
                      <a:headEnd/>
                      <a:tailEnd/>
                    </a:ln>
                  </pic:spPr>
                </pic:pic>
              </a:graphicData>
            </a:graphic>
          </wp:anchor>
        </w:drawing>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r>
        <w:rPr>
          <w:rFonts w:hint="eastAsia"/>
          <w:b/>
          <w:bCs/>
          <w:sz w:val="40"/>
          <w:szCs w:val="40"/>
        </w:rPr>
        <w:drawing>
          <wp:anchor distT="0" distB="0" distL="114300" distR="114300" simplePos="0" relativeHeight="251662336" behindDoc="0" locked="0" layoutInCell="1" allowOverlap="1">
            <wp:simplePos x="0" y="0"/>
            <wp:positionH relativeFrom="column">
              <wp:posOffset>-26670</wp:posOffset>
            </wp:positionH>
            <wp:positionV relativeFrom="paragraph">
              <wp:posOffset>546735</wp:posOffset>
            </wp:positionV>
            <wp:extent cx="5266690" cy="4319270"/>
            <wp:effectExtent l="19050" t="0" r="0" b="0"/>
            <wp:wrapNone/>
            <wp:docPr id="7" name="图片 6" descr="D:\Documents\Tencent Files\305559111\FileRecv\MobileFile\Image\46176O}W[~$O64H$[(K6A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D:\Documents\Tencent Files\305559111\FileRecv\MobileFile\Image\46176O}W[~$O64H$[(K6AZE.png"/>
                    <pic:cNvPicPr>
                      <a:picLocks noChangeAspect="1" noChangeArrowheads="1"/>
                    </pic:cNvPicPr>
                  </pic:nvPicPr>
                  <pic:blipFill>
                    <a:blip r:embed="rId8" cstate="print"/>
                    <a:srcRect/>
                    <a:stretch>
                      <a:fillRect/>
                    </a:stretch>
                  </pic:blipFill>
                  <pic:spPr>
                    <a:xfrm>
                      <a:off x="0" y="0"/>
                      <a:ext cx="5266690" cy="4319270"/>
                    </a:xfrm>
                    <a:prstGeom prst="rect">
                      <a:avLst/>
                    </a:prstGeom>
                    <a:noFill/>
                    <a:ln w="9525">
                      <a:noFill/>
                      <a:miter lim="800000"/>
                      <a:headEnd/>
                      <a:tailEnd/>
                    </a:ln>
                  </pic:spPr>
                </pic:pic>
              </a:graphicData>
            </a:graphic>
          </wp:anchor>
        </w:drawing>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Style w:val="8"/>
          <w:sz w:val="40"/>
          <w:szCs w:val="40"/>
        </w:rPr>
      </w:pP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hint="eastAsia" w:ascii="方正黑体_GBK" w:hAnsi="方正黑体_GBK" w:eastAsia="方正黑体_GBK" w:cs="方正黑体_GBK"/>
          <w:sz w:val="32"/>
          <w:szCs w:val="32"/>
        </w:rPr>
      </w:pPr>
      <w:r>
        <w:rPr>
          <w:rStyle w:val="8"/>
          <w:rFonts w:hint="eastAsia" w:ascii="方正黑体_GBK" w:hAnsi="方正黑体_GBK" w:eastAsia="方正黑体_GBK" w:cs="方正黑体_GBK"/>
          <w:sz w:val="32"/>
          <w:szCs w:val="32"/>
        </w:rPr>
        <w:t>六、专业名词解释</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（一）财政拨款收入</w:t>
      </w:r>
      <w:r>
        <w:rPr>
          <w:rFonts w:hint="eastAsia" w:ascii="方正仿宋_GBK" w:eastAsia="方正仿宋_GBK" w:cs="仿宋_GB2312" w:hAnsiTheme="minorEastAsia"/>
          <w:sz w:val="32"/>
          <w:szCs w:val="32"/>
        </w:rPr>
        <w:t>：指本年度从本级财政部门取得的财政拨款，包括一般公共预算财政拨款和政府性基金预算财政拨款。</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（二）事业收入</w:t>
      </w:r>
      <w:r>
        <w:rPr>
          <w:rFonts w:hint="eastAsia" w:ascii="方正仿宋_GBK" w:eastAsia="方正仿宋_GBK" w:cs="仿宋_GB2312" w:hAnsiTheme="minorEastAsia"/>
          <w:sz w:val="32"/>
          <w:szCs w:val="32"/>
        </w:rPr>
        <w:t>：指事业单位开展专业业务活动及其辅助活动取得的现金流入；事业单位收到的财政专户实际核拨的教育收费等资金在此反映。</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（三）经营收入</w:t>
      </w:r>
      <w:r>
        <w:rPr>
          <w:rFonts w:hint="eastAsia" w:ascii="方正仿宋_GBK" w:eastAsia="方正仿宋_GBK" w:cs="仿宋_GB2312" w:hAnsiTheme="minorEastAsia"/>
          <w:sz w:val="32"/>
          <w:szCs w:val="32"/>
        </w:rPr>
        <w:t>：指事业单位在专业业务活动及其辅助活动之外开展非独立核算经营活动取得的现金流入。</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（四）其他收入</w:t>
      </w:r>
      <w:r>
        <w:rPr>
          <w:rFonts w:hint="eastAsia" w:ascii="方正仿宋_GBK" w:eastAsia="方正仿宋_GBK" w:cs="仿宋_GB2312" w:hAnsiTheme="minorEastAsia"/>
          <w:sz w:val="32"/>
          <w:szCs w:val="32"/>
        </w:rPr>
        <w:t>：指单位取得的除“财政拨款收入”、“事业收入”、“经营收入”等以外的收入，包括未纳入财政预算或财政专户管理的投资收益、银行存款利息收入、租金收入、捐赠收入，现金盘盈收入、存货盘盈收入、收回已核销的应收及预付款项、无法偿付的应付及预收款项等。各单位从本级财政部门以外的同级单位取得的经费、从非本级财政部门取得的经费，以及行政单位收到的财政专户管理资金反映在本项内。</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（五）使用非财政拨款结余</w:t>
      </w:r>
      <w:r>
        <w:rPr>
          <w:rFonts w:hint="eastAsia" w:ascii="方正仿宋_GBK" w:eastAsia="方正仿宋_GBK" w:cs="仿宋_GB2312" w:hAnsiTheme="minorEastAsia"/>
          <w:sz w:val="32"/>
          <w:szCs w:val="32"/>
        </w:rPr>
        <w:t>：指单位在当年的“财政拨款收入”、“事业收入”、“经营收入”、“其他收入”等不足以安排当年支出的情况下，使用以前年度积累的非财政拨款结余弥补本年度收支缺口的资金。</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（六）年初结转和结余</w:t>
      </w:r>
      <w:r>
        <w:rPr>
          <w:rFonts w:hint="eastAsia" w:ascii="方正仿宋_GBK" w:eastAsia="方正仿宋_GBK" w:cs="仿宋_GB2312" w:hAnsiTheme="minorEastAsia"/>
          <w:sz w:val="32"/>
          <w:szCs w:val="32"/>
        </w:rPr>
        <w:t>：指单位上年结转本年使用的基本支出结转、项目支出结转和结余、经营结余。</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（七）结余分配</w:t>
      </w:r>
      <w:r>
        <w:rPr>
          <w:rFonts w:hint="eastAsia" w:ascii="方正仿宋_GBK" w:eastAsia="方正仿宋_GBK" w:cs="仿宋_GB2312" w:hAnsiTheme="minorEastAsia"/>
          <w:sz w:val="32"/>
          <w:szCs w:val="32"/>
        </w:rPr>
        <w:t>：指单位按照国家有关规定，缴纳所得税、提取专用基金、转入非财政拨款结余等当年结余的分配情况。</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（八）年末结转和结余</w:t>
      </w:r>
      <w:r>
        <w:rPr>
          <w:rFonts w:hint="eastAsia" w:ascii="方正仿宋_GBK" w:eastAsia="方正仿宋_GBK" w:cs="仿宋_GB2312" w:hAnsiTheme="minorEastAsia"/>
          <w:sz w:val="32"/>
          <w:szCs w:val="32"/>
        </w:rPr>
        <w:t>：指单位结转下年的基本支出结转、项目支出结转和结余、经营结余。</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（九）基本支出</w:t>
      </w:r>
      <w:r>
        <w:rPr>
          <w:rFonts w:hint="eastAsia" w:ascii="方正仿宋_GBK" w:eastAsia="方正仿宋_GBK" w:cs="仿宋_GB2312" w:hAnsiTheme="minorEastAsia"/>
          <w:sz w:val="32"/>
          <w:szCs w:val="32"/>
        </w:rPr>
        <w:t>：指为保障机构正常运转、完成日常工作任务而发生的人员经费和公用经费。其中：人员经费指政府收支分类经济科目中的“工资福利支出”和“对个人和家庭的补助”；公用经费指政府收支分类经济科目中除“工资福利支出”和“对个人和家庭的补助”外的其他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（十）项目支出</w:t>
      </w:r>
      <w:r>
        <w:rPr>
          <w:rFonts w:hint="eastAsia" w:ascii="方正仿宋_GBK" w:eastAsia="方正仿宋_GBK" w:cs="仿宋_GB2312" w:hAnsiTheme="minorEastAsia"/>
          <w:sz w:val="32"/>
          <w:szCs w:val="32"/>
        </w:rPr>
        <w:t>：指在基本支出之外为完成特定行政任务和事业发展目标所发生的支出。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（十一）经营支出</w:t>
      </w:r>
      <w:r>
        <w:rPr>
          <w:rFonts w:hint="eastAsia" w:ascii="方正仿宋_GBK" w:eastAsia="方正仿宋_GBK" w:cs="仿宋_GB2312" w:hAnsiTheme="minorEastAsia"/>
          <w:sz w:val="32"/>
          <w:szCs w:val="32"/>
        </w:rPr>
        <w:t>：指事业单位在专业业务活动及其辅助活动之外开展非独立核算经营活动发生的支出。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（十二）“三公”经费</w:t>
      </w:r>
      <w:r>
        <w:rPr>
          <w:rFonts w:hint="eastAsia" w:ascii="方正仿宋_GBK" w:eastAsia="方正仿宋_GBK" w:cs="仿宋_GB2312" w:hAnsiTheme="minorEastAsia"/>
          <w:sz w:val="32"/>
          <w:szCs w:val="32"/>
        </w:rPr>
        <w:t>：指用一般公共预算财政拨款安排的因公出国（境）费、公务用车购置及运行维护费、公务接待费。其中，因公出国（境）费反映单位公务出国（境）的国际旅费、国外城市间交通费、住宿费、伙食费、培训费、公杂费等支出；公务用车购置费反映单位公务用车购置支出（含车辆购置税）；公务用车运行维护费反映单位按规定保留的公务用车燃料费、维修费、过路过桥费、保险费、安全奖励费用等支出；公务接待费反映单位按规定开支的各类公务接待（含外宾接待）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（十三）机关运行经费</w:t>
      </w:r>
      <w:r>
        <w:rPr>
          <w:rFonts w:hint="eastAsia" w:ascii="方正仿宋_GBK" w:eastAsia="方正仿宋_GBK" w:cs="仿宋_GB2312" w:hAnsiTheme="minorEastAsia"/>
          <w:sz w:val="32"/>
          <w:szCs w:val="32"/>
        </w:rPr>
        <w:t>：为保障行政单位（含参照公务员法管理的事业单位）运行用于购买货物和服务等的各项公用经费，包括办公及印刷费、邮电费、差旅费、会议费、福利费、日常维护费、专用材料及一般设备购置费、办公用房水电费、办公用房取暖费、办公用房物业管理费、公务用车运行维护费以及其他费用。</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（十四）工资福利支出（支出经济分类科目类级）</w:t>
      </w:r>
      <w:r>
        <w:rPr>
          <w:rFonts w:hint="eastAsia" w:ascii="方正仿宋_GBK" w:eastAsia="方正仿宋_GBK" w:cs="仿宋_GB2312" w:hAnsiTheme="minorEastAsia"/>
          <w:sz w:val="32"/>
          <w:szCs w:val="32"/>
        </w:rPr>
        <w:t>：反映单位开支的在职职工和编制外长期聘用人员的各类劳动报酬，以及为上述人员缴纳的各项社会保险费等。</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（十五）商品和服务支出（支出经济分类科目类级）</w:t>
      </w:r>
      <w:r>
        <w:rPr>
          <w:rFonts w:hint="eastAsia" w:ascii="方正仿宋_GBK" w:eastAsia="方正仿宋_GBK" w:cs="仿宋_GB2312" w:hAnsiTheme="minorEastAsia"/>
          <w:sz w:val="32"/>
          <w:szCs w:val="32"/>
        </w:rPr>
        <w:t>：反映单位购买商品和服务的支出（不包括用于购置固定资产的支出、战略性和应急储备支出）。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（十六）对个人和家庭的补助（支出经济分类科目类级）</w:t>
      </w:r>
      <w:r>
        <w:rPr>
          <w:rFonts w:hint="eastAsia" w:ascii="方正仿宋_GBK" w:eastAsia="方正仿宋_GBK" w:cs="仿宋_GB2312" w:hAnsiTheme="minorEastAsia"/>
          <w:sz w:val="32"/>
          <w:szCs w:val="32"/>
        </w:rPr>
        <w:t>：反映用于对个人和家庭的补助支出。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楷体_GBK" w:hAnsi="方正楷体_GBK" w:eastAsia="方正楷体_GBK" w:cs="方正楷体_GBK"/>
          <w:b/>
          <w:bCs/>
          <w:sz w:val="32"/>
          <w:szCs w:val="32"/>
        </w:rPr>
        <w:t>（十七）其他资本性支出（支出经济分类科目类级）</w:t>
      </w:r>
      <w:r>
        <w:rPr>
          <w:rFonts w:hint="eastAsia" w:ascii="方正仿宋_GBK" w:eastAsia="方正仿宋_GBK" w:cs="仿宋_GB2312" w:hAnsiTheme="minorEastAsia"/>
          <w:sz w:val="32"/>
          <w:szCs w:val="32"/>
        </w:rPr>
        <w:t>：反映非各级发展与改革部门集中安排的用于购置固定资产、战略性和应急性储备、土地和无形资产，以及构建基础设施、大型修缮和财政支持企业更新改造所发生的支出。</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黑体_GBK" w:eastAsia="方正黑体_GBK" w:cs="仿宋_GB2312" w:hAnsiTheme="minorEastAsia"/>
          <w:sz w:val="32"/>
          <w:szCs w:val="32"/>
        </w:rPr>
      </w:pPr>
      <w:r>
        <w:rPr>
          <w:rFonts w:hint="eastAsia" w:ascii="方正黑体_GBK" w:eastAsia="方正黑体_GBK" w:cs="仿宋_GB2312" w:hAnsiTheme="minorEastAsia"/>
          <w:b/>
          <w:bCs/>
          <w:sz w:val="32"/>
          <w:szCs w:val="32"/>
        </w:rPr>
        <w:t>七、决算公开联系方式及信息反馈渠道</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本单位决算公开信息反馈和联系方式：</w:t>
      </w:r>
    </w:p>
    <w:p>
      <w:pPr>
        <w:pStyle w:val="5"/>
        <w:keepNext w:val="0"/>
        <w:keepLines w:val="0"/>
        <w:pageBreakBefore w:val="0"/>
        <w:shd w:val="clear" w:color="auto" w:fill="FFFFFF"/>
        <w:kinsoku/>
        <w:wordWrap/>
        <w:overflowPunct/>
        <w:topLinePunct w:val="0"/>
        <w:autoSpaceDE/>
        <w:autoSpaceDN/>
        <w:bidi w:val="0"/>
        <w:adjustRightInd/>
        <w:snapToGrid w:val="0"/>
        <w:spacing w:line="600" w:lineRule="exact"/>
        <w:textAlignment w:val="auto"/>
        <w:rPr>
          <w:rFonts w:ascii="方正仿宋_GBK" w:eastAsia="方正仿宋_GBK" w:cs="仿宋_GB2312" w:hAnsiTheme="minorEastAsia"/>
          <w:sz w:val="32"/>
          <w:szCs w:val="32"/>
        </w:rPr>
      </w:pPr>
      <w:r>
        <w:rPr>
          <w:rFonts w:hint="eastAsia" w:ascii="方正仿宋_GBK" w:eastAsia="方正仿宋_GBK" w:cs="仿宋_GB2312" w:hAnsiTheme="minorEastAsia"/>
          <w:sz w:val="32"/>
          <w:szCs w:val="32"/>
        </w:rPr>
        <w:t>联系人：郭英俊            电话：023-48653226</w:t>
      </w:r>
    </w:p>
    <w:p>
      <w:pPr>
        <w:keepNext w:val="0"/>
        <w:keepLines w:val="0"/>
        <w:pageBreakBefore w:val="0"/>
        <w:kinsoku/>
        <w:wordWrap/>
        <w:overflowPunct/>
        <w:topLinePunct w:val="0"/>
        <w:autoSpaceDE/>
        <w:autoSpaceDN/>
        <w:bidi w:val="0"/>
        <w:adjustRightInd/>
        <w:spacing w:line="600" w:lineRule="exact"/>
        <w:textAlignment w:val="auto"/>
        <w:rPr>
          <w:rFonts w:ascii="方正仿宋_GBK" w:eastAsia="方正仿宋_GBK" w:cs="仿宋_GB2312" w:hAnsiTheme="minorEastAsia"/>
          <w:kern w:val="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4340655-D7A7-4418-B366-D70E25480A2F}"/>
  </w:font>
  <w:font w:name="Arial">
    <w:panose1 w:val="020B0604020202020204"/>
    <w:charset w:val="01"/>
    <w:family w:val="swiss"/>
    <w:pitch w:val="default"/>
    <w:sig w:usb0="E0002AFF" w:usb1="C0007843" w:usb2="00000009" w:usb3="00000000" w:csb0="400001FF" w:csb1="FFFF0000"/>
    <w:embedRegular r:id="rId2" w:fontKey="{3EAF3093-EB2E-4D7B-A5EC-ADA97CB60822}"/>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1A362C24-3411-4852-AA05-FD22FC71BD9D}"/>
  </w:font>
  <w:font w:name="Symbol">
    <w:panose1 w:val="05050102010706020507"/>
    <w:charset w:val="02"/>
    <w:family w:val="roman"/>
    <w:pitch w:val="default"/>
    <w:sig w:usb0="00000000" w:usb1="00000000" w:usb2="00000000" w:usb3="00000000" w:csb0="80000000" w:csb1="00000000"/>
    <w:embedRegular r:id="rId4" w:fontKey="{AB66F3D0-429A-4FB8-BADE-C9731850F605}"/>
  </w:font>
  <w:font w:name="Calibri">
    <w:panose1 w:val="020F0502020204030204"/>
    <w:charset w:val="00"/>
    <w:family w:val="swiss"/>
    <w:pitch w:val="default"/>
    <w:sig w:usb0="E00002FF" w:usb1="4000ACFF" w:usb2="00000001" w:usb3="00000000" w:csb0="2000019F" w:csb1="00000000"/>
    <w:embedRegular r:id="rId5" w:fontKey="{BA6A82CD-E27E-445F-B9CE-09641D49C33D}"/>
  </w:font>
  <w:font w:name="方正小标宋_GBK">
    <w:panose1 w:val="03000509000000000000"/>
    <w:charset w:val="86"/>
    <w:family w:val="script"/>
    <w:pitch w:val="default"/>
    <w:sig w:usb0="00000001" w:usb1="080E0000" w:usb2="00000000" w:usb3="00000000" w:csb0="00040000" w:csb1="00000000"/>
    <w:embedRegular r:id="rId6" w:fontKey="{C2872830-2D47-48E9-B76E-562706C320AE}"/>
  </w:font>
  <w:font w:name="方正黑体_GBK">
    <w:panose1 w:val="03000509000000000000"/>
    <w:charset w:val="86"/>
    <w:family w:val="script"/>
    <w:pitch w:val="default"/>
    <w:sig w:usb0="00000001" w:usb1="080E0000" w:usb2="00000000" w:usb3="00000000" w:csb0="00040000" w:csb1="00000000"/>
    <w:embedRegular r:id="rId7" w:fontKey="{DC53CAA4-7949-469D-B995-E134081BB15B}"/>
  </w:font>
  <w:font w:name="方正仿宋_GBK">
    <w:panose1 w:val="03000509000000000000"/>
    <w:charset w:val="86"/>
    <w:family w:val="script"/>
    <w:pitch w:val="default"/>
    <w:sig w:usb0="00000001" w:usb1="080E0000" w:usb2="00000000" w:usb3="00000000" w:csb0="00040000" w:csb1="00000000"/>
    <w:embedRegular r:id="rId8" w:fontKey="{715E82E3-416B-4358-A593-2A16E407A489}"/>
  </w:font>
  <w:font w:name="仿宋_GB2312">
    <w:panose1 w:val="02010609030101010101"/>
    <w:charset w:val="86"/>
    <w:family w:val="modern"/>
    <w:pitch w:val="default"/>
    <w:sig w:usb0="00000001" w:usb1="080E0000" w:usb2="00000000" w:usb3="00000000" w:csb0="00040000" w:csb1="00000000"/>
    <w:embedRegular r:id="rId9" w:fontKey="{0B050029-8C2A-49AE-8368-4C5DE892806D}"/>
  </w:font>
  <w:font w:name="方正楷体_GBK">
    <w:panose1 w:val="03000509000000000000"/>
    <w:charset w:val="86"/>
    <w:family w:val="auto"/>
    <w:pitch w:val="default"/>
    <w:sig w:usb0="00000001" w:usb1="080E0000" w:usb2="00000000" w:usb3="00000000" w:csb0="00040000" w:csb1="00000000"/>
    <w:embedRegular r:id="rId10" w:fontKey="{D5D75435-645A-4EAA-B903-B26691A8796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mEzYWYxYTY4NzQ3ZjAxZTg4Njg0OTUxNTYxM2Y5ZGQifQ=="/>
  </w:docVars>
  <w:rsids>
    <w:rsidRoot w:val="0005215E"/>
    <w:rsid w:val="0000133C"/>
    <w:rsid w:val="00002191"/>
    <w:rsid w:val="00011A81"/>
    <w:rsid w:val="00017271"/>
    <w:rsid w:val="000200DB"/>
    <w:rsid w:val="0002698C"/>
    <w:rsid w:val="00030DDA"/>
    <w:rsid w:val="00041D8D"/>
    <w:rsid w:val="00043D80"/>
    <w:rsid w:val="00045432"/>
    <w:rsid w:val="00050EB2"/>
    <w:rsid w:val="00051767"/>
    <w:rsid w:val="0005215E"/>
    <w:rsid w:val="00052AAA"/>
    <w:rsid w:val="000541F8"/>
    <w:rsid w:val="00057419"/>
    <w:rsid w:val="00061D58"/>
    <w:rsid w:val="000665F5"/>
    <w:rsid w:val="000705CA"/>
    <w:rsid w:val="00072976"/>
    <w:rsid w:val="00075988"/>
    <w:rsid w:val="0007766D"/>
    <w:rsid w:val="000809FD"/>
    <w:rsid w:val="000827F5"/>
    <w:rsid w:val="000831F1"/>
    <w:rsid w:val="00083B45"/>
    <w:rsid w:val="00083FEE"/>
    <w:rsid w:val="000A0234"/>
    <w:rsid w:val="000A0348"/>
    <w:rsid w:val="000A232D"/>
    <w:rsid w:val="000B0ACA"/>
    <w:rsid w:val="000D5CDF"/>
    <w:rsid w:val="000D7E30"/>
    <w:rsid w:val="000E0224"/>
    <w:rsid w:val="000E1E92"/>
    <w:rsid w:val="001025CB"/>
    <w:rsid w:val="00105484"/>
    <w:rsid w:val="001116D2"/>
    <w:rsid w:val="001221EF"/>
    <w:rsid w:val="00134270"/>
    <w:rsid w:val="00136C43"/>
    <w:rsid w:val="001404B6"/>
    <w:rsid w:val="00154544"/>
    <w:rsid w:val="00165119"/>
    <w:rsid w:val="001740E8"/>
    <w:rsid w:val="00176F08"/>
    <w:rsid w:val="0018044C"/>
    <w:rsid w:val="00182210"/>
    <w:rsid w:val="0018339D"/>
    <w:rsid w:val="001836C9"/>
    <w:rsid w:val="001A4954"/>
    <w:rsid w:val="001B087F"/>
    <w:rsid w:val="001B2AC7"/>
    <w:rsid w:val="001B33F7"/>
    <w:rsid w:val="001B735C"/>
    <w:rsid w:val="001C3A67"/>
    <w:rsid w:val="001C3AC4"/>
    <w:rsid w:val="001C5C0F"/>
    <w:rsid w:val="001F5BF7"/>
    <w:rsid w:val="001F7BE0"/>
    <w:rsid w:val="00200037"/>
    <w:rsid w:val="00200210"/>
    <w:rsid w:val="002012C1"/>
    <w:rsid w:val="00205446"/>
    <w:rsid w:val="00205A4F"/>
    <w:rsid w:val="002116A3"/>
    <w:rsid w:val="00220186"/>
    <w:rsid w:val="00221E3A"/>
    <w:rsid w:val="00225EE4"/>
    <w:rsid w:val="002376D3"/>
    <w:rsid w:val="00240A96"/>
    <w:rsid w:val="00250315"/>
    <w:rsid w:val="00261146"/>
    <w:rsid w:val="00264001"/>
    <w:rsid w:val="00265ED6"/>
    <w:rsid w:val="00271E1E"/>
    <w:rsid w:val="0028134A"/>
    <w:rsid w:val="00282215"/>
    <w:rsid w:val="00284362"/>
    <w:rsid w:val="00295B26"/>
    <w:rsid w:val="00296143"/>
    <w:rsid w:val="002A39CC"/>
    <w:rsid w:val="002B4D4E"/>
    <w:rsid w:val="002B55FD"/>
    <w:rsid w:val="002C32BF"/>
    <w:rsid w:val="002C4C3B"/>
    <w:rsid w:val="002D1685"/>
    <w:rsid w:val="002D21E7"/>
    <w:rsid w:val="002D31D6"/>
    <w:rsid w:val="002D37A8"/>
    <w:rsid w:val="002E54F0"/>
    <w:rsid w:val="002F1153"/>
    <w:rsid w:val="002F5FFC"/>
    <w:rsid w:val="002F6A9C"/>
    <w:rsid w:val="003131A3"/>
    <w:rsid w:val="00322E40"/>
    <w:rsid w:val="00327B18"/>
    <w:rsid w:val="00337DDE"/>
    <w:rsid w:val="0034285F"/>
    <w:rsid w:val="00346320"/>
    <w:rsid w:val="00347237"/>
    <w:rsid w:val="00347AFC"/>
    <w:rsid w:val="00380A73"/>
    <w:rsid w:val="00384CAB"/>
    <w:rsid w:val="00392ADB"/>
    <w:rsid w:val="003B3E35"/>
    <w:rsid w:val="003E6A44"/>
    <w:rsid w:val="003E7818"/>
    <w:rsid w:val="003F2044"/>
    <w:rsid w:val="0041762F"/>
    <w:rsid w:val="00420C33"/>
    <w:rsid w:val="00432C57"/>
    <w:rsid w:val="00435929"/>
    <w:rsid w:val="00436CB5"/>
    <w:rsid w:val="004527E3"/>
    <w:rsid w:val="00455D32"/>
    <w:rsid w:val="00456DD3"/>
    <w:rsid w:val="00457E46"/>
    <w:rsid w:val="00463F31"/>
    <w:rsid w:val="00481963"/>
    <w:rsid w:val="004843E0"/>
    <w:rsid w:val="0048708D"/>
    <w:rsid w:val="004A4050"/>
    <w:rsid w:val="004B5F72"/>
    <w:rsid w:val="004C6E9E"/>
    <w:rsid w:val="004D22B7"/>
    <w:rsid w:val="004D2B7D"/>
    <w:rsid w:val="004D32CF"/>
    <w:rsid w:val="004E181F"/>
    <w:rsid w:val="004F4A51"/>
    <w:rsid w:val="00527FD7"/>
    <w:rsid w:val="00535E23"/>
    <w:rsid w:val="00542C5B"/>
    <w:rsid w:val="00543E9C"/>
    <w:rsid w:val="005529C7"/>
    <w:rsid w:val="00555871"/>
    <w:rsid w:val="00572CCD"/>
    <w:rsid w:val="005758CB"/>
    <w:rsid w:val="005765BB"/>
    <w:rsid w:val="00583EC3"/>
    <w:rsid w:val="00585168"/>
    <w:rsid w:val="00586ACF"/>
    <w:rsid w:val="00595B85"/>
    <w:rsid w:val="005960B2"/>
    <w:rsid w:val="005A27EF"/>
    <w:rsid w:val="005A36F1"/>
    <w:rsid w:val="005C2E60"/>
    <w:rsid w:val="005D3344"/>
    <w:rsid w:val="005E298D"/>
    <w:rsid w:val="0060315F"/>
    <w:rsid w:val="00611963"/>
    <w:rsid w:val="0061774C"/>
    <w:rsid w:val="00620690"/>
    <w:rsid w:val="00626BC5"/>
    <w:rsid w:val="00643930"/>
    <w:rsid w:val="00663671"/>
    <w:rsid w:val="0067020A"/>
    <w:rsid w:val="00676E32"/>
    <w:rsid w:val="00686FD3"/>
    <w:rsid w:val="006971CF"/>
    <w:rsid w:val="006A567D"/>
    <w:rsid w:val="006A6B3C"/>
    <w:rsid w:val="006C3C7B"/>
    <w:rsid w:val="006C3E4D"/>
    <w:rsid w:val="006D1855"/>
    <w:rsid w:val="006D624D"/>
    <w:rsid w:val="006F2D02"/>
    <w:rsid w:val="00707B98"/>
    <w:rsid w:val="00707DA9"/>
    <w:rsid w:val="00711A89"/>
    <w:rsid w:val="00713123"/>
    <w:rsid w:val="007133E2"/>
    <w:rsid w:val="00716015"/>
    <w:rsid w:val="00720B02"/>
    <w:rsid w:val="00736ED2"/>
    <w:rsid w:val="00743A1D"/>
    <w:rsid w:val="00743FDF"/>
    <w:rsid w:val="00745667"/>
    <w:rsid w:val="00760D0E"/>
    <w:rsid w:val="00762EE4"/>
    <w:rsid w:val="0078714D"/>
    <w:rsid w:val="00792B22"/>
    <w:rsid w:val="007A02E7"/>
    <w:rsid w:val="007B34E2"/>
    <w:rsid w:val="007D425F"/>
    <w:rsid w:val="007D4B8D"/>
    <w:rsid w:val="007E6219"/>
    <w:rsid w:val="007F1883"/>
    <w:rsid w:val="00804453"/>
    <w:rsid w:val="008112AA"/>
    <w:rsid w:val="00812649"/>
    <w:rsid w:val="0081466D"/>
    <w:rsid w:val="00815BB7"/>
    <w:rsid w:val="008277A4"/>
    <w:rsid w:val="00847736"/>
    <w:rsid w:val="00861904"/>
    <w:rsid w:val="00863F7F"/>
    <w:rsid w:val="00882C85"/>
    <w:rsid w:val="008857BE"/>
    <w:rsid w:val="0089386B"/>
    <w:rsid w:val="008A2AF1"/>
    <w:rsid w:val="008A686B"/>
    <w:rsid w:val="008B2193"/>
    <w:rsid w:val="008B7727"/>
    <w:rsid w:val="008C1A60"/>
    <w:rsid w:val="008C20FA"/>
    <w:rsid w:val="008C5CD0"/>
    <w:rsid w:val="008E4C4B"/>
    <w:rsid w:val="008F7A1B"/>
    <w:rsid w:val="00900C77"/>
    <w:rsid w:val="009026F0"/>
    <w:rsid w:val="00925957"/>
    <w:rsid w:val="00927EE9"/>
    <w:rsid w:val="00932C75"/>
    <w:rsid w:val="00933BD0"/>
    <w:rsid w:val="00936D9C"/>
    <w:rsid w:val="00936F23"/>
    <w:rsid w:val="009414B6"/>
    <w:rsid w:val="00943DCB"/>
    <w:rsid w:val="00945D11"/>
    <w:rsid w:val="00950FD7"/>
    <w:rsid w:val="0095786B"/>
    <w:rsid w:val="0096058E"/>
    <w:rsid w:val="00966C3E"/>
    <w:rsid w:val="009846B0"/>
    <w:rsid w:val="0098763A"/>
    <w:rsid w:val="00987668"/>
    <w:rsid w:val="00987858"/>
    <w:rsid w:val="009A2D15"/>
    <w:rsid w:val="009A512D"/>
    <w:rsid w:val="009B33C9"/>
    <w:rsid w:val="009B4531"/>
    <w:rsid w:val="009B5094"/>
    <w:rsid w:val="009B6F3C"/>
    <w:rsid w:val="009C2404"/>
    <w:rsid w:val="009E049A"/>
    <w:rsid w:val="009E51A9"/>
    <w:rsid w:val="009E64E5"/>
    <w:rsid w:val="009F1284"/>
    <w:rsid w:val="009F3A3C"/>
    <w:rsid w:val="009F5AD5"/>
    <w:rsid w:val="00A0096C"/>
    <w:rsid w:val="00A05B0D"/>
    <w:rsid w:val="00A05BC7"/>
    <w:rsid w:val="00A07A9E"/>
    <w:rsid w:val="00A15146"/>
    <w:rsid w:val="00A25715"/>
    <w:rsid w:val="00A32051"/>
    <w:rsid w:val="00A37316"/>
    <w:rsid w:val="00A53FAB"/>
    <w:rsid w:val="00A60935"/>
    <w:rsid w:val="00A61A72"/>
    <w:rsid w:val="00A878E3"/>
    <w:rsid w:val="00A9067D"/>
    <w:rsid w:val="00AC2825"/>
    <w:rsid w:val="00AD49F9"/>
    <w:rsid w:val="00AD69F2"/>
    <w:rsid w:val="00AD6A9C"/>
    <w:rsid w:val="00AD7BE7"/>
    <w:rsid w:val="00AE001C"/>
    <w:rsid w:val="00AE4613"/>
    <w:rsid w:val="00AF0125"/>
    <w:rsid w:val="00AF2715"/>
    <w:rsid w:val="00AF52C8"/>
    <w:rsid w:val="00AF6CB2"/>
    <w:rsid w:val="00B050FB"/>
    <w:rsid w:val="00B15830"/>
    <w:rsid w:val="00B43D80"/>
    <w:rsid w:val="00B44AD8"/>
    <w:rsid w:val="00B549AB"/>
    <w:rsid w:val="00B70632"/>
    <w:rsid w:val="00B7762A"/>
    <w:rsid w:val="00B77E92"/>
    <w:rsid w:val="00B84FD4"/>
    <w:rsid w:val="00BA6423"/>
    <w:rsid w:val="00BA7A1C"/>
    <w:rsid w:val="00BC69AE"/>
    <w:rsid w:val="00BD1013"/>
    <w:rsid w:val="00BD14BF"/>
    <w:rsid w:val="00BD31D9"/>
    <w:rsid w:val="00BD422E"/>
    <w:rsid w:val="00BE03C3"/>
    <w:rsid w:val="00BE4579"/>
    <w:rsid w:val="00BE5AAD"/>
    <w:rsid w:val="00BF2E67"/>
    <w:rsid w:val="00C14378"/>
    <w:rsid w:val="00C242A6"/>
    <w:rsid w:val="00C24BE1"/>
    <w:rsid w:val="00C257A4"/>
    <w:rsid w:val="00C30706"/>
    <w:rsid w:val="00C34A71"/>
    <w:rsid w:val="00C41561"/>
    <w:rsid w:val="00C53C72"/>
    <w:rsid w:val="00C56752"/>
    <w:rsid w:val="00C56C52"/>
    <w:rsid w:val="00C571B2"/>
    <w:rsid w:val="00C63C7F"/>
    <w:rsid w:val="00C83AD7"/>
    <w:rsid w:val="00C861A8"/>
    <w:rsid w:val="00C90655"/>
    <w:rsid w:val="00C91714"/>
    <w:rsid w:val="00C920FB"/>
    <w:rsid w:val="00C92A85"/>
    <w:rsid w:val="00CB4575"/>
    <w:rsid w:val="00CC01E7"/>
    <w:rsid w:val="00CC1416"/>
    <w:rsid w:val="00CD01E8"/>
    <w:rsid w:val="00CD0C5D"/>
    <w:rsid w:val="00CE71D0"/>
    <w:rsid w:val="00D01D1E"/>
    <w:rsid w:val="00D03B4A"/>
    <w:rsid w:val="00D058C2"/>
    <w:rsid w:val="00D066B8"/>
    <w:rsid w:val="00D16322"/>
    <w:rsid w:val="00D20691"/>
    <w:rsid w:val="00D25B41"/>
    <w:rsid w:val="00D277BD"/>
    <w:rsid w:val="00D34FE4"/>
    <w:rsid w:val="00D41CD2"/>
    <w:rsid w:val="00D452AB"/>
    <w:rsid w:val="00D47B11"/>
    <w:rsid w:val="00D51FC0"/>
    <w:rsid w:val="00D520F8"/>
    <w:rsid w:val="00D6150A"/>
    <w:rsid w:val="00D7384B"/>
    <w:rsid w:val="00D77CE9"/>
    <w:rsid w:val="00D81D3E"/>
    <w:rsid w:val="00D82126"/>
    <w:rsid w:val="00D83870"/>
    <w:rsid w:val="00DB32C4"/>
    <w:rsid w:val="00DC6CBD"/>
    <w:rsid w:val="00DE4F8B"/>
    <w:rsid w:val="00DE677D"/>
    <w:rsid w:val="00DF1501"/>
    <w:rsid w:val="00DF2DCC"/>
    <w:rsid w:val="00DF6F15"/>
    <w:rsid w:val="00E173B2"/>
    <w:rsid w:val="00E17F5C"/>
    <w:rsid w:val="00E20BCA"/>
    <w:rsid w:val="00E21659"/>
    <w:rsid w:val="00E32F30"/>
    <w:rsid w:val="00E45840"/>
    <w:rsid w:val="00E45FA5"/>
    <w:rsid w:val="00E522CA"/>
    <w:rsid w:val="00E533C0"/>
    <w:rsid w:val="00E534D7"/>
    <w:rsid w:val="00E53EAA"/>
    <w:rsid w:val="00E7284F"/>
    <w:rsid w:val="00E72A93"/>
    <w:rsid w:val="00E74536"/>
    <w:rsid w:val="00E77805"/>
    <w:rsid w:val="00E8245B"/>
    <w:rsid w:val="00EA42AF"/>
    <w:rsid w:val="00EB1060"/>
    <w:rsid w:val="00EC2332"/>
    <w:rsid w:val="00EC4654"/>
    <w:rsid w:val="00ED03EE"/>
    <w:rsid w:val="00ED6E73"/>
    <w:rsid w:val="00EE11B3"/>
    <w:rsid w:val="00EE430F"/>
    <w:rsid w:val="00EF44B1"/>
    <w:rsid w:val="00EF5A09"/>
    <w:rsid w:val="00EF7D80"/>
    <w:rsid w:val="00F00480"/>
    <w:rsid w:val="00F0319C"/>
    <w:rsid w:val="00F1101E"/>
    <w:rsid w:val="00F12208"/>
    <w:rsid w:val="00F17863"/>
    <w:rsid w:val="00F201F8"/>
    <w:rsid w:val="00F30C03"/>
    <w:rsid w:val="00F34DD0"/>
    <w:rsid w:val="00F52747"/>
    <w:rsid w:val="00F551FE"/>
    <w:rsid w:val="00F559DD"/>
    <w:rsid w:val="00F5648E"/>
    <w:rsid w:val="00F64D84"/>
    <w:rsid w:val="00F74905"/>
    <w:rsid w:val="00F74D86"/>
    <w:rsid w:val="00F85218"/>
    <w:rsid w:val="00F917D6"/>
    <w:rsid w:val="00FA3AEF"/>
    <w:rsid w:val="00FB2DF3"/>
    <w:rsid w:val="00FC4399"/>
    <w:rsid w:val="00FC4E1A"/>
    <w:rsid w:val="00FC7AF7"/>
    <w:rsid w:val="00FD3A87"/>
    <w:rsid w:val="00FD4603"/>
    <w:rsid w:val="00FD6170"/>
    <w:rsid w:val="00FE007D"/>
    <w:rsid w:val="00FE5319"/>
    <w:rsid w:val="00FF2E12"/>
    <w:rsid w:val="00FF7D79"/>
    <w:rsid w:val="2175267B"/>
    <w:rsid w:val="3FB359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Balloon Text"/>
    <w:basedOn w:val="1"/>
    <w:link w:val="11"/>
    <w:semiHidden/>
    <w:unhideWhenUsed/>
    <w:qFormat/>
    <w:uiPriority w:val="99"/>
    <w:rPr>
      <w:sz w:val="18"/>
      <w:szCs w:val="18"/>
    </w:rPr>
  </w:style>
  <w:style w:type="paragraph" w:styleId="3">
    <w:name w:val="footer"/>
    <w:basedOn w:val="1"/>
    <w:link w:val="10"/>
    <w:semiHidden/>
    <w:unhideWhenUsed/>
    <w:qFormat/>
    <w:uiPriority w:val="99"/>
    <w:pPr>
      <w:tabs>
        <w:tab w:val="center" w:pos="4153"/>
        <w:tab w:val="right" w:pos="8306"/>
      </w:tabs>
      <w:snapToGrid w:val="0"/>
      <w:jc w:val="left"/>
    </w:pPr>
    <w:rPr>
      <w:sz w:val="18"/>
      <w:szCs w:val="18"/>
    </w:rPr>
  </w:style>
  <w:style w:type="paragraph" w:styleId="4">
    <w:name w:val="header"/>
    <w:basedOn w:val="1"/>
    <w:link w:val="9"/>
    <w:semiHidden/>
    <w:unhideWhenUsed/>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uiPriority w:val="99"/>
    <w:pPr>
      <w:widowControl/>
      <w:spacing w:before="100" w:beforeAutospacing="1" w:after="100" w:afterAutospacing="1"/>
      <w:jc w:val="left"/>
    </w:pPr>
    <w:rPr>
      <w:rFonts w:ascii="宋体" w:hAnsi="宋体" w:eastAsia="宋体" w:cs="宋体"/>
      <w:kern w:val="0"/>
      <w:sz w:val="24"/>
      <w:szCs w:val="24"/>
    </w:rPr>
  </w:style>
  <w:style w:type="character" w:styleId="8">
    <w:name w:val="Strong"/>
    <w:basedOn w:val="7"/>
    <w:qFormat/>
    <w:uiPriority w:val="22"/>
    <w:rPr>
      <w:b/>
      <w:bCs/>
    </w:rPr>
  </w:style>
  <w:style w:type="character" w:customStyle="1" w:styleId="9">
    <w:name w:val="页眉 Char"/>
    <w:basedOn w:val="7"/>
    <w:link w:val="4"/>
    <w:semiHidden/>
    <w:qFormat/>
    <w:uiPriority w:val="99"/>
    <w:rPr>
      <w:sz w:val="18"/>
      <w:szCs w:val="18"/>
    </w:rPr>
  </w:style>
  <w:style w:type="character" w:customStyle="1" w:styleId="10">
    <w:name w:val="页脚 Char"/>
    <w:basedOn w:val="7"/>
    <w:link w:val="3"/>
    <w:semiHidden/>
    <w:qFormat/>
    <w:uiPriority w:val="99"/>
    <w:rPr>
      <w:sz w:val="18"/>
      <w:szCs w:val="18"/>
    </w:rPr>
  </w:style>
  <w:style w:type="character" w:customStyle="1" w:styleId="11">
    <w:name w:val="批注框文本 Char"/>
    <w:basedOn w:val="7"/>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微软中国</Company>
  <Pages>14</Pages>
  <Words>4322</Words>
  <Characters>4833</Characters>
  <Lines>35</Lines>
  <Paragraphs>9</Paragraphs>
  <TotalTime>114</TotalTime>
  <ScaleCrop>false</ScaleCrop>
  <LinksUpToDate>false</LinksUpToDate>
  <CharactersWithSpaces>4861</CharactersWithSpaces>
  <Application>WPS Office_11.1.0.12012_F1E327BC-269C-435d-A152-05C5408002CA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2022-08-29T02:46:00Z</dcterms:created>
  <dc:creator>微软用户</dc:creator>
  <cp:lastModifiedBy>陈列</cp:lastModifiedBy>
  <dcterms:modified xsi:type="dcterms:W3CDTF">2022-09-01T14:46:41Z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248773679_embed</vt:lpwstr>
  </property>
  <property fmtid="{D5CDD505-2E9C-101B-9397-08002B2CF9AE}" pid="3" name="KSOProductBuildVer">
    <vt:lpwstr>2052-11.1.0.12012</vt:lpwstr>
  </property>
  <property fmtid="{D5CDD505-2E9C-101B-9397-08002B2CF9AE}" pid="4" name="ICV">
    <vt:lpwstr>37CD72FE60404924B2AC0A8FFE92EA9B</vt:lpwstr>
  </property>
</Properties>
</file>