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jc w:val="center"/>
        <w:rPr>
          <w:rFonts w:ascii="方正小标宋_GBK" w:eastAsia="方正小标宋_GBK"/>
          <w:sz w:val="44"/>
          <w:szCs w:val="44"/>
        </w:rPr>
      </w:pPr>
      <w:r>
        <w:rPr>
          <w:rFonts w:hint="eastAsia" w:ascii="方正小标宋_GBK" w:eastAsia="方正小标宋_GBK"/>
          <w:sz w:val="44"/>
          <w:szCs w:val="44"/>
        </w:rPr>
        <w:t>重庆市綦江区逢春学校</w:t>
      </w:r>
    </w:p>
    <w:p>
      <w:pPr>
        <w:pStyle w:val="5"/>
        <w:shd w:val="clear" w:color="auto" w:fill="FFFFFF"/>
        <w:jc w:val="center"/>
        <w:rPr>
          <w:rFonts w:ascii="方正小标宋_GBK" w:eastAsia="方正小标宋_GBK"/>
        </w:rPr>
      </w:pPr>
      <w:r>
        <w:rPr>
          <w:rFonts w:hint="eastAsia" w:ascii="方正小标宋_GBK" w:eastAsia="方正小标宋_GBK"/>
          <w:sz w:val="44"/>
          <w:szCs w:val="44"/>
        </w:rPr>
        <w:t>2020年度部门决算情况说明</w:t>
      </w:r>
    </w:p>
    <w:p>
      <w:pPr>
        <w:pStyle w:val="5"/>
        <w:shd w:val="clear" w:color="auto" w:fill="FFFFFF"/>
      </w:pPr>
      <w:r>
        <w:t> </w:t>
      </w:r>
    </w:p>
    <w:p>
      <w:pPr>
        <w:pStyle w:val="5"/>
        <w:shd w:val="clear" w:color="auto" w:fill="FFFFFF"/>
        <w:rPr>
          <w:rFonts w:ascii="方正黑体_GBK" w:eastAsia="方正黑体_GBK"/>
          <w:sz w:val="32"/>
          <w:szCs w:val="32"/>
        </w:rPr>
      </w:pPr>
      <w:r>
        <w:rPr>
          <w:rStyle w:val="9"/>
          <w:rFonts w:hint="eastAsia" w:ascii="方正黑体_GBK" w:eastAsia="方正黑体_GBK"/>
          <w:sz w:val="32"/>
          <w:szCs w:val="32"/>
        </w:rPr>
        <w:t>一、部门基本情况</w:t>
      </w:r>
    </w:p>
    <w:p>
      <w:pPr>
        <w:pStyle w:val="5"/>
        <w:shd w:val="clear" w:color="auto" w:fill="FFFFFF"/>
        <w:rPr>
          <w:rFonts w:ascii="方正楷体_GBK" w:eastAsia="方正楷体_GBK"/>
          <w:sz w:val="32"/>
          <w:szCs w:val="32"/>
        </w:rPr>
      </w:pPr>
      <w:r>
        <w:rPr>
          <w:rFonts w:hint="eastAsia"/>
          <w:sz w:val="27"/>
          <w:szCs w:val="27"/>
        </w:rPr>
        <w:t> </w:t>
      </w:r>
      <w:r>
        <w:rPr>
          <w:rFonts w:hint="eastAsia" w:ascii="方正楷体_GBK" w:eastAsia="方正楷体_GBK"/>
          <w:sz w:val="32"/>
          <w:szCs w:val="32"/>
        </w:rPr>
        <w:t xml:space="preserve"> </w:t>
      </w:r>
      <w:r>
        <w:rPr>
          <w:rStyle w:val="9"/>
          <w:rFonts w:hint="eastAsia" w:ascii="方正楷体_GBK" w:eastAsia="方正楷体_GBK"/>
          <w:sz w:val="32"/>
          <w:szCs w:val="32"/>
        </w:rPr>
        <w:t>（一）职能职责</w:t>
      </w:r>
    </w:p>
    <w:p>
      <w:pPr>
        <w:pStyle w:val="5"/>
        <w:shd w:val="clear" w:color="auto" w:fill="FFFFFF"/>
        <w:rPr>
          <w:rFonts w:ascii="方正仿宋_GBK" w:eastAsia="方正仿宋_GBK"/>
          <w:sz w:val="32"/>
          <w:szCs w:val="32"/>
        </w:rPr>
      </w:pPr>
      <w:r>
        <w:rPr>
          <w:rStyle w:val="9"/>
          <w:rFonts w:hint="eastAsia"/>
          <w:sz w:val="27"/>
          <w:szCs w:val="27"/>
        </w:rPr>
        <w:t xml:space="preserve">   </w:t>
      </w:r>
      <w:r>
        <w:rPr>
          <w:rFonts w:hint="eastAsia" w:ascii="方正仿宋_GBK" w:eastAsia="方正仿宋_GBK"/>
          <w:sz w:val="32"/>
          <w:szCs w:val="32"/>
        </w:rPr>
        <w:t>单位主要职能职责是实施小学义务教育/实施初中义务教育，促进基础教育发展。小学学历教育/初中学历教育（相关社会服务）。</w:t>
      </w:r>
    </w:p>
    <w:p>
      <w:pPr>
        <w:pStyle w:val="5"/>
        <w:shd w:val="clear" w:color="auto" w:fill="FFFFFF"/>
        <w:rPr>
          <w:rFonts w:ascii="方正楷体_GBK" w:eastAsia="方正楷体_GBK"/>
          <w:sz w:val="32"/>
          <w:szCs w:val="32"/>
        </w:rPr>
      </w:pPr>
      <w:r>
        <w:rPr>
          <w:rFonts w:hint="eastAsia"/>
          <w:sz w:val="27"/>
          <w:szCs w:val="27"/>
        </w:rPr>
        <w:t xml:space="preserve">  </w:t>
      </w:r>
      <w:r>
        <w:rPr>
          <w:rStyle w:val="9"/>
          <w:rFonts w:hint="eastAsia" w:ascii="方正楷体_GBK" w:eastAsia="方正楷体_GBK"/>
          <w:sz w:val="32"/>
          <w:szCs w:val="32"/>
        </w:rPr>
        <w:t>（二）机构设置</w:t>
      </w:r>
    </w:p>
    <w:p>
      <w:pPr>
        <w:pStyle w:val="5"/>
        <w:shd w:val="clear" w:color="auto" w:fill="FFFFFF"/>
        <w:rPr>
          <w:rFonts w:ascii="方正仿宋_GBK" w:eastAsia="方正仿宋_GBK"/>
          <w:sz w:val="32"/>
          <w:szCs w:val="32"/>
        </w:rPr>
      </w:pPr>
      <w:r>
        <w:rPr>
          <w:rFonts w:hint="eastAsia"/>
          <w:color w:val="FF0000"/>
          <w:sz w:val="27"/>
          <w:szCs w:val="27"/>
        </w:rPr>
        <w:t xml:space="preserve">  </w:t>
      </w:r>
      <w:r>
        <w:rPr>
          <w:rFonts w:hint="eastAsia" w:ascii="方正仿宋_GBK" w:eastAsia="方正仿宋_GBK"/>
          <w:color w:val="FF0000"/>
          <w:sz w:val="32"/>
          <w:szCs w:val="32"/>
        </w:rPr>
        <w:t xml:space="preserve"> </w:t>
      </w:r>
      <w:r>
        <w:rPr>
          <w:rFonts w:hint="eastAsia" w:ascii="方正仿宋_GBK" w:eastAsia="方正仿宋_GBK"/>
          <w:sz w:val="32"/>
          <w:szCs w:val="32"/>
        </w:rPr>
        <w:t>根据《中共重庆市綦江区委关于重庆市綦江区机构设置方案的实施意见》（綦江委发</w:t>
      </w:r>
      <w:r>
        <w:rPr>
          <w:rFonts w:hint="eastAsia" w:ascii="方正仿宋_GBK" w:eastAsia="方正仿宋_GBK"/>
          <w:sz w:val="32"/>
          <w:szCs w:val="32"/>
          <w:lang w:eastAsia="zh-CN"/>
        </w:rPr>
        <w:t>〔</w:t>
      </w:r>
      <w:r>
        <w:rPr>
          <w:rFonts w:hint="eastAsia" w:ascii="方正仿宋_GBK" w:eastAsia="方正仿宋_GBK"/>
          <w:sz w:val="32"/>
          <w:szCs w:val="32"/>
        </w:rPr>
        <w:t>2011</w:t>
      </w:r>
      <w:r>
        <w:rPr>
          <w:rFonts w:hint="eastAsia" w:ascii="方正仿宋_GBK" w:eastAsia="方正仿宋_GBK"/>
          <w:sz w:val="32"/>
          <w:szCs w:val="32"/>
          <w:lang w:eastAsia="zh-CN"/>
        </w:rPr>
        <w:t>〕</w:t>
      </w:r>
      <w:r>
        <w:rPr>
          <w:rFonts w:hint="eastAsia" w:ascii="方正仿宋_GBK" w:eastAsia="方正仿宋_GBK"/>
          <w:sz w:val="32"/>
          <w:szCs w:val="32"/>
        </w:rPr>
        <w:t>1号）文件精神，教育系统各学校、卫生系统各医院，原则上保留，仅作名称变更。按照《重庆市綦江区机构编制委员会办公室关于明确綦江区各学区和学校机构名称的复函》（綦编办〔2012〕21号）文件，将原綦江县逢春学校更名为重庆市綦江区逢春学校。我单位属重庆市綦江区教育委员会所属的全额拨款事业单位。</w:t>
      </w:r>
    </w:p>
    <w:p>
      <w:pPr>
        <w:pStyle w:val="5"/>
        <w:shd w:val="clear" w:color="auto" w:fill="FFFFFF"/>
        <w:rPr>
          <w:rFonts w:ascii="方正楷体_GBK" w:eastAsia="方正楷体_GBK"/>
          <w:sz w:val="32"/>
          <w:szCs w:val="32"/>
        </w:rPr>
      </w:pPr>
      <w:r>
        <w:rPr>
          <w:rFonts w:hint="eastAsia"/>
          <w:sz w:val="27"/>
          <w:szCs w:val="27"/>
        </w:rPr>
        <w:t xml:space="preserve">  </w:t>
      </w:r>
      <w:r>
        <w:rPr>
          <w:rStyle w:val="9"/>
          <w:rFonts w:hint="eastAsia" w:ascii="方正楷体_GBK" w:eastAsia="方正楷体_GBK"/>
          <w:sz w:val="32"/>
          <w:szCs w:val="32"/>
        </w:rPr>
        <w:t>（三）单位构成</w:t>
      </w:r>
    </w:p>
    <w:p>
      <w:pPr>
        <w:pStyle w:val="5"/>
        <w:shd w:val="clear" w:color="auto" w:fill="FFFFFF"/>
        <w:rPr>
          <w:rFonts w:ascii="方正仿宋_GBK" w:eastAsia="方正仿宋_GBK"/>
          <w:sz w:val="32"/>
          <w:szCs w:val="32"/>
        </w:rPr>
      </w:pPr>
      <w:r>
        <w:rPr>
          <w:rStyle w:val="9"/>
          <w:rFonts w:hint="eastAsia" w:eastAsia="方正仿宋_GBK"/>
          <w:sz w:val="32"/>
          <w:szCs w:val="32"/>
        </w:rPr>
        <w:t> </w:t>
      </w:r>
      <w:r>
        <w:rPr>
          <w:rStyle w:val="9"/>
          <w:rFonts w:hint="eastAsia" w:ascii="方正仿宋_GBK" w:eastAsia="方正仿宋_GBK"/>
          <w:sz w:val="32"/>
          <w:szCs w:val="32"/>
        </w:rPr>
        <w:t xml:space="preserve"> </w:t>
      </w:r>
      <w:r>
        <w:rPr>
          <w:rFonts w:hint="eastAsia" w:ascii="方正仿宋_GBK" w:eastAsia="方正仿宋_GBK"/>
          <w:sz w:val="32"/>
          <w:szCs w:val="32"/>
        </w:rPr>
        <w:t>从预算单位构成看，纳入本部门2020年度决算编制的二级预算单位</w:t>
      </w:r>
      <w:r>
        <w:rPr>
          <w:rFonts w:hint="eastAsia" w:ascii="方正仿宋_GBK" w:hAnsi="仿宋" w:eastAsia="方正仿宋_GBK" w:cs="仿宋"/>
          <w:color w:val="000000"/>
          <w:sz w:val="32"/>
          <w:szCs w:val="32"/>
        </w:rPr>
        <w:t>独立核算单位共</w:t>
      </w:r>
      <w:r>
        <w:rPr>
          <w:rFonts w:hint="eastAsia" w:ascii="方正仿宋_GBK" w:eastAsia="方正仿宋_GBK"/>
          <w:color w:val="000000"/>
          <w:sz w:val="32"/>
          <w:szCs w:val="32"/>
        </w:rPr>
        <w:t>1</w:t>
      </w:r>
      <w:r>
        <w:rPr>
          <w:rFonts w:hint="eastAsia" w:ascii="方正仿宋_GBK" w:hAnsi="仿宋" w:eastAsia="方正仿宋_GBK" w:cs="仿宋"/>
          <w:color w:val="000000"/>
          <w:sz w:val="32"/>
          <w:szCs w:val="32"/>
        </w:rPr>
        <w:t>个</w:t>
      </w:r>
      <w:r>
        <w:rPr>
          <w:rFonts w:hint="eastAsia" w:ascii="方正仿宋_GBK" w:eastAsia="方正仿宋_GBK"/>
          <w:sz w:val="32"/>
          <w:szCs w:val="32"/>
        </w:rPr>
        <w:t>，本单位无下级预算单位。属于九年一贯制义务教育的全日制公办教育机构，具有法人资格，独立承担民事责任。当年本单位编制29人，在职29人，均与编办统计数一致，退休11人。本年在校学生237人，其中小学学生191人</w:t>
      </w:r>
      <w:r>
        <w:rPr>
          <w:rFonts w:hint="eastAsia" w:ascii="方正仿宋_GBK" w:eastAsia="方正仿宋_GBK"/>
          <w:sz w:val="32"/>
          <w:szCs w:val="32"/>
          <w:lang w:eastAsia="zh-CN"/>
        </w:rPr>
        <w:t>，</w:t>
      </w:r>
      <w:r>
        <w:rPr>
          <w:rFonts w:hint="eastAsia" w:ascii="方正仿宋_GBK" w:eastAsia="方正仿宋_GBK"/>
          <w:sz w:val="32"/>
          <w:szCs w:val="32"/>
        </w:rPr>
        <w:t>初中46人。</w:t>
      </w:r>
    </w:p>
    <w:p>
      <w:pPr>
        <w:pStyle w:val="5"/>
        <w:shd w:val="clear" w:color="auto" w:fill="FFFFFF"/>
        <w:rPr>
          <w:rFonts w:ascii="方正黑体_GBK" w:eastAsia="方正黑体_GBK"/>
          <w:sz w:val="32"/>
          <w:szCs w:val="32"/>
        </w:rPr>
      </w:pPr>
      <w:r>
        <w:rPr>
          <w:rStyle w:val="9"/>
          <w:rFonts w:hint="eastAsia" w:ascii="方正黑体_GBK" w:eastAsia="方正黑体_GBK"/>
          <w:sz w:val="32"/>
          <w:szCs w:val="32"/>
        </w:rPr>
        <w:t>二、部门决算情况说明</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（一）收入支出决算总体情况说明</w:t>
      </w:r>
    </w:p>
    <w:p>
      <w:pPr>
        <w:pStyle w:val="13"/>
        <w:spacing w:before="0" w:beforeAutospacing="0"/>
        <w:rPr>
          <w:rFonts w:ascii="方正仿宋_GBK" w:eastAsia="方正仿宋_GBK"/>
          <w:sz w:val="32"/>
          <w:szCs w:val="32"/>
          <w:shd w:val="clear" w:color="auto" w:fill="FFFFFF"/>
        </w:rPr>
      </w:pPr>
      <w:r>
        <w:rPr>
          <w:rStyle w:val="9"/>
          <w:rFonts w:hint="eastAsia" w:ascii="方正仿宋_GBK" w:eastAsia="方正仿宋_GBK"/>
          <w:sz w:val="32"/>
          <w:szCs w:val="32"/>
        </w:rPr>
        <w:t>1.总体情况</w:t>
      </w:r>
      <w:r>
        <w:rPr>
          <w:rFonts w:hint="eastAsia" w:ascii="方正仿宋_GBK" w:eastAsia="方正仿宋_GBK"/>
          <w:sz w:val="32"/>
          <w:szCs w:val="32"/>
        </w:rPr>
        <w:t>。</w:t>
      </w:r>
      <w:r>
        <w:rPr>
          <w:rFonts w:hint="eastAsia" w:ascii="方正仿宋_GBK" w:eastAsia="方正仿宋_GBK"/>
          <w:sz w:val="32"/>
          <w:szCs w:val="32"/>
          <w:shd w:val="clear" w:color="auto" w:fill="FFFFFF"/>
        </w:rPr>
        <w:t>2020年度收入总计873.53万元，支出总计873.53万元。收支较上年决算数减少103.63万元，下降10.61</w:t>
      </w:r>
      <w:r>
        <w:rPr>
          <w:rFonts w:hint="eastAsia" w:ascii="方正仿宋_GBK" w:eastAsia="方正仿宋_GBK"/>
          <w:vanish/>
          <w:sz w:val="32"/>
          <w:szCs w:val="32"/>
          <w:shd w:val="clear" w:color="auto" w:fill="FFFFFF"/>
        </w:rPr>
        <w:t>10.01010.0</w:t>
      </w:r>
      <w:r>
        <w:rPr>
          <w:rFonts w:hint="eastAsia" w:ascii="方正仿宋_GBK" w:eastAsia="方正仿宋_GBK"/>
          <w:sz w:val="32"/>
          <w:szCs w:val="32"/>
          <w:shd w:val="clear" w:color="auto" w:fill="FFFFFF"/>
        </w:rPr>
        <w:t>%，主要原因是煤矿关闭，矿上员工失业，带学生转学，学生人数减少，初中一年级学生合并到打通中学去上学，老师调走，造成教师和学生人数也有减少，生均公用经费和人员经费收支相应减少。 本年学校及附属幼儿园维修项目支出减少40.83万元等</w:t>
      </w:r>
    </w:p>
    <w:p>
      <w:pPr>
        <w:pStyle w:val="13"/>
        <w:spacing w:before="0" w:beforeAutospacing="0"/>
        <w:rPr>
          <w:rFonts w:ascii="方正仿宋_GBK" w:eastAsia="方正仿宋_GBK"/>
          <w:sz w:val="32"/>
          <w:szCs w:val="32"/>
          <w:shd w:val="clear" w:color="auto" w:fill="FFFFFF"/>
        </w:rPr>
      </w:pPr>
      <w:r>
        <w:rPr>
          <w:rStyle w:val="9"/>
          <w:rFonts w:hint="eastAsia" w:ascii="方正仿宋_GBK" w:eastAsia="方正仿宋_GBK"/>
          <w:sz w:val="32"/>
          <w:szCs w:val="32"/>
        </w:rPr>
        <w:t>2.收入情况。</w:t>
      </w:r>
      <w:r>
        <w:rPr>
          <w:rFonts w:hint="eastAsia" w:ascii="方正仿宋_GBK" w:eastAsia="方正仿宋_GBK"/>
          <w:sz w:val="32"/>
          <w:szCs w:val="32"/>
        </w:rPr>
        <w:t>2020年度收入合计707.63万元，较上年决算数下降91.61万元，下降11.46%，</w:t>
      </w:r>
      <w:r>
        <w:rPr>
          <w:rFonts w:hint="eastAsia" w:ascii="方正仿宋_GBK" w:eastAsia="方正仿宋_GBK"/>
          <w:sz w:val="32"/>
          <w:szCs w:val="32"/>
          <w:shd w:val="clear" w:color="auto" w:fill="FFFFFF"/>
        </w:rPr>
        <w:t>主要原因是煤矿关闭，矿上员工失业，带学生转学，初中一年级学生合并到打通中学去上学，老师调走，造成教师和学生人数减少，生均公用经费和人员经费收入相应减少。其中：财政拨款收入694.45万元，占98.14%；事业收入13.18万元，占1.86%；年初结转和结余165.90万元。</w:t>
      </w:r>
    </w:p>
    <w:p>
      <w:pPr>
        <w:pStyle w:val="5"/>
        <w:shd w:val="clear" w:color="auto" w:fill="FFFFFF"/>
        <w:rPr>
          <w:rFonts w:ascii="方正仿宋_GBK" w:eastAsia="方正仿宋_GBK"/>
          <w:sz w:val="32"/>
          <w:szCs w:val="32"/>
          <w:shd w:val="clear" w:color="auto" w:fill="FFFFFF"/>
        </w:rPr>
      </w:pPr>
      <w:r>
        <w:rPr>
          <w:rStyle w:val="9"/>
          <w:rFonts w:hint="eastAsia" w:ascii="方正仿宋_GBK" w:eastAsia="方正仿宋_GBK"/>
          <w:sz w:val="32"/>
          <w:szCs w:val="32"/>
        </w:rPr>
        <w:t>3.支出情况。</w:t>
      </w:r>
      <w:r>
        <w:rPr>
          <w:rFonts w:hint="eastAsia" w:ascii="方正仿宋_GBK" w:eastAsia="方正仿宋_GBK"/>
          <w:sz w:val="32"/>
          <w:szCs w:val="32"/>
        </w:rPr>
        <w:t>2020年度支出合计784.44万元，较上年决算数下降105.26万元，下降11.83%，</w:t>
      </w:r>
      <w:r>
        <w:rPr>
          <w:rFonts w:hint="eastAsia" w:ascii="方正仿宋_GBK" w:eastAsia="方正仿宋_GBK"/>
          <w:sz w:val="32"/>
          <w:szCs w:val="32"/>
          <w:shd w:val="clear" w:color="auto" w:fill="FFFFFF"/>
        </w:rPr>
        <w:t>主要原因是煤矿关闭，矿上员工失业，带学生转学，初中一年级学生合并到打通中学去上学，老师调走，造成教师和学生人数减少，教师和学生人数也有减少，生均公用经费和人员经费支出相应减少。人员经费比上年减少52.47万元，公用经费减少11.94万元，项目经费减少40.83万元。</w:t>
      </w:r>
    </w:p>
    <w:p>
      <w:pPr>
        <w:pStyle w:val="5"/>
        <w:shd w:val="clear" w:color="auto" w:fill="FFFFFF"/>
        <w:rPr>
          <w:rFonts w:ascii="方正仿宋_GBK" w:eastAsia="方正仿宋_GBK"/>
          <w:sz w:val="32"/>
          <w:szCs w:val="32"/>
        </w:rPr>
      </w:pPr>
      <w:r>
        <w:rPr>
          <w:rStyle w:val="9"/>
          <w:rFonts w:hint="eastAsia" w:ascii="方正仿宋_GBK" w:eastAsia="方正仿宋_GBK"/>
          <w:sz w:val="32"/>
          <w:szCs w:val="32"/>
        </w:rPr>
        <w:t>4.结转结余情况。</w:t>
      </w:r>
      <w:r>
        <w:rPr>
          <w:rFonts w:hint="eastAsia" w:ascii="方正仿宋_GBK" w:eastAsia="方正仿宋_GBK"/>
          <w:sz w:val="32"/>
          <w:szCs w:val="32"/>
        </w:rPr>
        <w:t>2020年度年末结转和结余89.09万元，较上年决算数增加1.63万元，增加1.86%，主要原因是本年结转的人员经费目标考核奖等减少，受疫情影响，学校工程没有结算。</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（二）财政拨款收入支出决算总体情况说明</w:t>
      </w:r>
    </w:p>
    <w:p>
      <w:pPr>
        <w:pStyle w:val="13"/>
        <w:spacing w:before="0" w:beforeAutospacing="0"/>
        <w:rPr>
          <w:rFonts w:ascii="方正仿宋_GBK" w:eastAsia="方正仿宋_GBK"/>
          <w:sz w:val="32"/>
          <w:szCs w:val="32"/>
        </w:rPr>
      </w:pPr>
      <w:r>
        <w:rPr>
          <w:rFonts w:hint="eastAsia" w:eastAsia="方正仿宋_GBK"/>
          <w:sz w:val="32"/>
          <w:szCs w:val="32"/>
        </w:rPr>
        <w:t> </w:t>
      </w:r>
      <w:r>
        <w:rPr>
          <w:rFonts w:hint="eastAsia" w:ascii="方正仿宋_GBK" w:eastAsia="方正仿宋_GBK"/>
          <w:sz w:val="32"/>
          <w:szCs w:val="32"/>
        </w:rPr>
        <w:t xml:space="preserve"> 2020年度财政拨款收、支总计855.34万元。与2019年相比，财政拨款收、支总计下降103.63万 元，下降10.61%。</w:t>
      </w:r>
      <w:r>
        <w:rPr>
          <w:rFonts w:hint="eastAsia" w:ascii="方正仿宋_GBK" w:eastAsia="方正仿宋_GBK"/>
          <w:sz w:val="32"/>
          <w:szCs w:val="32"/>
          <w:shd w:val="clear" w:color="auto" w:fill="FFFFFF"/>
        </w:rPr>
        <w:t>主要原因是煤矿关闭，矿上员工失业，带学生转学，初中一年级学生合并到打通中学去，老师调走，造成教师和学生人数也有减少，生均公用经费和人员经费收、支总计相应减少。</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（三）一般公共预算财政拨款支出决算情况说明</w:t>
      </w:r>
    </w:p>
    <w:p>
      <w:pPr>
        <w:spacing w:line="600" w:lineRule="exact"/>
        <w:rPr>
          <w:rFonts w:ascii="方正仿宋_GBK" w:eastAsia="方正仿宋_GBK"/>
          <w:sz w:val="32"/>
          <w:szCs w:val="32"/>
        </w:rPr>
      </w:pPr>
      <w:r>
        <w:rPr>
          <w:rStyle w:val="9"/>
          <w:rFonts w:hint="eastAsia" w:ascii="方正仿宋_GBK" w:eastAsia="方正仿宋_GBK"/>
          <w:sz w:val="32"/>
          <w:szCs w:val="32"/>
        </w:rPr>
        <w:t>1.收入情况。</w:t>
      </w:r>
      <w:r>
        <w:rPr>
          <w:rFonts w:hint="eastAsia" w:ascii="方正仿宋_GBK" w:eastAsia="方正仿宋_GBK"/>
          <w:sz w:val="32"/>
          <w:szCs w:val="32"/>
          <w:shd w:val="clear" w:color="auto" w:fill="FFFFFF"/>
        </w:rPr>
        <w:t>2020年度一般公共预算财政拨款收入694.44万元，较上年决算数减少78.08万元，下降10.11%。主要原因是煤矿关闭，矿上员工失业，带学生转学，初中一年级学生合并打通中学上，老师调走，造成教师和人数也有减少，生均公用经费和人员经费收入相应减少。较年初预算数增加8.82万元，增长1.3%</w:t>
      </w:r>
      <w:r>
        <w:rPr>
          <w:rFonts w:hint="eastAsia" w:ascii="方正仿宋_GBK" w:eastAsia="方正仿宋_GBK"/>
          <w:sz w:val="32"/>
          <w:szCs w:val="32"/>
          <w:shd w:val="clear" w:color="auto" w:fill="FFFFFF"/>
          <w:lang w:eastAsia="zh-CN"/>
        </w:rPr>
        <w:t>〔</w:t>
      </w:r>
      <w:r>
        <w:rPr>
          <w:rFonts w:hint="eastAsia" w:ascii="方正仿宋_GBK" w:eastAsia="方正仿宋_GBK"/>
          <w:sz w:val="32"/>
          <w:szCs w:val="32"/>
          <w:shd w:val="clear" w:color="auto" w:fill="FFFFFF"/>
        </w:rPr>
        <w:t>主要原因</w:t>
      </w:r>
      <w:r>
        <w:rPr>
          <w:rFonts w:hint="eastAsia" w:ascii="方正仿宋_GBK" w:eastAsia="方正仿宋_GBK"/>
          <w:sz w:val="32"/>
          <w:szCs w:val="32"/>
          <w:shd w:val="clear" w:color="auto" w:fill="FFFFFF"/>
          <w:lang w:eastAsia="zh-CN"/>
        </w:rPr>
        <w:t>〕</w:t>
      </w:r>
      <w:r>
        <w:rPr>
          <w:rFonts w:hint="eastAsia" w:ascii="方正仿宋_GBK" w:hAnsi="方正仿宋_GBK" w:eastAsia="方正仿宋_GBK"/>
          <w:sz w:val="32"/>
          <w:szCs w:val="32"/>
        </w:rPr>
        <w:t>綦江财发[2020]595号，综合目标考核奖励补2019年40</w:t>
      </w:r>
      <w:r>
        <w:rPr>
          <w:rFonts w:hint="eastAsia" w:ascii="方正仿宋_GBK" w:hAnsi="方正仿宋_GBK" w:eastAsia="方正仿宋_GBK"/>
          <w:sz w:val="32"/>
          <w:szCs w:val="32"/>
          <w:lang w:eastAsia="zh-CN"/>
        </w:rPr>
        <w:t>〔</w:t>
      </w:r>
      <w:r>
        <w:rPr>
          <w:rFonts w:hint="eastAsia" w:ascii="方正仿宋_GBK" w:hAnsi="方正仿宋_GBK" w:eastAsia="方正仿宋_GBK"/>
          <w:sz w:val="32"/>
          <w:szCs w:val="32"/>
        </w:rPr>
        <w:t>900元</w:t>
      </w:r>
      <w:r>
        <w:rPr>
          <w:rFonts w:hint="eastAsia" w:ascii="方正仿宋_GBK" w:hAnsi="方正仿宋_GBK" w:eastAsia="方正仿宋_GBK"/>
          <w:sz w:val="32"/>
          <w:szCs w:val="32"/>
          <w:lang w:eastAsia="zh-CN"/>
        </w:rPr>
        <w:t>〕</w:t>
      </w:r>
      <w:r>
        <w:rPr>
          <w:rFonts w:hint="eastAsia" w:ascii="方正仿宋_GBK" w:hAnsi="方正仿宋_GBK" w:eastAsia="方正仿宋_GBK"/>
          <w:sz w:val="32"/>
          <w:szCs w:val="32"/>
        </w:rPr>
        <w:t>綦江财发[2020]1号，普惠性生均公用经费补助专项经费3</w:t>
      </w:r>
      <w:r>
        <w:rPr>
          <w:rFonts w:hint="eastAsia" w:ascii="方正仿宋_GBK" w:hAnsi="方正仿宋_GBK" w:eastAsia="方正仿宋_GBK"/>
          <w:sz w:val="32"/>
          <w:szCs w:val="32"/>
          <w:lang w:eastAsia="zh-CN"/>
        </w:rPr>
        <w:t>〔</w:t>
      </w:r>
      <w:r>
        <w:rPr>
          <w:rFonts w:hint="eastAsia" w:ascii="方正仿宋_GBK" w:hAnsi="方正仿宋_GBK" w:eastAsia="方正仿宋_GBK"/>
          <w:sz w:val="32"/>
          <w:szCs w:val="32"/>
        </w:rPr>
        <w:t>060元</w:t>
      </w:r>
      <w:r>
        <w:rPr>
          <w:rFonts w:hint="eastAsia" w:ascii="方正仿宋_GBK" w:hAnsi="方正仿宋_GBK" w:eastAsia="方正仿宋_GBK"/>
          <w:sz w:val="32"/>
          <w:szCs w:val="32"/>
          <w:lang w:eastAsia="zh-CN"/>
        </w:rPr>
        <w:t>〕</w:t>
      </w:r>
      <w:r>
        <w:rPr>
          <w:rFonts w:hint="eastAsia" w:ascii="方正仿宋_GBK" w:hAnsi="方正仿宋_GBK" w:eastAsia="方正仿宋_GBK"/>
          <w:sz w:val="32"/>
          <w:szCs w:val="32"/>
        </w:rPr>
        <w:t>綦江财发[2</w:t>
      </w:r>
      <w:r>
        <w:rPr>
          <w:rFonts w:hint="eastAsia" w:ascii="方正仿宋_GBK" w:hAnsi="方正仿宋_GBK" w:eastAsia="方正仿宋_GBK"/>
          <w:sz w:val="32"/>
          <w:szCs w:val="32"/>
          <w:lang w:eastAsia="zh-CN"/>
        </w:rPr>
        <w:t>〔</w:t>
      </w:r>
      <w:r>
        <w:rPr>
          <w:rFonts w:hint="eastAsia" w:ascii="方正仿宋_GBK" w:hAnsi="方正仿宋_GBK" w:eastAsia="方正仿宋_GBK"/>
          <w:sz w:val="32"/>
          <w:szCs w:val="32"/>
        </w:rPr>
        <w:t>20]1</w:t>
      </w:r>
      <w:r>
        <w:rPr>
          <w:rFonts w:hint="eastAsia" w:ascii="方正仿宋_GBK" w:hAnsi="方正仿宋_GBK" w:eastAsia="方正仿宋_GBK"/>
          <w:sz w:val="32"/>
          <w:szCs w:val="32"/>
          <w:lang w:eastAsia="zh-CN"/>
        </w:rPr>
        <w:t>〕</w:t>
      </w:r>
      <w:r>
        <w:rPr>
          <w:rFonts w:hint="eastAsia" w:ascii="方正仿宋_GBK" w:hAnsi="方正仿宋_GBK" w:eastAsia="方正仿宋_GBK"/>
          <w:sz w:val="32"/>
          <w:szCs w:val="32"/>
        </w:rPr>
        <w:t>綦江财发（2019）688号，2020年扩大学前教育资源补助专项资金（中央资金）-附设幼儿园监控改造19000元；綦江财发（2020）1号綦江财发（2019）697号，2020年乡村教师岗位生活补助专项资金（中央资金）-2020年1-3季度乡村教师岗位生活补助86400元；綦江财发（2020）1号，学生营养工程／改善师生就餐条件100万元-瓦斯改天然气补助（含幼儿园）63000元；綦江财发（2020）1号綦江财发（2019）692号，綦江区2020年城乡义务教育经费保障机制中央和市级资金（市级）—2020年春期非寄宿生生活补助（非建卡）4187.5元；綦江财发（2020）1号，生均公用经费（消除挤出效应）—2020年学校保运转兜底经费45000元等。</w:t>
      </w:r>
      <w:r>
        <w:rPr>
          <w:rFonts w:hint="eastAsia" w:ascii="方正仿宋_GBK" w:eastAsia="方正仿宋_GBK"/>
          <w:sz w:val="32"/>
          <w:szCs w:val="32"/>
          <w:shd w:val="clear" w:color="auto" w:fill="FFFFFF"/>
        </w:rPr>
        <w:t>此外，年初财政拨款结转和结余165.90万元。</w:t>
      </w:r>
    </w:p>
    <w:p>
      <w:pPr>
        <w:pStyle w:val="5"/>
        <w:shd w:val="clear" w:color="auto" w:fill="FFFFFF"/>
      </w:pPr>
    </w:p>
    <w:p>
      <w:pPr>
        <w:spacing w:line="600" w:lineRule="exact"/>
        <w:rPr>
          <w:rFonts w:ascii="方正仿宋_GBK" w:eastAsia="方正仿宋_GBK"/>
          <w:sz w:val="32"/>
          <w:szCs w:val="32"/>
        </w:rPr>
      </w:pPr>
      <w:r>
        <w:rPr>
          <w:rStyle w:val="9"/>
          <w:rFonts w:hint="eastAsia" w:ascii="方正仿宋_GBK" w:eastAsia="方正仿宋_GBK"/>
          <w:sz w:val="32"/>
          <w:szCs w:val="32"/>
        </w:rPr>
        <w:t>2.支出情况。</w:t>
      </w:r>
      <w:r>
        <w:rPr>
          <w:rFonts w:hint="eastAsia" w:ascii="方正仿宋_GBK" w:eastAsia="方正仿宋_GBK"/>
          <w:sz w:val="32"/>
          <w:szCs w:val="32"/>
        </w:rPr>
        <w:t>2020年度一般公共预算财政拨款支出784.44万元，较上年决算数减少105.26万元，下降11.83%。</w:t>
      </w:r>
      <w:r>
        <w:rPr>
          <w:rFonts w:hint="eastAsia" w:ascii="方正仿宋_GBK" w:eastAsia="方正仿宋_GBK"/>
          <w:sz w:val="32"/>
          <w:szCs w:val="32"/>
          <w:shd w:val="clear" w:color="auto" w:fill="FFFFFF"/>
        </w:rPr>
        <w:t>主要原因是煤矿关闭，矿上员工失业，带学生转学，初中一年级学生合并打通中学上，老师调走，造成教师和学生人数也有减少，生均公用经费和人员经费收入相应减少。</w:t>
      </w:r>
      <w:r>
        <w:rPr>
          <w:rFonts w:hint="eastAsia" w:ascii="方正仿宋_GBK" w:eastAsia="方正仿宋_GBK"/>
          <w:sz w:val="32"/>
          <w:szCs w:val="32"/>
        </w:rPr>
        <w:t>较年初预算数增加139.01万元，增长9%。</w:t>
      </w:r>
      <w:r>
        <w:rPr>
          <w:rFonts w:hint="eastAsia" w:ascii="方正仿宋_GBK" w:eastAsia="方正仿宋_GBK"/>
          <w:sz w:val="32"/>
          <w:szCs w:val="32"/>
          <w:shd w:val="clear" w:color="auto" w:fill="FFFFFF"/>
        </w:rPr>
        <w:t>主要原因</w:t>
      </w:r>
      <w:r>
        <w:rPr>
          <w:rFonts w:hint="eastAsia" w:ascii="方正仿宋_GBK" w:eastAsia="方正仿宋_GBK"/>
          <w:sz w:val="32"/>
          <w:szCs w:val="32"/>
          <w:shd w:val="clear" w:color="auto" w:fill="FFFFFF"/>
          <w:lang w:eastAsia="zh-CN"/>
        </w:rPr>
        <w:t>〕</w:t>
      </w:r>
      <w:r>
        <w:rPr>
          <w:rFonts w:hint="eastAsia" w:ascii="方正仿宋_GBK" w:hAnsi="方正仿宋_GBK" w:eastAsia="方正仿宋_GBK"/>
          <w:sz w:val="32"/>
          <w:szCs w:val="32"/>
        </w:rPr>
        <w:t>綦江财发[2020]595号，综合目标考核奖励补2019年62940元</w:t>
      </w:r>
      <w:r>
        <w:rPr>
          <w:rFonts w:hint="eastAsia" w:ascii="方正仿宋_GBK" w:hAnsi="方正仿宋_GBK" w:eastAsia="方正仿宋_GBK"/>
          <w:sz w:val="32"/>
          <w:szCs w:val="32"/>
          <w:lang w:eastAsia="zh-CN"/>
        </w:rPr>
        <w:t>〕</w:t>
      </w:r>
      <w:r>
        <w:rPr>
          <w:rFonts w:hint="eastAsia" w:ascii="方正仿宋_GBK" w:hAnsi="方正仿宋_GBK" w:eastAsia="方正仿宋_GBK"/>
          <w:sz w:val="32"/>
          <w:szCs w:val="32"/>
        </w:rPr>
        <w:t>綦江财发[2020]1号，普惠性生均公用经费补助专项经费32400元</w:t>
      </w:r>
      <w:r>
        <w:rPr>
          <w:rFonts w:hint="eastAsia" w:ascii="方正仿宋_GBK" w:hAnsi="方正仿宋_GBK" w:eastAsia="方正仿宋_GBK"/>
          <w:sz w:val="32"/>
          <w:szCs w:val="32"/>
          <w:lang w:eastAsia="zh-CN"/>
        </w:rPr>
        <w:t>〕</w:t>
      </w:r>
      <w:r>
        <w:rPr>
          <w:rFonts w:hint="eastAsia" w:ascii="方正仿宋_GBK" w:hAnsi="方正仿宋_GBK" w:eastAsia="方正仿宋_GBK"/>
          <w:sz w:val="32"/>
          <w:szCs w:val="32"/>
        </w:rPr>
        <w:t>綦江财发[2020]1号綦江财发（2019）688号，2020年扩大学前教育资源补助专项资金（中央资金）-附设幼儿园户外活动场地改造和附设幼儿园室内地板改造150000元；綦江财发（2020）1号綦江财发（2019）697号，2020年乡村教师岗位生活补助专项资金（中央资金）-2020年1-3季度乡村教师岗位生活补助86400元；綦江财发（2020）1号，学生营养工程／改善师生就餐条件100万元-瓦斯改天然气补助（含幼儿园）113000元；綦江财发（2020）1号綦江财发（2019）692号，綦江区2020年城乡义务教育经费保障机制中央和市级资金（市级）—2020年春期非寄宿生生活补助（非建卡）4187.5元；綦江财发（2020）1号，生均公用经费（消除挤出效应）—2020年学校保运转兜底经费45000元等。</w:t>
      </w:r>
      <w:r>
        <w:rPr>
          <w:rFonts w:hint="eastAsia" w:ascii="方正仿宋_GBK" w:eastAsia="方正仿宋_GBK"/>
          <w:sz w:val="32"/>
          <w:szCs w:val="32"/>
          <w:shd w:val="clear" w:color="auto" w:fill="FFFFFF"/>
        </w:rPr>
        <w:t>此外，年初财政拨款结转和结余165.90万元。</w:t>
      </w:r>
    </w:p>
    <w:p>
      <w:pPr>
        <w:pStyle w:val="5"/>
        <w:shd w:val="clear" w:color="auto" w:fill="FFFFFF"/>
        <w:rPr>
          <w:rFonts w:ascii="方正仿宋_GBK" w:eastAsia="方正仿宋_GBK"/>
          <w:sz w:val="32"/>
          <w:szCs w:val="32"/>
        </w:rPr>
      </w:pPr>
      <w:r>
        <w:rPr>
          <w:rStyle w:val="9"/>
          <w:rFonts w:hint="eastAsia" w:ascii="方正仿宋_GBK" w:eastAsia="方正仿宋_GBK"/>
          <w:sz w:val="32"/>
          <w:szCs w:val="32"/>
        </w:rPr>
        <w:t>3.结转结余情况。</w:t>
      </w:r>
      <w:r>
        <w:rPr>
          <w:rFonts w:hint="eastAsia" w:ascii="方正仿宋_GBK" w:eastAsia="方正仿宋_GBK"/>
          <w:sz w:val="32"/>
          <w:szCs w:val="32"/>
        </w:rPr>
        <w:t>2020年度年末一般公共预算财政拨款结转和结余89.09万元，较上年决算数增加1.63万元，增加1.86%，主要原因是本年结转的人员经费目标考核奖等减少，受疫情影响，学校工程没有结算。</w:t>
      </w:r>
    </w:p>
    <w:p>
      <w:pPr>
        <w:pStyle w:val="5"/>
        <w:shd w:val="clear" w:color="auto" w:fill="FFFFFF"/>
        <w:rPr>
          <w:rFonts w:ascii="方正仿宋_GBK" w:eastAsia="方正仿宋_GBK"/>
          <w:sz w:val="32"/>
          <w:szCs w:val="32"/>
        </w:rPr>
      </w:pPr>
      <w:r>
        <w:rPr>
          <w:rStyle w:val="9"/>
          <w:rFonts w:hint="eastAsia" w:ascii="方正仿宋_GBK" w:eastAsia="方正仿宋_GBK"/>
          <w:sz w:val="32"/>
          <w:szCs w:val="32"/>
        </w:rPr>
        <w:t>4.比较情况</w:t>
      </w:r>
      <w:r>
        <w:rPr>
          <w:rFonts w:hint="eastAsia" w:ascii="方正仿宋_GBK" w:eastAsia="方正仿宋_GBK"/>
          <w:sz w:val="32"/>
          <w:szCs w:val="32"/>
        </w:rPr>
        <w:t>。本部门2020年度一般公共预算财政拨款支出主要用于以下几个方面：</w:t>
      </w:r>
    </w:p>
    <w:p>
      <w:pPr>
        <w:spacing w:line="600" w:lineRule="exact"/>
        <w:rPr>
          <w:rFonts w:ascii="方正仿宋_GBK" w:eastAsia="方正仿宋_GBK"/>
          <w:sz w:val="32"/>
          <w:szCs w:val="32"/>
        </w:rPr>
      </w:pPr>
      <w:r>
        <w:rPr>
          <w:rFonts w:hint="eastAsia" w:ascii="方正仿宋_GBK" w:eastAsia="方正仿宋_GBK"/>
          <w:sz w:val="32"/>
          <w:szCs w:val="32"/>
        </w:rPr>
        <w:t>（1）教育支出614.27万元，占81%，较年初预算数增加95.63万 元，增长16%，主要原因是增加人员经费补发在职人员的目标考核、绩效奖、调资和学校维修项目增加。</w:t>
      </w:r>
      <w:r>
        <w:rPr>
          <w:rFonts w:hint="eastAsia" w:ascii="方正仿宋_GBK" w:eastAsia="方正仿宋_GBK"/>
          <w:sz w:val="32"/>
          <w:szCs w:val="32"/>
          <w:shd w:val="clear" w:color="auto" w:fill="FFFFFF"/>
        </w:rPr>
        <w:t>主要原因是</w:t>
      </w:r>
      <w:r>
        <w:rPr>
          <w:rFonts w:hint="eastAsia" w:ascii="方正仿宋_GBK" w:hAnsi="方正仿宋_GBK" w:eastAsia="方正仿宋_GBK"/>
          <w:sz w:val="32"/>
          <w:szCs w:val="32"/>
        </w:rPr>
        <w:t>綦江财发[2020</w:t>
      </w:r>
      <w:r>
        <w:rPr>
          <w:rFonts w:hint="eastAsia" w:ascii="方正仿宋_GBK" w:hAnsi="方正仿宋_GBK" w:eastAsia="方正仿宋_GBK"/>
          <w:sz w:val="32"/>
          <w:szCs w:val="32"/>
          <w:lang w:eastAsia="zh-CN"/>
        </w:rPr>
        <w:t>〕</w:t>
      </w:r>
      <w:r>
        <w:rPr>
          <w:rFonts w:hint="eastAsia" w:ascii="方正仿宋_GBK" w:hAnsi="方正仿宋_GBK" w:eastAsia="方正仿宋_GBK"/>
          <w:sz w:val="32"/>
          <w:szCs w:val="32"/>
        </w:rPr>
        <w:t>595号，综合目标考核奖励补2019年62940元；綦江财发[2020</w:t>
      </w:r>
      <w:r>
        <w:rPr>
          <w:rFonts w:hint="eastAsia" w:ascii="方正仿宋_GBK" w:hAnsi="方正仿宋_GBK" w:eastAsia="方正仿宋_GBK"/>
          <w:sz w:val="32"/>
          <w:szCs w:val="32"/>
          <w:lang w:eastAsia="zh-CN"/>
        </w:rPr>
        <w:t>〕</w:t>
      </w:r>
      <w:r>
        <w:rPr>
          <w:rFonts w:hint="eastAsia" w:ascii="方正仿宋_GBK" w:hAnsi="方正仿宋_GBK" w:eastAsia="方正仿宋_GBK"/>
          <w:sz w:val="32"/>
          <w:szCs w:val="32"/>
        </w:rPr>
        <w:t>1号，普惠性生均公用经费补助专项经费32400元；綦江财发[2020</w:t>
      </w:r>
      <w:r>
        <w:rPr>
          <w:rFonts w:hint="eastAsia" w:ascii="方正仿宋_GBK" w:hAnsi="方正仿宋_GBK" w:eastAsia="方正仿宋_GBK"/>
          <w:sz w:val="32"/>
          <w:szCs w:val="32"/>
          <w:lang w:eastAsia="zh-CN"/>
        </w:rPr>
        <w:t>〕</w:t>
      </w:r>
      <w:r>
        <w:rPr>
          <w:rFonts w:hint="eastAsia" w:ascii="方正仿宋_GBK" w:hAnsi="方正仿宋_GBK" w:eastAsia="方正仿宋_GBK"/>
          <w:sz w:val="32"/>
          <w:szCs w:val="32"/>
        </w:rPr>
        <w:t>1号綦江财发（2019）688号，2020年扩大学前教育资源补助专项资金（中央资金）-附设幼儿园户外活动场地改造和附设幼儿园室内地板改造150000元；綦江财发（2020）1号綦江财发（2019）697号，2020年乡村教师岗位生活补助专项资金（中央资金）-2020年1-3季度乡村教师岗位生活补助86400元；綦江财发（2020）1号，学生营养工程／改善师生就餐条件100万元-瓦斯改天然气补助（含幼儿园）113000元；綦江财发（2020）1号綦江财发（2019）692号，綦江区2020年城乡义务教育经费保障机制中央和市级资金（市级）—2020年春期非寄宿生生活补助（非建卡）4187.5元；綦江财发（2020）1号，生均公用经费（消除挤出效应）—2020年学校保运转兜底经费45000元等。</w:t>
      </w:r>
      <w:r>
        <w:rPr>
          <w:rFonts w:hint="eastAsia" w:ascii="方正仿宋_GBK" w:eastAsia="方正仿宋_GBK"/>
          <w:sz w:val="32"/>
          <w:szCs w:val="32"/>
          <w:shd w:val="clear" w:color="auto" w:fill="FFFFFF"/>
        </w:rPr>
        <w:t>此外，年初财政拨款结转和结余165.90万元。</w:t>
      </w:r>
    </w:p>
    <w:p>
      <w:pPr>
        <w:pStyle w:val="5"/>
        <w:shd w:val="clear" w:color="auto" w:fill="FFFFFF"/>
        <w:rPr>
          <w:rFonts w:ascii="方正仿宋_GBK" w:eastAsia="方正仿宋_GBK"/>
          <w:sz w:val="32"/>
          <w:szCs w:val="32"/>
        </w:rPr>
      </w:pPr>
      <w:r>
        <w:rPr>
          <w:rFonts w:hint="eastAsia" w:ascii="方正仿宋_GBK" w:eastAsia="方正仿宋_GBK"/>
          <w:sz w:val="32"/>
          <w:szCs w:val="32"/>
        </w:rPr>
        <w:t>（2）社会保障与就业支出99.07万元，占11%，较年初预算数增加11.12万 元，增长13%，主要原因是退休人员补发目标考核和在职人员调资增加的养老保险和职业年金等。</w:t>
      </w:r>
    </w:p>
    <w:p>
      <w:pPr>
        <w:pStyle w:val="5"/>
        <w:shd w:val="clear" w:color="auto" w:fill="FFFFFF"/>
        <w:rPr>
          <w:rFonts w:ascii="方正仿宋_GBK" w:eastAsia="方正仿宋_GBK"/>
          <w:sz w:val="32"/>
          <w:szCs w:val="32"/>
        </w:rPr>
      </w:pPr>
      <w:r>
        <w:rPr>
          <w:rFonts w:hint="eastAsia" w:ascii="方正仿宋_GBK" w:eastAsia="方正仿宋_GBK"/>
          <w:sz w:val="32"/>
          <w:szCs w:val="32"/>
        </w:rPr>
        <w:t>（3）卫生健康支出30.01万元，占4%，较年初预算数减少5.39万元，下降15%，主要原因是在职人员比年初预算减少2人，调出2人，退休1人，</w:t>
      </w:r>
      <w:r>
        <w:rPr>
          <w:rFonts w:hint="eastAsia" w:ascii="方正仿宋_GBK" w:eastAsia="方正仿宋_GBK"/>
          <w:sz w:val="32"/>
          <w:szCs w:val="32"/>
          <w:shd w:val="clear" w:color="auto" w:fill="FFFFFF"/>
        </w:rPr>
        <w:t>人员减少，</w:t>
      </w:r>
      <w:r>
        <w:rPr>
          <w:rFonts w:hint="eastAsia" w:ascii="方正仿宋_GBK" w:eastAsia="方正仿宋_GBK"/>
          <w:sz w:val="32"/>
          <w:szCs w:val="32"/>
        </w:rPr>
        <w:t>卫生健康</w:t>
      </w:r>
      <w:r>
        <w:rPr>
          <w:rFonts w:hint="eastAsia" w:ascii="方正仿宋_GBK" w:eastAsia="方正仿宋_GBK"/>
          <w:sz w:val="32"/>
          <w:szCs w:val="32"/>
          <w:shd w:val="clear" w:color="auto" w:fill="FFFFFF"/>
        </w:rPr>
        <w:t>支出相应减少</w:t>
      </w:r>
      <w:r>
        <w:rPr>
          <w:rFonts w:hint="eastAsia" w:ascii="方正仿宋_GBK" w:eastAsia="方正仿宋_GBK"/>
          <w:sz w:val="32"/>
          <w:szCs w:val="32"/>
        </w:rPr>
        <w:t>。</w:t>
      </w:r>
    </w:p>
    <w:p>
      <w:pPr>
        <w:pStyle w:val="5"/>
        <w:shd w:val="clear" w:color="auto" w:fill="FFFFFF"/>
        <w:rPr>
          <w:rFonts w:ascii="方正仿宋_GBK" w:eastAsia="方正仿宋_GBK"/>
          <w:sz w:val="32"/>
          <w:szCs w:val="32"/>
        </w:rPr>
      </w:pPr>
      <w:r>
        <w:rPr>
          <w:rFonts w:hint="eastAsia" w:ascii="方正仿宋_GBK" w:eastAsia="方正仿宋_GBK"/>
          <w:sz w:val="32"/>
          <w:szCs w:val="32"/>
        </w:rPr>
        <w:t>（4）住房保障支出40.09万元，占5%，较年初预算数减少0.92万 元，下降2%，主要原因是在职人员比年初预算减少2人，调出2人，退休1人，</w:t>
      </w:r>
      <w:r>
        <w:rPr>
          <w:rFonts w:hint="eastAsia" w:ascii="方正仿宋_GBK" w:eastAsia="方正仿宋_GBK"/>
          <w:sz w:val="32"/>
          <w:szCs w:val="32"/>
          <w:shd w:val="clear" w:color="auto" w:fill="FFFFFF"/>
        </w:rPr>
        <w:t>人员减少，住房保障经费支出相应减少</w:t>
      </w:r>
      <w:r>
        <w:rPr>
          <w:rFonts w:hint="eastAsia" w:ascii="方正仿宋_GBK" w:eastAsia="方正仿宋_GBK"/>
          <w:sz w:val="32"/>
          <w:szCs w:val="32"/>
        </w:rPr>
        <w:t>。</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（四）一般公共预算财政拨款基本支出决算情况说明</w:t>
      </w:r>
    </w:p>
    <w:p>
      <w:pPr>
        <w:pStyle w:val="5"/>
        <w:shd w:val="clear" w:color="auto" w:fill="FFFFFF"/>
        <w:rPr>
          <w:rFonts w:ascii="方正仿宋_GBK" w:eastAsia="方正仿宋_GBK"/>
          <w:sz w:val="32"/>
          <w:szCs w:val="32"/>
        </w:rPr>
      </w:pPr>
      <w:r>
        <w:rPr>
          <w:rFonts w:hint="eastAsia" w:eastAsia="方正仿宋_GBK"/>
          <w:sz w:val="32"/>
          <w:szCs w:val="32"/>
        </w:rPr>
        <w:t> </w:t>
      </w:r>
      <w:r>
        <w:rPr>
          <w:rFonts w:hint="eastAsia" w:ascii="方正仿宋_GBK" w:eastAsia="方正仿宋_GBK"/>
          <w:sz w:val="32"/>
          <w:szCs w:val="32"/>
        </w:rPr>
        <w:t xml:space="preserve"> 2020年度一般公共财政拨款基本支出784.44万元。其中：人员经费673.17万元，较上年决算数减少52.49万 元，下降7.23%，主要原因</w:t>
      </w:r>
      <w:r>
        <w:rPr>
          <w:rFonts w:hint="eastAsia" w:ascii="方正仿宋_GBK" w:eastAsia="方正仿宋_GBK"/>
          <w:sz w:val="32"/>
          <w:szCs w:val="32"/>
          <w:shd w:val="clear" w:color="auto" w:fill="FFFFFF"/>
        </w:rPr>
        <w:t>是初中一年级学生合并到打通中学上，老师也调走，人数有减少，人员经费支出相应减少。人员经费用途主要包括基本工资、津补贴、绩效工资等。。</w:t>
      </w:r>
      <w:r>
        <w:rPr>
          <w:rFonts w:hint="eastAsia" w:ascii="方正仿宋_GBK" w:eastAsia="方正仿宋_GBK"/>
          <w:sz w:val="32"/>
          <w:szCs w:val="32"/>
        </w:rPr>
        <w:t>公用经费33.39万元，较上年决算数减少11.94万元，下降26.34%，主要原因是本年度学生人数减少、教师人数减少，公用经费跟着减少。公用经费用途主要包括</w:t>
      </w:r>
      <w:r>
        <w:rPr>
          <w:rFonts w:hint="eastAsia" w:ascii="方正仿宋_GBK" w:eastAsia="方正仿宋_GBK"/>
          <w:sz w:val="32"/>
          <w:szCs w:val="32"/>
          <w:shd w:val="clear" w:color="auto" w:fill="FFFFFF"/>
        </w:rPr>
        <w:t>办公费、培训费、差旅费、维修费、劳务费、水电费等。</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（五）政府性基金预算收支决算情况说明</w:t>
      </w:r>
    </w:p>
    <w:p>
      <w:pPr>
        <w:pStyle w:val="5"/>
        <w:shd w:val="clear" w:color="auto" w:fill="FFFFFF"/>
        <w:rPr>
          <w:rFonts w:ascii="方正仿宋_GBK" w:eastAsia="方正仿宋_GBK"/>
          <w:sz w:val="32"/>
          <w:szCs w:val="32"/>
        </w:rPr>
      </w:pPr>
      <w:r>
        <w:rPr>
          <w:rFonts w:hint="eastAsia" w:eastAsia="方正仿宋_GBK"/>
          <w:sz w:val="32"/>
          <w:szCs w:val="32"/>
        </w:rPr>
        <w:t> </w:t>
      </w:r>
      <w:r>
        <w:rPr>
          <w:rFonts w:hint="eastAsia" w:ascii="方正仿宋_GBK" w:eastAsia="方正仿宋_GBK"/>
          <w:sz w:val="32"/>
          <w:szCs w:val="32"/>
        </w:rPr>
        <w:t>本部门2020年度无政府性基金预算财政拨款收支。</w:t>
      </w:r>
    </w:p>
    <w:p>
      <w:pPr>
        <w:pStyle w:val="5"/>
        <w:shd w:val="clear" w:color="auto" w:fill="FFFFFF"/>
      </w:pPr>
      <w:r>
        <w:rPr>
          <w:rStyle w:val="9"/>
          <w:rFonts w:hint="eastAsia" w:ascii="方正楷体_GBK" w:eastAsia="方正楷体_GBK"/>
          <w:sz w:val="32"/>
          <w:szCs w:val="32"/>
        </w:rPr>
        <w:t>（六）国有资本经营预算财政拨款</w:t>
      </w:r>
      <w:r>
        <w:rPr>
          <w:rStyle w:val="9"/>
          <w:rFonts w:hint="eastAsia" w:ascii="方正楷体_GBK" w:eastAsia="方正楷体_GBK"/>
          <w:sz w:val="32"/>
          <w:szCs w:val="32"/>
          <w:lang w:eastAsia="zh-CN"/>
        </w:rPr>
        <w:t>支出</w:t>
      </w:r>
      <w:bookmarkStart w:id="0" w:name="_GoBack"/>
      <w:bookmarkEnd w:id="0"/>
      <w:r>
        <w:rPr>
          <w:rStyle w:val="9"/>
          <w:rFonts w:hint="eastAsia" w:ascii="方正楷体_GBK" w:eastAsia="方正楷体_GBK"/>
          <w:sz w:val="32"/>
          <w:szCs w:val="32"/>
        </w:rPr>
        <w:t>决算情况说明。</w:t>
      </w:r>
      <w:r>
        <w:rPr>
          <w:rFonts w:hint="eastAsia"/>
          <w:sz w:val="27"/>
          <w:szCs w:val="27"/>
        </w:rPr>
        <w:br w:type="textWrapping"/>
      </w:r>
      <w:r>
        <w:rPr>
          <w:rFonts w:hint="eastAsia"/>
          <w:sz w:val="27"/>
          <w:szCs w:val="27"/>
        </w:rPr>
        <w:t> </w:t>
      </w:r>
      <w:r>
        <w:rPr>
          <w:rFonts w:hint="eastAsia" w:ascii="方正仿宋_GBK" w:eastAsia="方正仿宋_GBK"/>
          <w:sz w:val="32"/>
          <w:szCs w:val="32"/>
        </w:rPr>
        <w:t>本部门2020年度无国有资本经营预算财政拨款支出</w:t>
      </w:r>
      <w:r>
        <w:rPr>
          <w:rFonts w:hint="eastAsia"/>
          <w:b/>
          <w:bCs/>
        </w:rPr>
        <w:t>。</w:t>
      </w:r>
    </w:p>
    <w:p>
      <w:pPr>
        <w:pStyle w:val="5"/>
        <w:shd w:val="clear" w:color="auto" w:fill="FFFFFF"/>
        <w:rPr>
          <w:rFonts w:ascii="方正黑体_GBK" w:eastAsia="方正黑体_GBK"/>
          <w:sz w:val="32"/>
          <w:szCs w:val="32"/>
        </w:rPr>
      </w:pPr>
      <w:r>
        <w:rPr>
          <w:rStyle w:val="9"/>
          <w:rFonts w:hint="eastAsia" w:ascii="方正黑体_GBK" w:eastAsia="方正黑体_GBK"/>
          <w:sz w:val="32"/>
          <w:szCs w:val="32"/>
        </w:rPr>
        <w:t>三、“三公”经费情况说明</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（一）“三公”经费支出总体情况说明</w:t>
      </w:r>
    </w:p>
    <w:p>
      <w:pPr>
        <w:pStyle w:val="5"/>
        <w:shd w:val="clear" w:color="auto" w:fill="FFFFFF"/>
        <w:rPr>
          <w:rFonts w:ascii="方正仿宋_GBK" w:eastAsia="方正仿宋_GBK"/>
          <w:sz w:val="32"/>
          <w:szCs w:val="32"/>
        </w:rPr>
      </w:pPr>
      <w:r>
        <w:rPr>
          <w:rFonts w:hint="eastAsia" w:ascii="方正仿宋_GBK" w:eastAsia="方正仿宋_GBK"/>
          <w:sz w:val="32"/>
          <w:szCs w:val="32"/>
        </w:rPr>
        <w:t>2020年度“三公”经费支出共计0.00万元，主要原因是</w:t>
      </w:r>
      <w:r>
        <w:rPr>
          <w:rFonts w:hint="eastAsia" w:ascii="方正仿宋_GBK" w:eastAsia="方正仿宋_GBK"/>
          <w:sz w:val="32"/>
          <w:szCs w:val="32"/>
          <w:shd w:val="clear" w:color="auto" w:fill="FFFFFF"/>
        </w:rPr>
        <w:t>本单位2020年度未发生“三公”经费支出。</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（二）“三公”经费分项支出情况</w:t>
      </w:r>
    </w:p>
    <w:p>
      <w:pPr>
        <w:pStyle w:val="5"/>
        <w:shd w:val="clear" w:color="auto" w:fill="FFFFFF"/>
        <w:rPr>
          <w:rFonts w:ascii="方正仿宋_GBK" w:eastAsia="方正仿宋_GBK"/>
          <w:sz w:val="32"/>
          <w:szCs w:val="32"/>
        </w:rPr>
      </w:pPr>
      <w:r>
        <w:rPr>
          <w:rFonts w:hint="eastAsia" w:ascii="方正仿宋_GBK" w:eastAsia="方正仿宋_GBK"/>
          <w:sz w:val="32"/>
          <w:szCs w:val="32"/>
        </w:rPr>
        <w:t>2020年度本部门因公出国（境）费用0.00万元，</w:t>
      </w:r>
      <w:r>
        <w:rPr>
          <w:rFonts w:hint="eastAsia" w:ascii="方正仿宋_GBK" w:eastAsia="方正仿宋_GBK"/>
          <w:sz w:val="32"/>
          <w:szCs w:val="32"/>
          <w:shd w:val="clear" w:color="auto" w:fill="FFFFFF"/>
        </w:rPr>
        <w:t>本单位2020年度未发生因公出国（境）费用。</w:t>
      </w:r>
      <w:r>
        <w:rPr>
          <w:rFonts w:hint="eastAsia" w:ascii="方正仿宋_GBK" w:eastAsia="方正仿宋_GBK"/>
          <w:sz w:val="32"/>
          <w:szCs w:val="32"/>
        </w:rPr>
        <w:t xml:space="preserve"> </w:t>
      </w:r>
    </w:p>
    <w:p>
      <w:pPr>
        <w:pStyle w:val="5"/>
        <w:shd w:val="clear" w:color="auto" w:fill="FFFFFF"/>
        <w:rPr>
          <w:rFonts w:ascii="方正仿宋_GBK" w:eastAsia="方正仿宋_GBK"/>
          <w:sz w:val="32"/>
          <w:szCs w:val="32"/>
        </w:rPr>
      </w:pPr>
      <w:r>
        <w:rPr>
          <w:rFonts w:hint="eastAsia" w:ascii="方正仿宋_GBK" w:eastAsia="方正仿宋_GBK"/>
          <w:sz w:val="32"/>
          <w:szCs w:val="32"/>
        </w:rPr>
        <w:t>公务车购置费0.00万元，</w:t>
      </w:r>
      <w:r>
        <w:rPr>
          <w:rFonts w:hint="eastAsia" w:ascii="方正仿宋_GBK" w:eastAsia="方正仿宋_GBK"/>
          <w:sz w:val="32"/>
          <w:szCs w:val="32"/>
          <w:shd w:val="clear" w:color="auto" w:fill="FFFFFF"/>
        </w:rPr>
        <w:t>本单位2020年度未发生公务车购置费。</w:t>
      </w:r>
    </w:p>
    <w:p>
      <w:pPr>
        <w:pStyle w:val="5"/>
        <w:shd w:val="clear" w:color="auto" w:fill="FFFFFF"/>
        <w:rPr>
          <w:rFonts w:ascii="方正仿宋_GBK" w:eastAsia="方正仿宋_GBK"/>
          <w:sz w:val="32"/>
          <w:szCs w:val="32"/>
        </w:rPr>
      </w:pPr>
      <w:r>
        <w:rPr>
          <w:rFonts w:hint="eastAsia" w:ascii="方正仿宋_GBK" w:eastAsia="方正仿宋_GBK"/>
          <w:sz w:val="32"/>
          <w:szCs w:val="32"/>
        </w:rPr>
        <w:t>公务车运行维护费0.00万元，</w:t>
      </w:r>
      <w:r>
        <w:rPr>
          <w:rFonts w:hint="eastAsia" w:ascii="方正仿宋_GBK" w:eastAsia="方正仿宋_GBK"/>
          <w:sz w:val="32"/>
          <w:szCs w:val="32"/>
          <w:shd w:val="clear" w:color="auto" w:fill="FFFFFF"/>
        </w:rPr>
        <w:t>本单位2020年度未发生公务车运行维护费。</w:t>
      </w:r>
      <w:r>
        <w:rPr>
          <w:rFonts w:hint="eastAsia" w:ascii="方正仿宋_GBK" w:eastAsia="方正仿宋_GBK"/>
          <w:sz w:val="32"/>
          <w:szCs w:val="32"/>
        </w:rPr>
        <w:t xml:space="preserve"> </w:t>
      </w:r>
    </w:p>
    <w:p>
      <w:pPr>
        <w:pStyle w:val="5"/>
        <w:shd w:val="clear" w:color="auto" w:fill="FFFFFF"/>
        <w:rPr>
          <w:rFonts w:ascii="方正仿宋_GBK" w:eastAsia="方正仿宋_GBK"/>
          <w:sz w:val="32"/>
          <w:szCs w:val="32"/>
        </w:rPr>
      </w:pPr>
      <w:r>
        <w:rPr>
          <w:rFonts w:hint="eastAsia" w:ascii="方正仿宋_GBK" w:eastAsia="方正仿宋_GBK"/>
          <w:sz w:val="32"/>
          <w:szCs w:val="32"/>
        </w:rPr>
        <w:t>公务接待费0.00万元，</w:t>
      </w:r>
      <w:r>
        <w:rPr>
          <w:rFonts w:hint="eastAsia" w:ascii="方正仿宋_GBK" w:eastAsia="方正仿宋_GBK"/>
          <w:sz w:val="32"/>
          <w:szCs w:val="32"/>
          <w:shd w:val="clear" w:color="auto" w:fill="FFFFFF"/>
        </w:rPr>
        <w:t>本单位2020年度未发生公务接待费。</w:t>
      </w:r>
      <w:r>
        <w:rPr>
          <w:rFonts w:hint="eastAsia" w:ascii="方正仿宋_GBK" w:eastAsia="方正仿宋_GBK"/>
          <w:sz w:val="32"/>
          <w:szCs w:val="32"/>
        </w:rPr>
        <w:t xml:space="preserve"> </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（三）“三公”经费实物量情况</w:t>
      </w:r>
    </w:p>
    <w:p>
      <w:pPr>
        <w:pStyle w:val="5"/>
        <w:shd w:val="clear" w:color="auto" w:fill="FFFFFF"/>
        <w:rPr>
          <w:rFonts w:ascii="方正仿宋_GBK" w:eastAsia="方正仿宋_GBK"/>
          <w:sz w:val="32"/>
          <w:szCs w:val="32"/>
        </w:rPr>
      </w:pPr>
      <w:r>
        <w:rPr>
          <w:rFonts w:hint="eastAsia" w:ascii="方正仿宋_GBK" w:eastAsia="方正仿宋_GBK"/>
          <w:sz w:val="32"/>
          <w:szCs w:val="32"/>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pPr>
        <w:pStyle w:val="5"/>
        <w:shd w:val="clear" w:color="auto" w:fill="FFFFFF"/>
        <w:rPr>
          <w:rFonts w:ascii="方正黑体_GBK" w:eastAsia="方正黑体_GBK"/>
          <w:sz w:val="32"/>
          <w:szCs w:val="32"/>
        </w:rPr>
      </w:pPr>
      <w:r>
        <w:rPr>
          <w:rStyle w:val="9"/>
          <w:rFonts w:hint="eastAsia" w:ascii="方正黑体_GBK" w:eastAsia="方正黑体_GBK"/>
          <w:sz w:val="32"/>
          <w:szCs w:val="32"/>
        </w:rPr>
        <w:t>四、其他需要说明的事项</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（一）机关运行经费情况说明</w:t>
      </w:r>
    </w:p>
    <w:p>
      <w:pPr>
        <w:pStyle w:val="5"/>
        <w:shd w:val="clear" w:color="auto" w:fill="FFFFFF"/>
        <w:rPr>
          <w:rFonts w:ascii="方正仿宋_GBK" w:eastAsia="方正仿宋_GBK"/>
          <w:sz w:val="32"/>
          <w:szCs w:val="32"/>
        </w:rPr>
      </w:pPr>
      <w:r>
        <w:rPr>
          <w:rFonts w:hint="eastAsia" w:ascii="方正仿宋_GBK" w:eastAsia="方正仿宋_GBK"/>
          <w:sz w:val="32"/>
          <w:szCs w:val="32"/>
        </w:rPr>
        <w:t>2020年度本部门机关运行经费支出0.00万元，按照部门决算列报口径，我单位不在机关运行经费统计范围之内。</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（二）国有资产占用情况说明</w:t>
      </w:r>
    </w:p>
    <w:p>
      <w:pPr>
        <w:pStyle w:val="5"/>
        <w:shd w:val="clear" w:color="auto" w:fill="FFFFFF"/>
        <w:rPr>
          <w:rFonts w:ascii="方正仿宋_GBK" w:eastAsia="方正仿宋_GBK"/>
          <w:sz w:val="32"/>
          <w:szCs w:val="32"/>
        </w:rPr>
      </w:pPr>
      <w:r>
        <w:rPr>
          <w:rFonts w:hint="eastAsia" w:ascii="方正仿宋_GBK" w:eastAsia="方正仿宋_GBK"/>
          <w:sz w:val="32"/>
          <w:szCs w:val="32"/>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（三）政府采购支出情况说明</w:t>
      </w:r>
    </w:p>
    <w:p>
      <w:pPr>
        <w:pStyle w:val="5"/>
        <w:shd w:val="clear" w:color="auto" w:fill="FFFFFF"/>
        <w:rPr>
          <w:rFonts w:ascii="方正仿宋_GBK" w:eastAsia="方正仿宋_GBK"/>
          <w:sz w:val="32"/>
          <w:szCs w:val="32"/>
        </w:rPr>
      </w:pPr>
      <w:r>
        <w:rPr>
          <w:rFonts w:hint="eastAsia" w:ascii="方正仿宋_GBK" w:eastAsia="方正仿宋_GBK"/>
          <w:sz w:val="32"/>
          <w:szCs w:val="32"/>
        </w:rPr>
        <w:t>2020年度本部门政府采购支出总额0.00万元，其中：政府采购货物支出0.00万元、政府采购工程支出0.00万元、政府采购服务支出0.00万元。授予中小企业合同金额0.00万元，占政府采购支出总额的0%，其中：授予小微企业合同金额 0.00万元，占政府采购支出总额的0%。</w:t>
      </w:r>
      <w:r>
        <w:rPr>
          <w:rFonts w:hint="eastAsia" w:ascii="方正仿宋_GBK" w:eastAsia="方正仿宋_GBK"/>
          <w:sz w:val="32"/>
          <w:szCs w:val="32"/>
          <w:shd w:val="clear" w:color="auto" w:fill="FFFFFF"/>
        </w:rPr>
        <w:t>20</w:t>
      </w:r>
      <w:r>
        <w:rPr>
          <w:rFonts w:hint="eastAsia" w:ascii="方正仿宋_GBK" w:eastAsia="方正仿宋_GBK"/>
          <w:sz w:val="32"/>
          <w:szCs w:val="32"/>
        </w:rPr>
        <w:t>20年度我单位未发生政府采购事项，无相关经费支出。</w:t>
      </w:r>
    </w:p>
    <w:p>
      <w:pPr>
        <w:pStyle w:val="5"/>
        <w:shd w:val="clear" w:color="auto" w:fill="FFFFFF"/>
        <w:rPr>
          <w:rFonts w:ascii="方正黑体_GBK" w:eastAsia="方正黑体_GBK"/>
          <w:sz w:val="32"/>
          <w:szCs w:val="32"/>
        </w:rPr>
      </w:pPr>
      <w:r>
        <w:rPr>
          <w:rStyle w:val="9"/>
          <w:rFonts w:hint="eastAsia" w:ascii="方正黑体_GBK" w:eastAsia="方正黑体_GBK"/>
          <w:sz w:val="32"/>
          <w:szCs w:val="32"/>
        </w:rPr>
        <w:t>五、预算绩效管理情况说明</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（一）预算绩效管理工作开展情况</w:t>
      </w:r>
    </w:p>
    <w:tbl>
      <w:tblPr>
        <w:tblStyle w:val="6"/>
        <w:tblW w:w="19388" w:type="dxa"/>
        <w:tblInd w:w="93" w:type="dxa"/>
        <w:tblLayout w:type="autofit"/>
        <w:tblCellMar>
          <w:top w:w="0" w:type="dxa"/>
          <w:left w:w="108" w:type="dxa"/>
          <w:bottom w:w="0" w:type="dxa"/>
          <w:right w:w="108" w:type="dxa"/>
        </w:tblCellMar>
      </w:tblPr>
      <w:tblGrid>
        <w:gridCol w:w="12782"/>
        <w:gridCol w:w="1048"/>
        <w:gridCol w:w="675"/>
        <w:gridCol w:w="3004"/>
        <w:gridCol w:w="1793"/>
        <w:gridCol w:w="86"/>
      </w:tblGrid>
      <w:tr>
        <w:tblPrEx>
          <w:tblCellMar>
            <w:top w:w="0" w:type="dxa"/>
            <w:left w:w="108" w:type="dxa"/>
            <w:bottom w:w="0" w:type="dxa"/>
            <w:right w:w="108" w:type="dxa"/>
          </w:tblCellMar>
        </w:tblPrEx>
        <w:trPr>
          <w:gridAfter w:val="1"/>
          <w:wAfter w:w="86" w:type="dxa"/>
          <w:trHeight w:val="285" w:hRule="atLeast"/>
        </w:trPr>
        <w:tc>
          <w:tcPr>
            <w:tcW w:w="12782" w:type="dxa"/>
            <w:tcBorders>
              <w:top w:val="nil"/>
              <w:left w:val="nil"/>
              <w:bottom w:val="nil"/>
              <w:right w:val="nil"/>
            </w:tcBorders>
            <w:shd w:val="clear" w:color="auto" w:fill="auto"/>
          </w:tcPr>
          <w:tbl>
            <w:tblPr>
              <w:tblStyle w:val="6"/>
              <w:tblW w:w="10347" w:type="dxa"/>
              <w:tblInd w:w="93" w:type="dxa"/>
              <w:tblLayout w:type="autofit"/>
              <w:tblCellMar>
                <w:top w:w="0" w:type="dxa"/>
                <w:left w:w="108" w:type="dxa"/>
                <w:bottom w:w="0" w:type="dxa"/>
                <w:right w:w="108" w:type="dxa"/>
              </w:tblCellMar>
            </w:tblPr>
            <w:tblGrid>
              <w:gridCol w:w="1135"/>
              <w:gridCol w:w="1373"/>
              <w:gridCol w:w="201"/>
              <w:gridCol w:w="96"/>
              <w:gridCol w:w="797"/>
              <w:gridCol w:w="890"/>
              <w:gridCol w:w="994"/>
              <w:gridCol w:w="844"/>
              <w:gridCol w:w="1162"/>
              <w:gridCol w:w="845"/>
              <w:gridCol w:w="844"/>
              <w:gridCol w:w="1166"/>
            </w:tblGrid>
            <w:tr>
              <w:tblPrEx>
                <w:tblCellMar>
                  <w:top w:w="0" w:type="dxa"/>
                  <w:left w:w="108" w:type="dxa"/>
                  <w:bottom w:w="0" w:type="dxa"/>
                  <w:right w:w="108" w:type="dxa"/>
                </w:tblCellMar>
              </w:tblPrEx>
              <w:trPr>
                <w:trHeight w:val="405" w:hRule="atLeast"/>
              </w:trPr>
              <w:tc>
                <w:tcPr>
                  <w:tcW w:w="10347" w:type="dxa"/>
                  <w:gridSpan w:val="12"/>
                  <w:tcBorders>
                    <w:top w:val="nil"/>
                    <w:left w:val="nil"/>
                    <w:bottom w:val="nil"/>
                    <w:right w:val="nil"/>
                  </w:tcBorders>
                  <w:vAlign w:val="center"/>
                </w:tcPr>
                <w:p>
                  <w:pPr>
                    <w:ind w:firstLine="964" w:firstLineChars="300"/>
                    <w:textAlignment w:val="center"/>
                    <w:rPr>
                      <w:rFonts w:cs="Times New Roman"/>
                      <w:b/>
                      <w:bCs/>
                      <w:color w:val="000000"/>
                      <w:sz w:val="32"/>
                      <w:szCs w:val="32"/>
                    </w:rPr>
                  </w:pPr>
                  <w:r>
                    <w:rPr>
                      <w:rFonts w:hint="eastAsia" w:cs="Times New Roman"/>
                      <w:b/>
                      <w:bCs/>
                      <w:color w:val="000000"/>
                      <w:sz w:val="32"/>
                      <w:szCs w:val="32"/>
                    </w:rPr>
                    <w:t>2020年度部门（单位）项目支出绩效自评表</w:t>
                  </w:r>
                </w:p>
              </w:tc>
            </w:tr>
            <w:tr>
              <w:tblPrEx>
                <w:tblCellMar>
                  <w:top w:w="0" w:type="dxa"/>
                  <w:left w:w="108" w:type="dxa"/>
                  <w:bottom w:w="0" w:type="dxa"/>
                  <w:right w:w="108" w:type="dxa"/>
                </w:tblCellMar>
              </w:tblPrEx>
              <w:trPr>
                <w:gridAfter w:val="6"/>
                <w:wAfter w:w="5855" w:type="dxa"/>
                <w:trHeight w:val="300" w:hRule="atLeast"/>
              </w:trPr>
              <w:tc>
                <w:tcPr>
                  <w:tcW w:w="4492" w:type="dxa"/>
                  <w:gridSpan w:val="6"/>
                  <w:tcBorders>
                    <w:top w:val="nil"/>
                    <w:left w:val="nil"/>
                    <w:bottom w:val="nil"/>
                    <w:right w:val="nil"/>
                  </w:tcBorders>
                  <w:vAlign w:val="center"/>
                </w:tcPr>
                <w:p>
                  <w:pPr>
                    <w:jc w:val="center"/>
                    <w:textAlignment w:val="center"/>
                    <w:rPr>
                      <w:rFonts w:cs="Times New Roman"/>
                      <w:b/>
                      <w:bCs/>
                      <w:color w:val="000000"/>
                      <w:sz w:val="20"/>
                      <w:szCs w:val="20"/>
                    </w:rPr>
                  </w:pPr>
                  <w:r>
                    <w:rPr>
                      <w:rFonts w:hint="eastAsia" w:cs="Times New Roman"/>
                      <w:b/>
                      <w:bCs/>
                      <w:color w:val="000000"/>
                      <w:sz w:val="20"/>
                      <w:szCs w:val="20"/>
                    </w:rPr>
                    <w:t>填表单位（盖章）：重庆市綦江区逢春学校</w:t>
                  </w:r>
                </w:p>
              </w:tc>
            </w:tr>
            <w:tr>
              <w:tblPrEx>
                <w:tblCellMar>
                  <w:top w:w="0" w:type="dxa"/>
                  <w:left w:w="108" w:type="dxa"/>
                  <w:bottom w:w="0" w:type="dxa"/>
                  <w:right w:w="108" w:type="dxa"/>
                </w:tblCellMar>
              </w:tblPrEx>
              <w:trPr>
                <w:gridAfter w:val="2"/>
                <w:wAfter w:w="2010" w:type="dxa"/>
                <w:trHeight w:val="400" w:hRule="atLeast"/>
              </w:trPr>
              <w:tc>
                <w:tcPr>
                  <w:tcW w:w="113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项目名称</w:t>
                  </w:r>
                </w:p>
              </w:tc>
              <w:tc>
                <w:tcPr>
                  <w:tcW w:w="3357" w:type="dxa"/>
                  <w:gridSpan w:val="5"/>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乡村教师岗位生活补助</w:t>
                  </w:r>
                </w:p>
              </w:tc>
              <w:tc>
                <w:tcPr>
                  <w:tcW w:w="1838"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自评总分</w:t>
                  </w:r>
                  <w:r>
                    <w:rPr>
                      <w:rFonts w:hint="eastAsia" w:cs="Times New Roman"/>
                      <w:color w:val="000000"/>
                      <w:sz w:val="20"/>
                      <w:szCs w:val="20"/>
                    </w:rPr>
                    <w:br w:type="textWrapping"/>
                  </w:r>
                  <w:r>
                    <w:rPr>
                      <w:rFonts w:hint="eastAsia" w:cs="Times New Roman"/>
                      <w:color w:val="000000"/>
                      <w:sz w:val="20"/>
                      <w:szCs w:val="20"/>
                    </w:rPr>
                    <w:t>（分)</w:t>
                  </w:r>
                </w:p>
              </w:tc>
              <w:tc>
                <w:tcPr>
                  <w:tcW w:w="2007"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99.7</w:t>
                  </w:r>
                </w:p>
              </w:tc>
            </w:tr>
            <w:tr>
              <w:tblPrEx>
                <w:tblCellMar>
                  <w:top w:w="0" w:type="dxa"/>
                  <w:left w:w="108" w:type="dxa"/>
                  <w:bottom w:w="0" w:type="dxa"/>
                  <w:right w:w="108" w:type="dxa"/>
                </w:tblCellMar>
              </w:tblPrEx>
              <w:trPr>
                <w:gridAfter w:val="2"/>
                <w:wAfter w:w="2010" w:type="dxa"/>
                <w:trHeight w:val="480" w:hRule="atLeast"/>
              </w:trPr>
              <w:tc>
                <w:tcPr>
                  <w:tcW w:w="113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业务主管部门</w:t>
                  </w:r>
                </w:p>
              </w:tc>
              <w:tc>
                <w:tcPr>
                  <w:tcW w:w="3357" w:type="dxa"/>
                  <w:gridSpan w:val="5"/>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重庆市綦江区教育委员会</w:t>
                  </w:r>
                </w:p>
              </w:tc>
              <w:tc>
                <w:tcPr>
                  <w:tcW w:w="1838"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联系人</w:t>
                  </w:r>
                  <w:r>
                    <w:rPr>
                      <w:rFonts w:hint="eastAsia" w:cs="Times New Roman"/>
                      <w:color w:val="000000"/>
                      <w:sz w:val="20"/>
                      <w:szCs w:val="20"/>
                    </w:rPr>
                    <w:br w:type="textWrapping"/>
                  </w:r>
                  <w:r>
                    <w:rPr>
                      <w:rFonts w:hint="eastAsia" w:cs="Times New Roman"/>
                      <w:color w:val="000000"/>
                      <w:sz w:val="20"/>
                      <w:szCs w:val="20"/>
                    </w:rPr>
                    <w:t>及电话</w:t>
                  </w:r>
                </w:p>
              </w:tc>
              <w:tc>
                <w:tcPr>
                  <w:tcW w:w="2007"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蒋中文1</w:t>
                  </w:r>
                  <w:r>
                    <w:rPr>
                      <w:rFonts w:cs="Times New Roman"/>
                      <w:color w:val="000000"/>
                      <w:sz w:val="20"/>
                      <w:szCs w:val="20"/>
                    </w:rPr>
                    <w:t>3637738048</w:t>
                  </w:r>
                </w:p>
              </w:tc>
            </w:tr>
            <w:tr>
              <w:tblPrEx>
                <w:tblCellMar>
                  <w:top w:w="0" w:type="dxa"/>
                  <w:left w:w="108" w:type="dxa"/>
                  <w:bottom w:w="0" w:type="dxa"/>
                  <w:right w:w="108" w:type="dxa"/>
                </w:tblCellMar>
              </w:tblPrEx>
              <w:trPr>
                <w:gridAfter w:val="2"/>
                <w:wAfter w:w="2010" w:type="dxa"/>
                <w:trHeight w:val="696" w:hRule="atLeast"/>
              </w:trPr>
              <w:tc>
                <w:tcPr>
                  <w:tcW w:w="1135" w:type="dxa"/>
                  <w:vMerge w:val="restart"/>
                  <w:tcBorders>
                    <w:top w:val="nil"/>
                    <w:left w:val="single" w:color="000000" w:sz="4" w:space="0"/>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项目资金（万元）</w:t>
                  </w:r>
                </w:p>
              </w:tc>
              <w:tc>
                <w:tcPr>
                  <w:tcW w:w="1373" w:type="dxa"/>
                  <w:tcBorders>
                    <w:top w:val="single" w:color="000000" w:sz="4" w:space="0"/>
                    <w:left w:val="nil"/>
                    <w:bottom w:val="single" w:color="000000" w:sz="4" w:space="0"/>
                    <w:right w:val="nil"/>
                  </w:tcBorders>
                  <w:vAlign w:val="center"/>
                </w:tcPr>
                <w:p>
                  <w:pPr>
                    <w:rPr>
                      <w:rFonts w:cs="Times New Roman"/>
                      <w:color w:val="000000"/>
                      <w:sz w:val="20"/>
                      <w:szCs w:val="20"/>
                    </w:rPr>
                  </w:pPr>
                </w:p>
              </w:tc>
              <w:tc>
                <w:tcPr>
                  <w:tcW w:w="1984"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全年预算数（A）</w:t>
                  </w:r>
                </w:p>
              </w:tc>
              <w:tc>
                <w:tcPr>
                  <w:tcW w:w="1838"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全年执行数（B）</w:t>
                  </w:r>
                </w:p>
              </w:tc>
              <w:tc>
                <w:tcPr>
                  <w:tcW w:w="1162"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执行率%（B/A）</w:t>
                  </w:r>
                </w:p>
              </w:tc>
              <w:tc>
                <w:tcPr>
                  <w:tcW w:w="845"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执行率得分（分）</w:t>
                  </w:r>
                </w:p>
              </w:tc>
            </w:tr>
            <w:tr>
              <w:tblPrEx>
                <w:tblCellMar>
                  <w:top w:w="0" w:type="dxa"/>
                  <w:left w:w="108" w:type="dxa"/>
                  <w:bottom w:w="0" w:type="dxa"/>
                  <w:right w:w="108" w:type="dxa"/>
                </w:tblCellMar>
              </w:tblPrEx>
              <w:trPr>
                <w:gridAfter w:val="2"/>
                <w:wAfter w:w="2010" w:type="dxa"/>
                <w:trHeight w:val="285" w:hRule="atLeast"/>
              </w:trPr>
              <w:tc>
                <w:tcPr>
                  <w:tcW w:w="1135" w:type="dxa"/>
                  <w:vMerge w:val="continue"/>
                  <w:tcBorders>
                    <w:top w:val="nil"/>
                    <w:left w:val="single" w:color="000000" w:sz="4" w:space="0"/>
                    <w:bottom w:val="single" w:color="000000" w:sz="4" w:space="0"/>
                    <w:right w:val="single" w:color="000000" w:sz="4" w:space="0"/>
                  </w:tcBorders>
                  <w:vAlign w:val="center"/>
                </w:tcPr>
                <w:p>
                  <w:pPr>
                    <w:rPr>
                      <w:rFonts w:cs="Times New Roman"/>
                      <w:color w:val="000000"/>
                      <w:sz w:val="20"/>
                      <w:szCs w:val="20"/>
                    </w:rPr>
                  </w:pPr>
                </w:p>
              </w:tc>
              <w:tc>
                <w:tcPr>
                  <w:tcW w:w="1373" w:type="dxa"/>
                  <w:tcBorders>
                    <w:top w:val="single" w:color="000000" w:sz="4" w:space="0"/>
                    <w:left w:val="nil"/>
                    <w:bottom w:val="single" w:color="000000" w:sz="4" w:space="0"/>
                    <w:right w:val="single" w:color="000000" w:sz="4" w:space="0"/>
                  </w:tcBorders>
                  <w:vAlign w:val="center"/>
                </w:tcPr>
                <w:p>
                  <w:pPr>
                    <w:textAlignment w:val="center"/>
                    <w:rPr>
                      <w:rFonts w:cs="Times New Roman"/>
                      <w:color w:val="000000"/>
                      <w:sz w:val="20"/>
                      <w:szCs w:val="20"/>
                    </w:rPr>
                  </w:pPr>
                  <w:r>
                    <w:rPr>
                      <w:rFonts w:hint="eastAsia" w:cs="Times New Roman"/>
                      <w:color w:val="000000"/>
                      <w:sz w:val="20"/>
                      <w:szCs w:val="20"/>
                    </w:rPr>
                    <w:t>年度资金总额：</w:t>
                  </w:r>
                </w:p>
              </w:tc>
              <w:tc>
                <w:tcPr>
                  <w:tcW w:w="1984" w:type="dxa"/>
                  <w:gridSpan w:val="4"/>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cs="Times New Roman"/>
                      <w:color w:val="000000"/>
                      <w:sz w:val="20"/>
                      <w:szCs w:val="20"/>
                    </w:rPr>
                    <w:t>12.18</w:t>
                  </w:r>
                </w:p>
              </w:tc>
              <w:tc>
                <w:tcPr>
                  <w:tcW w:w="1838"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cs="Times New Roman"/>
                      <w:color w:val="000000"/>
                      <w:sz w:val="20"/>
                      <w:szCs w:val="20"/>
                    </w:rPr>
                    <w:t>11.76</w:t>
                  </w:r>
                </w:p>
              </w:tc>
              <w:tc>
                <w:tcPr>
                  <w:tcW w:w="1162"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97</w:t>
                  </w:r>
                </w:p>
              </w:tc>
              <w:tc>
                <w:tcPr>
                  <w:tcW w:w="845"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9.7</w:t>
                  </w:r>
                </w:p>
              </w:tc>
            </w:tr>
            <w:tr>
              <w:tblPrEx>
                <w:tblCellMar>
                  <w:top w:w="0" w:type="dxa"/>
                  <w:left w:w="108" w:type="dxa"/>
                  <w:bottom w:w="0" w:type="dxa"/>
                  <w:right w:w="108" w:type="dxa"/>
                </w:tblCellMar>
              </w:tblPrEx>
              <w:trPr>
                <w:gridAfter w:val="2"/>
                <w:wAfter w:w="2010" w:type="dxa"/>
                <w:trHeight w:val="285" w:hRule="atLeast"/>
              </w:trPr>
              <w:tc>
                <w:tcPr>
                  <w:tcW w:w="1135" w:type="dxa"/>
                  <w:vMerge w:val="continue"/>
                  <w:tcBorders>
                    <w:top w:val="nil"/>
                    <w:left w:val="single" w:color="000000" w:sz="4" w:space="0"/>
                    <w:bottom w:val="single" w:color="000000" w:sz="4" w:space="0"/>
                    <w:right w:val="single" w:color="000000" w:sz="4" w:space="0"/>
                  </w:tcBorders>
                  <w:vAlign w:val="center"/>
                </w:tcPr>
                <w:p>
                  <w:pPr>
                    <w:rPr>
                      <w:rFonts w:cs="Times New Roman"/>
                      <w:color w:val="000000"/>
                      <w:sz w:val="20"/>
                      <w:szCs w:val="20"/>
                    </w:rPr>
                  </w:pPr>
                </w:p>
              </w:tc>
              <w:tc>
                <w:tcPr>
                  <w:tcW w:w="1373"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其中：中央补助</w:t>
                  </w:r>
                </w:p>
              </w:tc>
              <w:tc>
                <w:tcPr>
                  <w:tcW w:w="1984" w:type="dxa"/>
                  <w:gridSpan w:val="4"/>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w:t>
                  </w:r>
                  <w:r>
                    <w:rPr>
                      <w:rFonts w:cs="Times New Roman"/>
                      <w:color w:val="000000"/>
                      <w:sz w:val="20"/>
                      <w:szCs w:val="20"/>
                    </w:rPr>
                    <w:t>2.18</w:t>
                  </w:r>
                </w:p>
              </w:tc>
              <w:tc>
                <w:tcPr>
                  <w:tcW w:w="1838"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w:t>
                  </w:r>
                  <w:r>
                    <w:rPr>
                      <w:rFonts w:cs="Times New Roman"/>
                      <w:color w:val="000000"/>
                      <w:sz w:val="20"/>
                      <w:szCs w:val="20"/>
                    </w:rPr>
                    <w:t>1.76</w:t>
                  </w:r>
                </w:p>
              </w:tc>
              <w:tc>
                <w:tcPr>
                  <w:tcW w:w="1162"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97</w:t>
                  </w:r>
                </w:p>
              </w:tc>
              <w:tc>
                <w:tcPr>
                  <w:tcW w:w="845"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w:t>
                  </w:r>
                </w:p>
              </w:tc>
            </w:tr>
            <w:tr>
              <w:tblPrEx>
                <w:tblCellMar>
                  <w:top w:w="0" w:type="dxa"/>
                  <w:left w:w="108" w:type="dxa"/>
                  <w:bottom w:w="0" w:type="dxa"/>
                  <w:right w:w="108" w:type="dxa"/>
                </w:tblCellMar>
              </w:tblPrEx>
              <w:trPr>
                <w:gridAfter w:val="2"/>
                <w:wAfter w:w="2010" w:type="dxa"/>
                <w:trHeight w:val="285" w:hRule="atLeast"/>
              </w:trPr>
              <w:tc>
                <w:tcPr>
                  <w:tcW w:w="1135" w:type="dxa"/>
                  <w:vMerge w:val="continue"/>
                  <w:tcBorders>
                    <w:top w:val="nil"/>
                    <w:left w:val="single" w:color="000000" w:sz="4" w:space="0"/>
                    <w:bottom w:val="single" w:color="000000" w:sz="4" w:space="0"/>
                    <w:right w:val="single" w:color="000000" w:sz="4" w:space="0"/>
                  </w:tcBorders>
                  <w:vAlign w:val="center"/>
                </w:tcPr>
                <w:p>
                  <w:pPr>
                    <w:rPr>
                      <w:rFonts w:cs="Times New Roman"/>
                      <w:color w:val="000000"/>
                      <w:sz w:val="20"/>
                      <w:szCs w:val="20"/>
                    </w:rPr>
                  </w:pPr>
                </w:p>
              </w:tc>
              <w:tc>
                <w:tcPr>
                  <w:tcW w:w="1373"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 xml:space="preserve">  市级补助</w:t>
                  </w:r>
                </w:p>
              </w:tc>
              <w:tc>
                <w:tcPr>
                  <w:tcW w:w="1984" w:type="dxa"/>
                  <w:gridSpan w:val="4"/>
                  <w:tcBorders>
                    <w:top w:val="single" w:color="000000" w:sz="4" w:space="0"/>
                    <w:left w:val="nil"/>
                    <w:bottom w:val="single" w:color="000000" w:sz="4" w:space="0"/>
                    <w:right w:val="single" w:color="000000" w:sz="4" w:space="0"/>
                  </w:tcBorders>
                  <w:vAlign w:val="center"/>
                </w:tcPr>
                <w:p>
                  <w:pPr>
                    <w:jc w:val="center"/>
                    <w:rPr>
                      <w:rFonts w:cs="Times New Roman"/>
                      <w:color w:val="000000"/>
                      <w:sz w:val="20"/>
                      <w:szCs w:val="20"/>
                    </w:rPr>
                  </w:pPr>
                </w:p>
              </w:tc>
              <w:tc>
                <w:tcPr>
                  <w:tcW w:w="1838" w:type="dxa"/>
                  <w:gridSpan w:val="2"/>
                  <w:tcBorders>
                    <w:top w:val="single" w:color="000000" w:sz="4" w:space="0"/>
                    <w:left w:val="nil"/>
                    <w:bottom w:val="single" w:color="000000" w:sz="4" w:space="0"/>
                    <w:right w:val="single" w:color="000000" w:sz="4" w:space="0"/>
                  </w:tcBorders>
                  <w:vAlign w:val="center"/>
                </w:tcPr>
                <w:p>
                  <w:pPr>
                    <w:jc w:val="center"/>
                    <w:rPr>
                      <w:rFonts w:cs="Times New Roman"/>
                      <w:color w:val="000000"/>
                      <w:sz w:val="20"/>
                      <w:szCs w:val="20"/>
                    </w:rPr>
                  </w:pPr>
                </w:p>
              </w:tc>
              <w:tc>
                <w:tcPr>
                  <w:tcW w:w="1162" w:type="dxa"/>
                  <w:tcBorders>
                    <w:top w:val="single" w:color="000000" w:sz="4" w:space="0"/>
                    <w:left w:val="nil"/>
                    <w:bottom w:val="single" w:color="000000" w:sz="4" w:space="0"/>
                    <w:right w:val="single" w:color="000000" w:sz="4" w:space="0"/>
                  </w:tcBorders>
                  <w:vAlign w:val="center"/>
                </w:tcPr>
                <w:p>
                  <w:pPr>
                    <w:jc w:val="center"/>
                    <w:rPr>
                      <w:rFonts w:cs="Times New Roman"/>
                      <w:color w:val="000000"/>
                      <w:sz w:val="20"/>
                      <w:szCs w:val="20"/>
                    </w:rPr>
                  </w:pPr>
                </w:p>
              </w:tc>
              <w:tc>
                <w:tcPr>
                  <w:tcW w:w="845"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w:t>
                  </w:r>
                </w:p>
              </w:tc>
            </w:tr>
            <w:tr>
              <w:tblPrEx>
                <w:tblCellMar>
                  <w:top w:w="0" w:type="dxa"/>
                  <w:left w:w="108" w:type="dxa"/>
                  <w:bottom w:w="0" w:type="dxa"/>
                  <w:right w:w="108" w:type="dxa"/>
                </w:tblCellMar>
              </w:tblPrEx>
              <w:trPr>
                <w:gridAfter w:val="2"/>
                <w:wAfter w:w="2010" w:type="dxa"/>
                <w:trHeight w:val="285" w:hRule="atLeast"/>
              </w:trPr>
              <w:tc>
                <w:tcPr>
                  <w:tcW w:w="1135" w:type="dxa"/>
                  <w:vMerge w:val="continue"/>
                  <w:tcBorders>
                    <w:top w:val="nil"/>
                    <w:left w:val="single" w:color="000000" w:sz="4" w:space="0"/>
                    <w:bottom w:val="single" w:color="000000" w:sz="4" w:space="0"/>
                    <w:right w:val="single" w:color="000000" w:sz="4" w:space="0"/>
                  </w:tcBorders>
                  <w:vAlign w:val="center"/>
                </w:tcPr>
                <w:p>
                  <w:pPr>
                    <w:rPr>
                      <w:rFonts w:cs="Times New Roman"/>
                      <w:color w:val="000000"/>
                      <w:sz w:val="20"/>
                      <w:szCs w:val="20"/>
                    </w:rPr>
                  </w:pPr>
                </w:p>
              </w:tc>
              <w:tc>
                <w:tcPr>
                  <w:tcW w:w="1373"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 xml:space="preserve">  区级资金</w:t>
                  </w:r>
                </w:p>
              </w:tc>
              <w:tc>
                <w:tcPr>
                  <w:tcW w:w="1984" w:type="dxa"/>
                  <w:gridSpan w:val="4"/>
                  <w:tcBorders>
                    <w:top w:val="single" w:color="000000" w:sz="4" w:space="0"/>
                    <w:left w:val="nil"/>
                    <w:bottom w:val="single" w:color="000000" w:sz="4" w:space="0"/>
                    <w:right w:val="single" w:color="000000" w:sz="4" w:space="0"/>
                  </w:tcBorders>
                  <w:vAlign w:val="center"/>
                </w:tcPr>
                <w:p>
                  <w:pPr>
                    <w:jc w:val="center"/>
                    <w:rPr>
                      <w:rFonts w:cs="Times New Roman"/>
                      <w:color w:val="000000"/>
                      <w:sz w:val="20"/>
                      <w:szCs w:val="20"/>
                    </w:rPr>
                  </w:pPr>
                </w:p>
              </w:tc>
              <w:tc>
                <w:tcPr>
                  <w:tcW w:w="1838" w:type="dxa"/>
                  <w:gridSpan w:val="2"/>
                  <w:tcBorders>
                    <w:top w:val="single" w:color="000000" w:sz="4" w:space="0"/>
                    <w:left w:val="nil"/>
                    <w:bottom w:val="single" w:color="000000" w:sz="4" w:space="0"/>
                    <w:right w:val="single" w:color="000000" w:sz="4" w:space="0"/>
                  </w:tcBorders>
                  <w:vAlign w:val="center"/>
                </w:tcPr>
                <w:p>
                  <w:pPr>
                    <w:jc w:val="center"/>
                    <w:rPr>
                      <w:rFonts w:cs="Times New Roman"/>
                      <w:color w:val="000000"/>
                      <w:sz w:val="20"/>
                      <w:szCs w:val="20"/>
                    </w:rPr>
                  </w:pPr>
                </w:p>
              </w:tc>
              <w:tc>
                <w:tcPr>
                  <w:tcW w:w="1162" w:type="dxa"/>
                  <w:tcBorders>
                    <w:top w:val="single" w:color="000000" w:sz="4" w:space="0"/>
                    <w:left w:val="nil"/>
                    <w:bottom w:val="single" w:color="000000" w:sz="4" w:space="0"/>
                    <w:right w:val="single" w:color="000000" w:sz="4" w:space="0"/>
                  </w:tcBorders>
                  <w:vAlign w:val="center"/>
                </w:tcPr>
                <w:p>
                  <w:pPr>
                    <w:jc w:val="center"/>
                    <w:rPr>
                      <w:rFonts w:cs="Times New Roman"/>
                      <w:color w:val="000000"/>
                      <w:sz w:val="20"/>
                      <w:szCs w:val="20"/>
                    </w:rPr>
                  </w:pPr>
                </w:p>
              </w:tc>
              <w:tc>
                <w:tcPr>
                  <w:tcW w:w="845"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w:t>
                  </w:r>
                </w:p>
              </w:tc>
            </w:tr>
            <w:tr>
              <w:tblPrEx>
                <w:tblCellMar>
                  <w:top w:w="0" w:type="dxa"/>
                  <w:left w:w="108" w:type="dxa"/>
                  <w:bottom w:w="0" w:type="dxa"/>
                  <w:right w:w="108" w:type="dxa"/>
                </w:tblCellMar>
              </w:tblPrEx>
              <w:trPr>
                <w:gridAfter w:val="2"/>
                <w:wAfter w:w="2010" w:type="dxa"/>
                <w:trHeight w:val="285" w:hRule="atLeast"/>
              </w:trPr>
              <w:tc>
                <w:tcPr>
                  <w:tcW w:w="1135" w:type="dxa"/>
                  <w:vMerge w:val="continue"/>
                  <w:tcBorders>
                    <w:top w:val="nil"/>
                    <w:left w:val="single" w:color="000000" w:sz="4" w:space="0"/>
                    <w:bottom w:val="single" w:color="000000" w:sz="4" w:space="0"/>
                    <w:right w:val="single" w:color="000000" w:sz="4" w:space="0"/>
                  </w:tcBorders>
                  <w:vAlign w:val="center"/>
                </w:tcPr>
                <w:p>
                  <w:pPr>
                    <w:rPr>
                      <w:rFonts w:cs="Times New Roman"/>
                      <w:color w:val="000000"/>
                      <w:sz w:val="20"/>
                      <w:szCs w:val="20"/>
                    </w:rPr>
                  </w:pPr>
                </w:p>
              </w:tc>
              <w:tc>
                <w:tcPr>
                  <w:tcW w:w="1373"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 xml:space="preserve">   其他资金</w:t>
                  </w:r>
                </w:p>
              </w:tc>
              <w:tc>
                <w:tcPr>
                  <w:tcW w:w="1984" w:type="dxa"/>
                  <w:gridSpan w:val="4"/>
                  <w:tcBorders>
                    <w:top w:val="single" w:color="000000" w:sz="4" w:space="0"/>
                    <w:left w:val="nil"/>
                    <w:bottom w:val="single" w:color="000000" w:sz="4" w:space="0"/>
                    <w:right w:val="single" w:color="000000" w:sz="4" w:space="0"/>
                  </w:tcBorders>
                  <w:vAlign w:val="center"/>
                </w:tcPr>
                <w:p>
                  <w:pPr>
                    <w:jc w:val="center"/>
                    <w:rPr>
                      <w:rFonts w:cs="Times New Roman"/>
                      <w:color w:val="000000"/>
                      <w:sz w:val="20"/>
                      <w:szCs w:val="20"/>
                    </w:rPr>
                  </w:pPr>
                </w:p>
              </w:tc>
              <w:tc>
                <w:tcPr>
                  <w:tcW w:w="1838" w:type="dxa"/>
                  <w:gridSpan w:val="2"/>
                  <w:tcBorders>
                    <w:top w:val="single" w:color="000000" w:sz="4" w:space="0"/>
                    <w:left w:val="nil"/>
                    <w:bottom w:val="single" w:color="000000" w:sz="4" w:space="0"/>
                    <w:right w:val="single" w:color="000000" w:sz="4" w:space="0"/>
                  </w:tcBorders>
                  <w:vAlign w:val="center"/>
                </w:tcPr>
                <w:p>
                  <w:pPr>
                    <w:jc w:val="center"/>
                    <w:rPr>
                      <w:rFonts w:cs="Times New Roman"/>
                      <w:color w:val="000000"/>
                      <w:sz w:val="20"/>
                      <w:szCs w:val="20"/>
                    </w:rPr>
                  </w:pPr>
                </w:p>
              </w:tc>
              <w:tc>
                <w:tcPr>
                  <w:tcW w:w="1162" w:type="dxa"/>
                  <w:tcBorders>
                    <w:top w:val="single" w:color="000000" w:sz="4" w:space="0"/>
                    <w:left w:val="nil"/>
                    <w:bottom w:val="single" w:color="000000" w:sz="4" w:space="0"/>
                    <w:right w:val="single" w:color="000000" w:sz="4" w:space="0"/>
                  </w:tcBorders>
                  <w:vAlign w:val="center"/>
                </w:tcPr>
                <w:p>
                  <w:pPr>
                    <w:jc w:val="center"/>
                    <w:rPr>
                      <w:rFonts w:cs="Times New Roman"/>
                      <w:color w:val="000000"/>
                      <w:sz w:val="20"/>
                      <w:szCs w:val="20"/>
                    </w:rPr>
                  </w:pPr>
                </w:p>
              </w:tc>
              <w:tc>
                <w:tcPr>
                  <w:tcW w:w="845"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w:t>
                  </w:r>
                </w:p>
              </w:tc>
            </w:tr>
            <w:tr>
              <w:tblPrEx>
                <w:tblCellMar>
                  <w:top w:w="0" w:type="dxa"/>
                  <w:left w:w="108" w:type="dxa"/>
                  <w:bottom w:w="0" w:type="dxa"/>
                  <w:right w:w="108" w:type="dxa"/>
                </w:tblCellMar>
              </w:tblPrEx>
              <w:trPr>
                <w:gridAfter w:val="2"/>
                <w:wAfter w:w="2010" w:type="dxa"/>
                <w:trHeight w:val="360" w:hRule="atLeast"/>
              </w:trPr>
              <w:tc>
                <w:tcPr>
                  <w:tcW w:w="1135" w:type="dxa"/>
                  <w:vMerge w:val="restart"/>
                  <w:tcBorders>
                    <w:top w:val="nil"/>
                    <w:left w:val="single" w:color="000000" w:sz="4" w:space="0"/>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年度总体目标</w:t>
                  </w:r>
                </w:p>
              </w:tc>
              <w:tc>
                <w:tcPr>
                  <w:tcW w:w="3357" w:type="dxa"/>
                  <w:gridSpan w:val="5"/>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年初设定目标</w:t>
                  </w:r>
                </w:p>
              </w:tc>
              <w:tc>
                <w:tcPr>
                  <w:tcW w:w="3845" w:type="dxa"/>
                  <w:gridSpan w:val="4"/>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全年目标实际完成情况</w:t>
                  </w:r>
                </w:p>
              </w:tc>
            </w:tr>
            <w:tr>
              <w:tblPrEx>
                <w:tblCellMar>
                  <w:top w:w="0" w:type="dxa"/>
                  <w:left w:w="108" w:type="dxa"/>
                  <w:bottom w:w="0" w:type="dxa"/>
                  <w:right w:w="108" w:type="dxa"/>
                </w:tblCellMar>
              </w:tblPrEx>
              <w:trPr>
                <w:gridAfter w:val="2"/>
                <w:wAfter w:w="2010" w:type="dxa"/>
                <w:trHeight w:val="1080" w:hRule="atLeast"/>
              </w:trPr>
              <w:tc>
                <w:tcPr>
                  <w:tcW w:w="1135" w:type="dxa"/>
                  <w:vMerge w:val="continue"/>
                  <w:tcBorders>
                    <w:top w:val="nil"/>
                    <w:left w:val="single" w:color="000000" w:sz="4" w:space="0"/>
                    <w:bottom w:val="single" w:color="000000" w:sz="4" w:space="0"/>
                    <w:right w:val="single" w:color="000000" w:sz="4" w:space="0"/>
                  </w:tcBorders>
                  <w:vAlign w:val="center"/>
                </w:tcPr>
                <w:p>
                  <w:pPr>
                    <w:rPr>
                      <w:rFonts w:cs="Times New Roman"/>
                      <w:color w:val="000000"/>
                      <w:sz w:val="20"/>
                      <w:szCs w:val="20"/>
                    </w:rPr>
                  </w:pPr>
                </w:p>
              </w:tc>
              <w:tc>
                <w:tcPr>
                  <w:tcW w:w="3357" w:type="dxa"/>
                  <w:gridSpan w:val="5"/>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准备解决学校2</w:t>
                  </w:r>
                  <w:r>
                    <w:rPr>
                      <w:rFonts w:cs="Times New Roman"/>
                      <w:color w:val="000000"/>
                      <w:sz w:val="20"/>
                      <w:szCs w:val="20"/>
                    </w:rPr>
                    <w:t>9</w:t>
                  </w:r>
                  <w:r>
                    <w:rPr>
                      <w:rFonts w:hint="eastAsia" w:cs="Times New Roman"/>
                      <w:color w:val="000000"/>
                      <w:sz w:val="20"/>
                      <w:szCs w:val="20"/>
                    </w:rPr>
                    <w:t>名乡村教师生活补助，每人每月</w:t>
                  </w:r>
                  <w:r>
                    <w:rPr>
                      <w:rFonts w:cs="Times New Roman"/>
                      <w:color w:val="000000"/>
                      <w:sz w:val="20"/>
                      <w:szCs w:val="20"/>
                    </w:rPr>
                    <w:t>35</w:t>
                  </w:r>
                  <w:r>
                    <w:rPr>
                      <w:rFonts w:hint="eastAsia" w:cs="Times New Roman"/>
                      <w:color w:val="000000"/>
                      <w:sz w:val="20"/>
                      <w:szCs w:val="20"/>
                    </w:rPr>
                    <w:t>0元，促进教育均衡发展，保证乡村教师稳定率100%，达到“招得来，留得住，干得好”的效果。</w:t>
                  </w:r>
                </w:p>
              </w:tc>
              <w:tc>
                <w:tcPr>
                  <w:tcW w:w="3845" w:type="dxa"/>
                  <w:gridSpan w:val="4"/>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解决了学校2</w:t>
                  </w:r>
                  <w:r>
                    <w:rPr>
                      <w:rFonts w:cs="Times New Roman"/>
                      <w:color w:val="000000"/>
                      <w:sz w:val="20"/>
                      <w:szCs w:val="20"/>
                    </w:rPr>
                    <w:t>9</w:t>
                  </w:r>
                  <w:r>
                    <w:rPr>
                      <w:rFonts w:hint="eastAsia" w:cs="Times New Roman"/>
                      <w:color w:val="000000"/>
                      <w:sz w:val="20"/>
                      <w:szCs w:val="20"/>
                    </w:rPr>
                    <w:t>名乡村教师生活补助，每人每月3</w:t>
                  </w:r>
                  <w:r>
                    <w:rPr>
                      <w:rFonts w:cs="Times New Roman"/>
                      <w:color w:val="000000"/>
                      <w:sz w:val="20"/>
                      <w:szCs w:val="20"/>
                    </w:rPr>
                    <w:t>5</w:t>
                  </w:r>
                  <w:r>
                    <w:rPr>
                      <w:rFonts w:hint="eastAsia" w:cs="Times New Roman"/>
                      <w:color w:val="000000"/>
                      <w:sz w:val="20"/>
                      <w:szCs w:val="20"/>
                    </w:rPr>
                    <w:t>0元，促进了教育均衡发展，保证了乡村教师稳定率100%，达到了“招得来，留得住，干得好”的满意效果。</w:t>
                  </w:r>
                </w:p>
              </w:tc>
            </w:tr>
            <w:tr>
              <w:tblPrEx>
                <w:tblCellMar>
                  <w:top w:w="0" w:type="dxa"/>
                  <w:left w:w="108" w:type="dxa"/>
                  <w:bottom w:w="0" w:type="dxa"/>
                  <w:right w:w="108" w:type="dxa"/>
                </w:tblCellMar>
              </w:tblPrEx>
              <w:trPr>
                <w:gridAfter w:val="2"/>
                <w:wAfter w:w="2010" w:type="dxa"/>
                <w:trHeight w:val="480" w:hRule="atLeast"/>
              </w:trPr>
              <w:tc>
                <w:tcPr>
                  <w:tcW w:w="1135" w:type="dxa"/>
                  <w:vMerge w:val="restart"/>
                  <w:tcBorders>
                    <w:top w:val="nil"/>
                    <w:left w:val="single" w:color="000000" w:sz="4" w:space="0"/>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绩效指标</w:t>
                  </w:r>
                </w:p>
              </w:tc>
              <w:tc>
                <w:tcPr>
                  <w:tcW w:w="1574"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指标名称</w:t>
                  </w:r>
                  <w:r>
                    <w:rPr>
                      <w:rFonts w:hint="eastAsia" w:cs="Times New Roman"/>
                      <w:color w:val="000000"/>
                      <w:sz w:val="20"/>
                      <w:szCs w:val="20"/>
                    </w:rPr>
                    <w:br w:type="textWrapping"/>
                  </w:r>
                  <w:r>
                    <w:rPr>
                      <w:rFonts w:hint="eastAsia" w:cs="Times New Roman"/>
                      <w:color w:val="000000"/>
                      <w:sz w:val="20"/>
                      <w:szCs w:val="20"/>
                    </w:rPr>
                    <w:t>（三级指标）</w:t>
                  </w:r>
                </w:p>
              </w:tc>
              <w:tc>
                <w:tcPr>
                  <w:tcW w:w="893" w:type="dxa"/>
                  <w:gridSpan w:val="2"/>
                  <w:tcBorders>
                    <w:top w:val="single" w:color="000000" w:sz="4" w:space="0"/>
                    <w:left w:val="nil"/>
                    <w:bottom w:val="single" w:color="000000" w:sz="4" w:space="0"/>
                    <w:right w:val="single" w:color="000000" w:sz="4" w:space="0"/>
                  </w:tcBorders>
                  <w:noWrap/>
                  <w:vAlign w:val="center"/>
                </w:tcPr>
                <w:p>
                  <w:pPr>
                    <w:jc w:val="center"/>
                    <w:textAlignment w:val="center"/>
                    <w:rPr>
                      <w:rFonts w:cs="Times New Roman"/>
                      <w:color w:val="000000"/>
                      <w:sz w:val="20"/>
                      <w:szCs w:val="20"/>
                    </w:rPr>
                  </w:pPr>
                  <w:r>
                    <w:rPr>
                      <w:rFonts w:hint="eastAsia" w:cs="Times New Roman"/>
                      <w:color w:val="000000"/>
                      <w:sz w:val="20"/>
                      <w:szCs w:val="20"/>
                    </w:rPr>
                    <w:t>计量单位</w:t>
                  </w:r>
                </w:p>
              </w:tc>
              <w:tc>
                <w:tcPr>
                  <w:tcW w:w="890"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指标权重</w:t>
                  </w:r>
                </w:p>
              </w:tc>
              <w:tc>
                <w:tcPr>
                  <w:tcW w:w="994"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指标值</w:t>
                  </w:r>
                </w:p>
              </w:tc>
              <w:tc>
                <w:tcPr>
                  <w:tcW w:w="844"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全年完成值</w:t>
                  </w:r>
                </w:p>
              </w:tc>
              <w:tc>
                <w:tcPr>
                  <w:tcW w:w="1162"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得分系数（%）</w:t>
                  </w:r>
                </w:p>
              </w:tc>
              <w:tc>
                <w:tcPr>
                  <w:tcW w:w="845"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指标得分</w:t>
                  </w:r>
                  <w:r>
                    <w:rPr>
                      <w:rFonts w:hint="eastAsia" w:cs="Times New Roman"/>
                      <w:color w:val="000000"/>
                      <w:sz w:val="20"/>
                      <w:szCs w:val="20"/>
                    </w:rPr>
                    <w:br w:type="textWrapping"/>
                  </w:r>
                  <w:r>
                    <w:rPr>
                      <w:rFonts w:hint="eastAsia" w:cs="Times New Roman"/>
                      <w:color w:val="000000"/>
                      <w:sz w:val="20"/>
                      <w:szCs w:val="20"/>
                    </w:rPr>
                    <w:t>（分)</w:t>
                  </w:r>
                </w:p>
              </w:tc>
            </w:tr>
            <w:tr>
              <w:tblPrEx>
                <w:tblCellMar>
                  <w:top w:w="0" w:type="dxa"/>
                  <w:left w:w="108" w:type="dxa"/>
                  <w:bottom w:w="0" w:type="dxa"/>
                  <w:right w:w="108" w:type="dxa"/>
                </w:tblCellMar>
              </w:tblPrEx>
              <w:trPr>
                <w:gridAfter w:val="2"/>
                <w:wAfter w:w="2010" w:type="dxa"/>
                <w:trHeight w:val="440" w:hRule="atLeast"/>
              </w:trPr>
              <w:tc>
                <w:tcPr>
                  <w:tcW w:w="1135" w:type="dxa"/>
                  <w:vMerge w:val="continue"/>
                  <w:tcBorders>
                    <w:top w:val="nil"/>
                    <w:left w:val="single" w:color="000000" w:sz="4" w:space="0"/>
                    <w:bottom w:val="single" w:color="000000" w:sz="4" w:space="0"/>
                    <w:right w:val="single" w:color="000000" w:sz="4" w:space="0"/>
                  </w:tcBorders>
                  <w:vAlign w:val="center"/>
                </w:tcPr>
                <w:p>
                  <w:pPr>
                    <w:rPr>
                      <w:rFonts w:cs="Times New Roman"/>
                      <w:color w:val="000000"/>
                      <w:sz w:val="20"/>
                      <w:szCs w:val="20"/>
                    </w:rPr>
                  </w:pPr>
                </w:p>
              </w:tc>
              <w:tc>
                <w:tcPr>
                  <w:tcW w:w="1574"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受益教师数</w:t>
                  </w:r>
                </w:p>
              </w:tc>
              <w:tc>
                <w:tcPr>
                  <w:tcW w:w="893"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人</w:t>
                  </w:r>
                </w:p>
              </w:tc>
              <w:tc>
                <w:tcPr>
                  <w:tcW w:w="890"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20</w:t>
                  </w:r>
                </w:p>
              </w:tc>
              <w:tc>
                <w:tcPr>
                  <w:tcW w:w="994"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cs="Times New Roman"/>
                      <w:color w:val="000000"/>
                      <w:sz w:val="20"/>
                      <w:szCs w:val="20"/>
                    </w:rPr>
                    <w:t>29</w:t>
                  </w:r>
                </w:p>
              </w:tc>
              <w:tc>
                <w:tcPr>
                  <w:tcW w:w="844"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cs="Times New Roman"/>
                      <w:color w:val="000000"/>
                      <w:sz w:val="20"/>
                      <w:szCs w:val="20"/>
                    </w:rPr>
                    <w:t>29</w:t>
                  </w:r>
                </w:p>
              </w:tc>
              <w:tc>
                <w:tcPr>
                  <w:tcW w:w="1162"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845"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20</w:t>
                  </w:r>
                </w:p>
              </w:tc>
            </w:tr>
            <w:tr>
              <w:tblPrEx>
                <w:tblCellMar>
                  <w:top w:w="0" w:type="dxa"/>
                  <w:left w:w="108" w:type="dxa"/>
                  <w:bottom w:w="0" w:type="dxa"/>
                  <w:right w:w="108" w:type="dxa"/>
                </w:tblCellMar>
              </w:tblPrEx>
              <w:trPr>
                <w:gridAfter w:val="2"/>
                <w:wAfter w:w="2010" w:type="dxa"/>
                <w:trHeight w:val="360" w:hRule="atLeast"/>
              </w:trPr>
              <w:tc>
                <w:tcPr>
                  <w:tcW w:w="1135" w:type="dxa"/>
                  <w:vMerge w:val="continue"/>
                  <w:tcBorders>
                    <w:top w:val="nil"/>
                    <w:left w:val="single" w:color="000000" w:sz="4" w:space="0"/>
                    <w:bottom w:val="single" w:color="000000" w:sz="4" w:space="0"/>
                    <w:right w:val="single" w:color="000000" w:sz="4" w:space="0"/>
                  </w:tcBorders>
                  <w:vAlign w:val="center"/>
                </w:tcPr>
                <w:p>
                  <w:pPr>
                    <w:rPr>
                      <w:rFonts w:cs="Times New Roman"/>
                      <w:color w:val="000000"/>
                      <w:sz w:val="20"/>
                      <w:szCs w:val="20"/>
                    </w:rPr>
                  </w:pPr>
                </w:p>
              </w:tc>
              <w:tc>
                <w:tcPr>
                  <w:tcW w:w="1574"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补助标准</w:t>
                  </w:r>
                </w:p>
              </w:tc>
              <w:tc>
                <w:tcPr>
                  <w:tcW w:w="893"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元/月</w:t>
                  </w:r>
                </w:p>
              </w:tc>
              <w:tc>
                <w:tcPr>
                  <w:tcW w:w="890"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w:t>
                  </w:r>
                </w:p>
              </w:tc>
              <w:tc>
                <w:tcPr>
                  <w:tcW w:w="994" w:type="dxa"/>
                  <w:tcBorders>
                    <w:top w:val="single" w:color="000000" w:sz="4" w:space="0"/>
                    <w:left w:val="nil"/>
                    <w:bottom w:val="single" w:color="000000" w:sz="4" w:space="0"/>
                    <w:right w:val="single" w:color="000000" w:sz="4" w:space="0"/>
                  </w:tcBorders>
                  <w:noWrap/>
                  <w:vAlign w:val="center"/>
                </w:tcPr>
                <w:p>
                  <w:pPr>
                    <w:jc w:val="center"/>
                    <w:textAlignment w:val="center"/>
                    <w:rPr>
                      <w:rFonts w:cs="Times New Roman"/>
                      <w:color w:val="000000"/>
                      <w:sz w:val="20"/>
                      <w:szCs w:val="20"/>
                    </w:rPr>
                  </w:pPr>
                  <w:r>
                    <w:rPr>
                      <w:rFonts w:hint="eastAsia" w:cs="Times New Roman"/>
                      <w:color w:val="000000"/>
                      <w:sz w:val="20"/>
                      <w:szCs w:val="20"/>
                    </w:rPr>
                    <w:t>3</w:t>
                  </w:r>
                  <w:r>
                    <w:rPr>
                      <w:rFonts w:cs="Times New Roman"/>
                      <w:color w:val="000000"/>
                      <w:sz w:val="20"/>
                      <w:szCs w:val="20"/>
                    </w:rPr>
                    <w:t>50</w:t>
                  </w:r>
                </w:p>
              </w:tc>
              <w:tc>
                <w:tcPr>
                  <w:tcW w:w="844"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3</w:t>
                  </w:r>
                  <w:r>
                    <w:rPr>
                      <w:rFonts w:cs="Times New Roman"/>
                      <w:color w:val="000000"/>
                      <w:sz w:val="20"/>
                      <w:szCs w:val="20"/>
                    </w:rPr>
                    <w:t>50</w:t>
                  </w:r>
                </w:p>
              </w:tc>
              <w:tc>
                <w:tcPr>
                  <w:tcW w:w="1162"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845"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w:t>
                  </w:r>
                </w:p>
              </w:tc>
            </w:tr>
            <w:tr>
              <w:tblPrEx>
                <w:tblCellMar>
                  <w:top w:w="0" w:type="dxa"/>
                  <w:left w:w="108" w:type="dxa"/>
                  <w:bottom w:w="0" w:type="dxa"/>
                  <w:right w:w="108" w:type="dxa"/>
                </w:tblCellMar>
              </w:tblPrEx>
              <w:trPr>
                <w:gridAfter w:val="2"/>
                <w:wAfter w:w="2010" w:type="dxa"/>
                <w:trHeight w:val="360" w:hRule="atLeast"/>
              </w:trPr>
              <w:tc>
                <w:tcPr>
                  <w:tcW w:w="1135" w:type="dxa"/>
                  <w:vMerge w:val="continue"/>
                  <w:tcBorders>
                    <w:top w:val="nil"/>
                    <w:left w:val="single" w:color="000000" w:sz="4" w:space="0"/>
                    <w:bottom w:val="single" w:color="000000" w:sz="4" w:space="0"/>
                    <w:right w:val="single" w:color="000000" w:sz="4" w:space="0"/>
                  </w:tcBorders>
                  <w:vAlign w:val="center"/>
                </w:tcPr>
                <w:p>
                  <w:pPr>
                    <w:rPr>
                      <w:rFonts w:cs="Times New Roman"/>
                      <w:color w:val="000000"/>
                      <w:sz w:val="20"/>
                      <w:szCs w:val="20"/>
                    </w:rPr>
                  </w:pPr>
                </w:p>
              </w:tc>
              <w:tc>
                <w:tcPr>
                  <w:tcW w:w="1574"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教师稳定率</w:t>
                  </w:r>
                </w:p>
              </w:tc>
              <w:tc>
                <w:tcPr>
                  <w:tcW w:w="893"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w:t>
                  </w:r>
                </w:p>
              </w:tc>
              <w:tc>
                <w:tcPr>
                  <w:tcW w:w="890"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20</w:t>
                  </w:r>
                </w:p>
              </w:tc>
              <w:tc>
                <w:tcPr>
                  <w:tcW w:w="994" w:type="dxa"/>
                  <w:tcBorders>
                    <w:top w:val="single" w:color="000000" w:sz="4" w:space="0"/>
                    <w:left w:val="nil"/>
                    <w:bottom w:val="single" w:color="auto"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844"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1162"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845"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20</w:t>
                  </w:r>
                </w:p>
              </w:tc>
            </w:tr>
            <w:tr>
              <w:tblPrEx>
                <w:tblCellMar>
                  <w:top w:w="0" w:type="dxa"/>
                  <w:left w:w="108" w:type="dxa"/>
                  <w:bottom w:w="0" w:type="dxa"/>
                  <w:right w:w="108" w:type="dxa"/>
                </w:tblCellMar>
              </w:tblPrEx>
              <w:trPr>
                <w:gridAfter w:val="2"/>
                <w:wAfter w:w="2010" w:type="dxa"/>
                <w:trHeight w:val="360" w:hRule="atLeast"/>
              </w:trPr>
              <w:tc>
                <w:tcPr>
                  <w:tcW w:w="1135" w:type="dxa"/>
                  <w:vMerge w:val="continue"/>
                  <w:tcBorders>
                    <w:top w:val="nil"/>
                    <w:left w:val="single" w:color="000000" w:sz="4" w:space="0"/>
                    <w:bottom w:val="single" w:color="000000" w:sz="4" w:space="0"/>
                    <w:right w:val="single" w:color="000000" w:sz="4" w:space="0"/>
                  </w:tcBorders>
                  <w:vAlign w:val="center"/>
                </w:tcPr>
                <w:p>
                  <w:pPr>
                    <w:rPr>
                      <w:rFonts w:cs="Times New Roman"/>
                      <w:color w:val="000000"/>
                      <w:sz w:val="20"/>
                      <w:szCs w:val="20"/>
                    </w:rPr>
                  </w:pPr>
                </w:p>
              </w:tc>
              <w:tc>
                <w:tcPr>
                  <w:tcW w:w="1574"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享受覆盖率</w:t>
                  </w:r>
                </w:p>
              </w:tc>
              <w:tc>
                <w:tcPr>
                  <w:tcW w:w="893"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w:t>
                  </w:r>
                </w:p>
              </w:tc>
              <w:tc>
                <w:tcPr>
                  <w:tcW w:w="890" w:type="dxa"/>
                  <w:tcBorders>
                    <w:top w:val="single" w:color="000000" w:sz="4" w:space="0"/>
                    <w:left w:val="nil"/>
                    <w:bottom w:val="single" w:color="000000" w:sz="4" w:space="0"/>
                    <w:right w:val="single" w:color="auto"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20</w:t>
                  </w:r>
                </w:p>
              </w:tc>
              <w:tc>
                <w:tcPr>
                  <w:tcW w:w="994" w:type="dxa"/>
                  <w:tcBorders>
                    <w:top w:val="single" w:color="auto" w:sz="4" w:space="0"/>
                    <w:left w:val="single" w:color="auto" w:sz="4" w:space="0"/>
                    <w:bottom w:val="single" w:color="auto" w:sz="4" w:space="0"/>
                    <w:right w:val="single" w:color="auto"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844" w:type="dxa"/>
                  <w:tcBorders>
                    <w:top w:val="single" w:color="000000" w:sz="4" w:space="0"/>
                    <w:left w:val="single" w:color="auto" w:sz="4" w:space="0"/>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1162"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845"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20</w:t>
                  </w:r>
                </w:p>
              </w:tc>
            </w:tr>
            <w:tr>
              <w:tblPrEx>
                <w:tblCellMar>
                  <w:top w:w="0" w:type="dxa"/>
                  <w:left w:w="108" w:type="dxa"/>
                  <w:bottom w:w="0" w:type="dxa"/>
                  <w:right w:w="108" w:type="dxa"/>
                </w:tblCellMar>
              </w:tblPrEx>
              <w:trPr>
                <w:gridAfter w:val="2"/>
                <w:wAfter w:w="2010" w:type="dxa"/>
                <w:trHeight w:val="360" w:hRule="atLeast"/>
              </w:trPr>
              <w:tc>
                <w:tcPr>
                  <w:tcW w:w="1135" w:type="dxa"/>
                  <w:vMerge w:val="continue"/>
                  <w:tcBorders>
                    <w:top w:val="nil"/>
                    <w:left w:val="single" w:color="000000" w:sz="4" w:space="0"/>
                    <w:bottom w:val="single" w:color="000000" w:sz="4" w:space="0"/>
                    <w:right w:val="single" w:color="000000" w:sz="4" w:space="0"/>
                  </w:tcBorders>
                  <w:vAlign w:val="center"/>
                </w:tcPr>
                <w:p>
                  <w:pPr>
                    <w:rPr>
                      <w:rFonts w:cs="Times New Roman"/>
                      <w:color w:val="000000"/>
                      <w:sz w:val="20"/>
                      <w:szCs w:val="20"/>
                    </w:rPr>
                  </w:pPr>
                </w:p>
              </w:tc>
              <w:tc>
                <w:tcPr>
                  <w:tcW w:w="1574" w:type="dxa"/>
                  <w:gridSpan w:val="2"/>
                  <w:tcBorders>
                    <w:top w:val="single" w:color="000000" w:sz="4" w:space="0"/>
                    <w:left w:val="nil"/>
                    <w:bottom w:val="single" w:color="000000" w:sz="4" w:space="0"/>
                    <w:right w:val="single" w:color="000000" w:sz="4" w:space="0"/>
                  </w:tcBorders>
                  <w:vAlign w:val="center"/>
                </w:tcPr>
                <w:p>
                  <w:pPr>
                    <w:textAlignment w:val="center"/>
                    <w:rPr>
                      <w:rFonts w:cs="Times New Roman"/>
                      <w:color w:val="000000"/>
                      <w:sz w:val="20"/>
                      <w:szCs w:val="20"/>
                    </w:rPr>
                  </w:pPr>
                  <w:r>
                    <w:rPr>
                      <w:rFonts w:hint="eastAsia" w:cs="Times New Roman"/>
                      <w:color w:val="000000"/>
                      <w:sz w:val="20"/>
                      <w:szCs w:val="20"/>
                    </w:rPr>
                    <w:t>享受的精准度</w:t>
                  </w:r>
                </w:p>
              </w:tc>
              <w:tc>
                <w:tcPr>
                  <w:tcW w:w="893"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w:t>
                  </w:r>
                </w:p>
              </w:tc>
              <w:tc>
                <w:tcPr>
                  <w:tcW w:w="890"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w:t>
                  </w:r>
                </w:p>
              </w:tc>
              <w:tc>
                <w:tcPr>
                  <w:tcW w:w="994" w:type="dxa"/>
                  <w:tcBorders>
                    <w:top w:val="single" w:color="auto"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844"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1162"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845"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w:t>
                  </w:r>
                </w:p>
              </w:tc>
            </w:tr>
            <w:tr>
              <w:tblPrEx>
                <w:tblCellMar>
                  <w:top w:w="0" w:type="dxa"/>
                  <w:left w:w="108" w:type="dxa"/>
                  <w:bottom w:w="0" w:type="dxa"/>
                  <w:right w:w="108" w:type="dxa"/>
                </w:tblCellMar>
              </w:tblPrEx>
              <w:trPr>
                <w:gridAfter w:val="2"/>
                <w:wAfter w:w="2010" w:type="dxa"/>
                <w:trHeight w:val="360" w:hRule="atLeast"/>
              </w:trPr>
              <w:tc>
                <w:tcPr>
                  <w:tcW w:w="1135" w:type="dxa"/>
                  <w:vMerge w:val="continue"/>
                  <w:tcBorders>
                    <w:top w:val="nil"/>
                    <w:left w:val="single" w:color="000000" w:sz="4" w:space="0"/>
                    <w:bottom w:val="single" w:color="000000" w:sz="4" w:space="0"/>
                    <w:right w:val="single" w:color="000000" w:sz="4" w:space="0"/>
                  </w:tcBorders>
                  <w:vAlign w:val="center"/>
                </w:tcPr>
                <w:p>
                  <w:pPr>
                    <w:rPr>
                      <w:rFonts w:cs="Times New Roman"/>
                      <w:color w:val="000000"/>
                      <w:sz w:val="20"/>
                      <w:szCs w:val="20"/>
                    </w:rPr>
                  </w:pPr>
                </w:p>
              </w:tc>
              <w:tc>
                <w:tcPr>
                  <w:tcW w:w="1574"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教师满意率</w:t>
                  </w:r>
                </w:p>
              </w:tc>
              <w:tc>
                <w:tcPr>
                  <w:tcW w:w="893"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w:t>
                  </w:r>
                </w:p>
              </w:tc>
              <w:tc>
                <w:tcPr>
                  <w:tcW w:w="890"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5</w:t>
                  </w:r>
                </w:p>
              </w:tc>
              <w:tc>
                <w:tcPr>
                  <w:tcW w:w="994"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844"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1162"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845"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5</w:t>
                  </w:r>
                </w:p>
              </w:tc>
            </w:tr>
            <w:tr>
              <w:tblPrEx>
                <w:tblCellMar>
                  <w:top w:w="0" w:type="dxa"/>
                  <w:left w:w="108" w:type="dxa"/>
                  <w:bottom w:w="0" w:type="dxa"/>
                  <w:right w:w="108" w:type="dxa"/>
                </w:tblCellMar>
              </w:tblPrEx>
              <w:trPr>
                <w:gridAfter w:val="2"/>
                <w:wAfter w:w="2010" w:type="dxa"/>
                <w:trHeight w:val="360" w:hRule="atLeast"/>
              </w:trPr>
              <w:tc>
                <w:tcPr>
                  <w:tcW w:w="1135" w:type="dxa"/>
                  <w:vMerge w:val="continue"/>
                  <w:tcBorders>
                    <w:top w:val="nil"/>
                    <w:left w:val="single" w:color="000000" w:sz="4" w:space="0"/>
                    <w:bottom w:val="single" w:color="000000" w:sz="4" w:space="0"/>
                    <w:right w:val="single" w:color="000000" w:sz="4" w:space="0"/>
                  </w:tcBorders>
                  <w:vAlign w:val="center"/>
                </w:tcPr>
                <w:p>
                  <w:pPr>
                    <w:rPr>
                      <w:rFonts w:cs="Times New Roman"/>
                      <w:color w:val="000000"/>
                      <w:sz w:val="20"/>
                      <w:szCs w:val="20"/>
                    </w:rPr>
                  </w:pPr>
                </w:p>
              </w:tc>
              <w:tc>
                <w:tcPr>
                  <w:tcW w:w="1574"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社会满意率</w:t>
                  </w:r>
                </w:p>
              </w:tc>
              <w:tc>
                <w:tcPr>
                  <w:tcW w:w="893" w:type="dxa"/>
                  <w:gridSpan w:val="2"/>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w:t>
                  </w:r>
                </w:p>
              </w:tc>
              <w:tc>
                <w:tcPr>
                  <w:tcW w:w="890"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5</w:t>
                  </w:r>
                </w:p>
              </w:tc>
              <w:tc>
                <w:tcPr>
                  <w:tcW w:w="994"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844"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1162"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100%</w:t>
                  </w:r>
                </w:p>
              </w:tc>
              <w:tc>
                <w:tcPr>
                  <w:tcW w:w="845" w:type="dxa"/>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5</w:t>
                  </w:r>
                </w:p>
              </w:tc>
            </w:tr>
            <w:tr>
              <w:tblPrEx>
                <w:tblCellMar>
                  <w:top w:w="0" w:type="dxa"/>
                  <w:left w:w="108" w:type="dxa"/>
                  <w:bottom w:w="0" w:type="dxa"/>
                  <w:right w:w="108" w:type="dxa"/>
                </w:tblCellMar>
              </w:tblPrEx>
              <w:trPr>
                <w:gridAfter w:val="2"/>
                <w:wAfter w:w="2010" w:type="dxa"/>
                <w:trHeight w:val="2225" w:hRule="atLeast"/>
              </w:trPr>
              <w:tc>
                <w:tcPr>
                  <w:tcW w:w="1135"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未完成绩效目标或偏离较多的原因、改进措施及其他说明</w:t>
                  </w:r>
                </w:p>
              </w:tc>
              <w:tc>
                <w:tcPr>
                  <w:tcW w:w="7202" w:type="dxa"/>
                  <w:gridSpan w:val="9"/>
                  <w:tcBorders>
                    <w:top w:val="single" w:color="000000" w:sz="4" w:space="0"/>
                    <w:left w:val="nil"/>
                    <w:bottom w:val="single" w:color="000000" w:sz="4" w:space="0"/>
                    <w:right w:val="single" w:color="000000" w:sz="4" w:space="0"/>
                  </w:tcBorders>
                  <w:vAlign w:val="center"/>
                </w:tcPr>
                <w:p>
                  <w:pPr>
                    <w:jc w:val="center"/>
                    <w:textAlignment w:val="center"/>
                    <w:rPr>
                      <w:rFonts w:cs="Times New Roman"/>
                      <w:color w:val="000000"/>
                      <w:sz w:val="20"/>
                      <w:szCs w:val="20"/>
                    </w:rPr>
                  </w:pPr>
                  <w:r>
                    <w:rPr>
                      <w:rFonts w:hint="eastAsia" w:cs="Times New Roman"/>
                      <w:color w:val="000000"/>
                      <w:sz w:val="20"/>
                      <w:szCs w:val="20"/>
                    </w:rPr>
                    <w:t>无</w:t>
                  </w:r>
                </w:p>
              </w:tc>
            </w:tr>
            <w:tr>
              <w:tblPrEx>
                <w:tblCellMar>
                  <w:top w:w="0" w:type="dxa"/>
                  <w:left w:w="108" w:type="dxa"/>
                  <w:bottom w:w="0" w:type="dxa"/>
                  <w:right w:w="108" w:type="dxa"/>
                </w:tblCellMar>
              </w:tblPrEx>
              <w:trPr>
                <w:gridAfter w:val="1"/>
                <w:wAfter w:w="1166" w:type="dxa"/>
                <w:trHeight w:val="450" w:hRule="atLeast"/>
              </w:trPr>
              <w:tc>
                <w:tcPr>
                  <w:tcW w:w="2805" w:type="dxa"/>
                  <w:gridSpan w:val="4"/>
                  <w:tcBorders>
                    <w:top w:val="nil"/>
                    <w:left w:val="nil"/>
                    <w:bottom w:val="nil"/>
                    <w:right w:val="nil"/>
                  </w:tcBorders>
                  <w:vAlign w:val="center"/>
                </w:tcPr>
                <w:p>
                  <w:pPr>
                    <w:textAlignment w:val="center"/>
                    <w:rPr>
                      <w:rFonts w:cs="Times New Roman"/>
                      <w:color w:val="000000"/>
                      <w:sz w:val="20"/>
                      <w:szCs w:val="20"/>
                    </w:rPr>
                  </w:pPr>
                  <w:r>
                    <w:rPr>
                      <w:rFonts w:hint="eastAsia" w:cs="Times New Roman"/>
                      <w:color w:val="000000"/>
                      <w:sz w:val="20"/>
                      <w:szCs w:val="20"/>
                    </w:rPr>
                    <w:t xml:space="preserve"> 预算单位主要领导：张雪霜        </w:t>
                  </w:r>
                </w:p>
              </w:tc>
              <w:tc>
                <w:tcPr>
                  <w:tcW w:w="6376" w:type="dxa"/>
                  <w:gridSpan w:val="7"/>
                  <w:tcBorders>
                    <w:top w:val="nil"/>
                    <w:left w:val="nil"/>
                    <w:bottom w:val="nil"/>
                    <w:right w:val="nil"/>
                  </w:tcBorders>
                  <w:vAlign w:val="center"/>
                </w:tcPr>
                <w:p>
                  <w:pPr>
                    <w:ind w:right="1400" w:firstLine="300" w:firstLineChars="150"/>
                    <w:textAlignment w:val="center"/>
                    <w:rPr>
                      <w:rFonts w:cs="Times New Roman"/>
                      <w:color w:val="000000"/>
                      <w:sz w:val="20"/>
                      <w:szCs w:val="20"/>
                    </w:rPr>
                  </w:pPr>
                  <w:r>
                    <w:rPr>
                      <w:rFonts w:hint="eastAsia" w:cs="Times New Roman"/>
                      <w:color w:val="000000"/>
                      <w:sz w:val="20"/>
                      <w:szCs w:val="20"/>
                    </w:rPr>
                    <w:t>绩效评价负责人：经家茂        经办人：蒋中文</w:t>
                  </w:r>
                </w:p>
              </w:tc>
            </w:tr>
          </w:tbl>
          <w:p>
            <w:pPr>
              <w:rPr>
                <w:sz w:val="20"/>
                <w:szCs w:val="20"/>
              </w:rPr>
            </w:pPr>
          </w:p>
        </w:tc>
        <w:tc>
          <w:tcPr>
            <w:tcW w:w="1048" w:type="dxa"/>
            <w:tcBorders>
              <w:top w:val="nil"/>
              <w:left w:val="nil"/>
              <w:bottom w:val="nil"/>
              <w:right w:val="nil"/>
            </w:tcBorders>
            <w:shd w:val="clear" w:color="auto" w:fill="auto"/>
            <w:vAlign w:val="center"/>
          </w:tcPr>
          <w:p>
            <w:pPr>
              <w:rPr>
                <w:sz w:val="20"/>
                <w:szCs w:val="20"/>
              </w:rPr>
            </w:pPr>
          </w:p>
        </w:tc>
        <w:tc>
          <w:tcPr>
            <w:tcW w:w="675" w:type="dxa"/>
            <w:tcBorders>
              <w:top w:val="nil"/>
              <w:left w:val="nil"/>
              <w:bottom w:val="nil"/>
              <w:right w:val="nil"/>
            </w:tcBorders>
            <w:shd w:val="clear" w:color="auto" w:fill="auto"/>
            <w:vAlign w:val="center"/>
          </w:tcPr>
          <w:p>
            <w:pPr>
              <w:rPr>
                <w:sz w:val="20"/>
                <w:szCs w:val="20"/>
              </w:rPr>
            </w:pPr>
          </w:p>
        </w:tc>
        <w:tc>
          <w:tcPr>
            <w:tcW w:w="3004" w:type="dxa"/>
            <w:tcBorders>
              <w:top w:val="nil"/>
              <w:left w:val="nil"/>
              <w:bottom w:val="nil"/>
              <w:right w:val="nil"/>
            </w:tcBorders>
            <w:shd w:val="clear" w:color="auto" w:fill="auto"/>
            <w:vAlign w:val="center"/>
          </w:tcPr>
          <w:p>
            <w:pPr>
              <w:jc w:val="center"/>
              <w:rPr>
                <w:sz w:val="20"/>
                <w:szCs w:val="20"/>
              </w:rPr>
            </w:pPr>
          </w:p>
        </w:tc>
        <w:tc>
          <w:tcPr>
            <w:tcW w:w="1793" w:type="dxa"/>
            <w:tcBorders>
              <w:top w:val="nil"/>
              <w:left w:val="nil"/>
              <w:bottom w:val="nil"/>
              <w:right w:val="nil"/>
            </w:tcBorders>
            <w:shd w:val="clear" w:color="auto" w:fill="auto"/>
            <w:vAlign w:val="center"/>
          </w:tcPr>
          <w:p>
            <w:pPr>
              <w:jc w:val="center"/>
              <w:rPr>
                <w:sz w:val="20"/>
                <w:szCs w:val="20"/>
              </w:rPr>
            </w:pPr>
          </w:p>
        </w:tc>
      </w:tr>
      <w:tr>
        <w:tblPrEx>
          <w:tblCellMar>
            <w:top w:w="0" w:type="dxa"/>
            <w:left w:w="108" w:type="dxa"/>
            <w:bottom w:w="0" w:type="dxa"/>
            <w:right w:w="108" w:type="dxa"/>
          </w:tblCellMar>
        </w:tblPrEx>
        <w:trPr>
          <w:trHeight w:val="405" w:hRule="atLeast"/>
        </w:trPr>
        <w:tc>
          <w:tcPr>
            <w:tcW w:w="19388" w:type="dxa"/>
            <w:gridSpan w:val="6"/>
            <w:tcBorders>
              <w:top w:val="nil"/>
              <w:left w:val="nil"/>
              <w:bottom w:val="nil"/>
              <w:right w:val="nil"/>
            </w:tcBorders>
            <w:shd w:val="clear" w:color="auto" w:fill="auto"/>
          </w:tcPr>
          <w:p>
            <w:pPr>
              <w:jc w:val="center"/>
              <w:rPr>
                <w:b/>
                <w:bCs/>
                <w:color w:val="000000"/>
                <w:sz w:val="32"/>
                <w:szCs w:val="32"/>
              </w:rPr>
            </w:pPr>
          </w:p>
        </w:tc>
      </w:tr>
    </w:tbl>
    <w:p>
      <w:pPr>
        <w:pStyle w:val="5"/>
        <w:shd w:val="clear" w:color="auto" w:fill="FFFFFF"/>
        <w:rPr>
          <w:rStyle w:val="9"/>
          <w:sz w:val="27"/>
          <w:szCs w:val="27"/>
        </w:rPr>
      </w:pPr>
      <w:r>
        <w:rPr>
          <w:rStyle w:val="9"/>
          <w:rFonts w:hint="eastAsia"/>
          <w:sz w:val="27"/>
          <w:szCs w:val="27"/>
        </w:rPr>
        <w:t>2.绩效自评报告或案例</w:t>
      </w:r>
    </w:p>
    <w:p>
      <w:pPr>
        <w:pStyle w:val="5"/>
        <w:shd w:val="clear" w:color="auto" w:fill="FFFFFF"/>
        <w:rPr>
          <w:rFonts w:ascii="方正仿宋_GBK" w:eastAsia="方正仿宋_GBK"/>
          <w:sz w:val="32"/>
          <w:szCs w:val="32"/>
        </w:rPr>
      </w:pPr>
      <w:r>
        <w:rPr>
          <w:rFonts w:hint="eastAsia" w:ascii="方正仿宋_GBK" w:eastAsia="方正仿宋_GBK"/>
          <w:sz w:val="32"/>
          <w:szCs w:val="32"/>
        </w:rPr>
        <w:t>我单位未委托第三方开展绩效自评。</w:t>
      </w:r>
    </w:p>
    <w:p>
      <w:pPr>
        <w:pStyle w:val="5"/>
        <w:shd w:val="clear" w:color="auto" w:fill="FFFFFF"/>
        <w:rPr>
          <w:rStyle w:val="9"/>
          <w:rFonts w:ascii="方正楷体_GBK" w:eastAsia="方正楷体_GBK"/>
          <w:sz w:val="32"/>
          <w:szCs w:val="32"/>
        </w:rPr>
      </w:pPr>
      <w:r>
        <w:rPr>
          <w:rStyle w:val="9"/>
          <w:rFonts w:hint="eastAsia" w:ascii="方正楷体_GBK" w:eastAsia="方正楷体_GBK"/>
          <w:sz w:val="32"/>
          <w:szCs w:val="32"/>
        </w:rPr>
        <w:t>（三）重点绩效评价结果</w:t>
      </w:r>
    </w:p>
    <w:p>
      <w:pPr>
        <w:pStyle w:val="13"/>
        <w:spacing w:before="0" w:beforeAutospacing="0"/>
        <w:rPr>
          <w:rFonts w:ascii="方正仿宋_GBK" w:eastAsia="方正仿宋_GBK"/>
          <w:sz w:val="32"/>
          <w:szCs w:val="32"/>
        </w:rPr>
      </w:pPr>
      <w:r>
        <w:rPr>
          <w:rFonts w:hint="eastAsia" w:ascii="方正仿宋_GBK" w:eastAsia="方正仿宋_GBK"/>
          <w:sz w:val="32"/>
          <w:szCs w:val="32"/>
        </w:rPr>
        <w:t>我单位未委托第三方对部门政策或项目开展重点绩效评价。</w:t>
      </w:r>
    </w:p>
    <w:p>
      <w:pPr>
        <w:pStyle w:val="5"/>
        <w:shd w:val="clear" w:color="auto" w:fill="FFFFFF"/>
      </w:pPr>
    </w:p>
    <w:p>
      <w:pPr>
        <w:pStyle w:val="5"/>
        <w:shd w:val="clear" w:color="auto" w:fill="FFFFFF"/>
        <w:rPr>
          <w:rFonts w:ascii="方正黑体_GBK" w:eastAsia="方正黑体_GBK"/>
          <w:sz w:val="32"/>
          <w:szCs w:val="32"/>
        </w:rPr>
      </w:pPr>
      <w:r>
        <w:rPr>
          <w:rStyle w:val="9"/>
          <w:rFonts w:hint="eastAsia" w:ascii="方正黑体_GBK" w:eastAsia="方正黑体_GBK"/>
          <w:sz w:val="32"/>
          <w:szCs w:val="32"/>
        </w:rPr>
        <w:t>六、专业名词解释</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（一）财政拨款收入</w:t>
      </w:r>
      <w:r>
        <w:rPr>
          <w:rFonts w:hint="eastAsia" w:ascii="方正楷体_GBK" w:eastAsia="方正楷体_GBK"/>
          <w:sz w:val="32"/>
          <w:szCs w:val="32"/>
        </w:rPr>
        <w:t>：指本年度从本级财政部门取得的财政拨款，包括一般公共预算财政拨款和政府性基金预算财政拨款。</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（二）事业收入</w:t>
      </w:r>
      <w:r>
        <w:rPr>
          <w:rFonts w:hint="eastAsia" w:ascii="方正楷体_GBK" w:eastAsia="方正楷体_GBK"/>
          <w:sz w:val="32"/>
          <w:szCs w:val="32"/>
        </w:rPr>
        <w:t>：指事业单位开展专业业务活动及其辅助活动取得的现金流入；事业单位收到的财政专户实际核拨的教育收费等资金在此反映。</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（三）经营收入</w:t>
      </w:r>
      <w:r>
        <w:rPr>
          <w:rFonts w:hint="eastAsia" w:ascii="方正楷体_GBK" w:eastAsia="方正楷体_GBK"/>
          <w:sz w:val="32"/>
          <w:szCs w:val="32"/>
        </w:rPr>
        <w:t>：指事业单位在专业业务活动及其辅助活动之外开展非独立核算经营活动取得的现金流入。</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（四）其他收入</w:t>
      </w:r>
      <w:r>
        <w:rPr>
          <w:rFonts w:hint="eastAsia" w:ascii="方正楷体_GBK" w:eastAsia="方正楷体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（五）使用非财政拨款结余</w:t>
      </w:r>
      <w:r>
        <w:rPr>
          <w:rFonts w:hint="eastAsia" w:ascii="方正楷体_GBK" w:eastAsia="方正楷体_GBK"/>
          <w:sz w:val="32"/>
          <w:szCs w:val="32"/>
        </w:rPr>
        <w:t>：指单位在当年的“财政拨款收入”、“事业收入”、“经营收入”、“其他收入”等不足以安排当年支出的情况下，使用以前年度积累的非财政拨款结余弥补本年度收支缺口的资金。</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（六）年初结转和结余</w:t>
      </w:r>
      <w:r>
        <w:rPr>
          <w:rFonts w:hint="eastAsia" w:ascii="方正楷体_GBK" w:eastAsia="方正楷体_GBK"/>
          <w:sz w:val="32"/>
          <w:szCs w:val="32"/>
        </w:rPr>
        <w:t>：指单位上年结转本年使用的基本支出结转、项目支出结转和结余、经营结余。</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（七）结余分配</w:t>
      </w:r>
      <w:r>
        <w:rPr>
          <w:rFonts w:hint="eastAsia" w:ascii="方正楷体_GBK" w:eastAsia="方正楷体_GBK"/>
          <w:sz w:val="32"/>
          <w:szCs w:val="32"/>
        </w:rPr>
        <w:t>：指单位按照国家有关规定，缴纳所得税、提取专用基金、转入非财政拨款结余等当年结余的分配情况。</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（八）年末结转和结余</w:t>
      </w:r>
      <w:r>
        <w:rPr>
          <w:rFonts w:hint="eastAsia" w:ascii="方正楷体_GBK" w:eastAsia="方正楷体_GBK"/>
          <w:sz w:val="32"/>
          <w:szCs w:val="32"/>
        </w:rPr>
        <w:t>：指单位结转下年的基本支出结转、项目支出结转和结余、经营结余。</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（九）基本支出</w:t>
      </w:r>
      <w:r>
        <w:rPr>
          <w:rFonts w:hint="eastAsia" w:ascii="方正楷体_GBK" w:eastAsia="方正楷体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（十）项目支出</w:t>
      </w:r>
      <w:r>
        <w:rPr>
          <w:rFonts w:hint="eastAsia" w:ascii="方正楷体_GBK" w:eastAsia="方正楷体_GBK"/>
          <w:sz w:val="32"/>
          <w:szCs w:val="32"/>
        </w:rPr>
        <w:t>：指在基本支出之外为完成特定行政任务和事业发展目标所发生的支出。</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（十一）经营支出</w:t>
      </w:r>
      <w:r>
        <w:rPr>
          <w:rFonts w:hint="eastAsia" w:ascii="方正楷体_GBK" w:eastAsia="方正楷体_GBK"/>
          <w:sz w:val="32"/>
          <w:szCs w:val="32"/>
        </w:rPr>
        <w:t>：指事业单位在专业业务活动及其辅助活动之外开展非独立核算经营活动发生的支出。</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（十二）“三公”经费</w:t>
      </w:r>
      <w:r>
        <w:rPr>
          <w:rFonts w:hint="eastAsia" w:ascii="方正楷体_GBK" w:eastAsia="方正楷体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（十三）机关运行经费</w:t>
      </w:r>
      <w:r>
        <w:rPr>
          <w:rFonts w:hint="eastAsia" w:ascii="方正楷体_GBK" w:eastAsia="方正楷体_GBK"/>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（十四）工资福利支出（支出经济分类科目类级）</w:t>
      </w:r>
      <w:r>
        <w:rPr>
          <w:rFonts w:hint="eastAsia" w:ascii="方正楷体_GBK" w:eastAsia="方正楷体_GBK"/>
          <w:sz w:val="32"/>
          <w:szCs w:val="32"/>
        </w:rPr>
        <w:t>：反映单位开支的在职职工和编制外长期聘用人员的各类劳动报酬，以及为上述人员缴纳的各项社会保险费等。</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（十五）商品和服务支出（支出经济分类科目类级）</w:t>
      </w:r>
      <w:r>
        <w:rPr>
          <w:rFonts w:hint="eastAsia" w:ascii="方正楷体_GBK" w:eastAsia="方正楷体_GBK"/>
          <w:sz w:val="32"/>
          <w:szCs w:val="32"/>
        </w:rPr>
        <w:t>：反映单位购买商品和服务的支出（不包括用于购置固定资产的支出、战略性和应急储备支出）。</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（十六）对个人和家庭的补助（支出经济分类科目类级）</w:t>
      </w:r>
      <w:r>
        <w:rPr>
          <w:rFonts w:hint="eastAsia" w:ascii="方正楷体_GBK" w:eastAsia="方正楷体_GBK"/>
          <w:sz w:val="32"/>
          <w:szCs w:val="32"/>
        </w:rPr>
        <w:t>：反映用于对个人和家庭的补助支出。</w:t>
      </w:r>
    </w:p>
    <w:p>
      <w:pPr>
        <w:pStyle w:val="5"/>
        <w:shd w:val="clear" w:color="auto" w:fill="FFFFFF"/>
        <w:rPr>
          <w:rFonts w:ascii="方正楷体_GBK" w:eastAsia="方正楷体_GBK"/>
          <w:sz w:val="32"/>
          <w:szCs w:val="32"/>
        </w:rPr>
      </w:pPr>
      <w:r>
        <w:rPr>
          <w:rStyle w:val="9"/>
          <w:rFonts w:hint="eastAsia" w:ascii="方正楷体_GBK" w:eastAsia="方正楷体_GBK"/>
          <w:sz w:val="32"/>
          <w:szCs w:val="32"/>
        </w:rPr>
        <w:t>（十七）其他资本性支出（支出经济分类科目类级）</w:t>
      </w:r>
      <w:r>
        <w:rPr>
          <w:rFonts w:hint="eastAsia" w:ascii="方正楷体_GBK" w:eastAsia="方正楷体_GBK"/>
          <w:sz w:val="32"/>
          <w:szCs w:val="32"/>
        </w:rPr>
        <w:t>：反映非各级发展与改革部门集中安排的用于购置固定资产、战略性和应急性储备、土地和无形资产，以及构建基础设施、大型修缮和财政支持企业更新改造所发生的支出。</w:t>
      </w:r>
    </w:p>
    <w:p>
      <w:pPr>
        <w:pStyle w:val="5"/>
        <w:shd w:val="clear" w:color="auto" w:fill="FFFFFF"/>
        <w:rPr>
          <w:rFonts w:ascii="方正黑体_GBK" w:eastAsia="方正黑体_GBK"/>
          <w:sz w:val="32"/>
          <w:szCs w:val="32"/>
        </w:rPr>
      </w:pPr>
      <w:r>
        <w:rPr>
          <w:rStyle w:val="9"/>
          <w:rFonts w:hint="eastAsia" w:ascii="方正黑体_GBK" w:eastAsia="方正黑体_GBK"/>
          <w:sz w:val="32"/>
          <w:szCs w:val="32"/>
        </w:rPr>
        <w:t>七、决算公开联系方式及信息反馈渠道</w:t>
      </w:r>
    </w:p>
    <w:p>
      <w:pPr>
        <w:pStyle w:val="5"/>
        <w:shd w:val="clear" w:color="auto" w:fill="FFFFFF"/>
        <w:rPr>
          <w:rFonts w:ascii="方正楷体_GBK" w:eastAsia="方正楷体_GBK"/>
          <w:sz w:val="32"/>
          <w:szCs w:val="32"/>
        </w:rPr>
      </w:pPr>
      <w:r>
        <w:rPr>
          <w:rFonts w:hint="eastAsia" w:ascii="方正楷体_GBK" w:eastAsia="方正楷体_GBK"/>
          <w:sz w:val="32"/>
          <w:szCs w:val="32"/>
        </w:rPr>
        <w:t xml:space="preserve">本单位决算公开信息反馈和联系方式：023-48806331 </w:t>
      </w:r>
    </w:p>
    <w:sectPr>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2"/>
  </w:compat>
  <w:docVars>
    <w:docVar w:name="commondata" w:val="eyJoZGlkIjoiN2QzOWU2OThlZTU0ZDM0MWQ0NWYwODQ4MWQ5MmFiZmMifQ=="/>
  </w:docVars>
  <w:rsids>
    <w:rsidRoot w:val="00AB5529"/>
    <w:rsid w:val="000132A3"/>
    <w:rsid w:val="00017E1E"/>
    <w:rsid w:val="00025789"/>
    <w:rsid w:val="00035DE7"/>
    <w:rsid w:val="00042954"/>
    <w:rsid w:val="000623AE"/>
    <w:rsid w:val="00070142"/>
    <w:rsid w:val="00083A56"/>
    <w:rsid w:val="000850F8"/>
    <w:rsid w:val="000C456A"/>
    <w:rsid w:val="000D4C7E"/>
    <w:rsid w:val="000D5C08"/>
    <w:rsid w:val="000E4945"/>
    <w:rsid w:val="000F02F9"/>
    <w:rsid w:val="00101A00"/>
    <w:rsid w:val="00137BEF"/>
    <w:rsid w:val="00141890"/>
    <w:rsid w:val="001525C2"/>
    <w:rsid w:val="00155419"/>
    <w:rsid w:val="00192C38"/>
    <w:rsid w:val="001A4371"/>
    <w:rsid w:val="001C746A"/>
    <w:rsid w:val="001E3CD5"/>
    <w:rsid w:val="0021229A"/>
    <w:rsid w:val="00245747"/>
    <w:rsid w:val="0025781D"/>
    <w:rsid w:val="00257EAB"/>
    <w:rsid w:val="002B7137"/>
    <w:rsid w:val="002C1FF4"/>
    <w:rsid w:val="002E75CE"/>
    <w:rsid w:val="003155DB"/>
    <w:rsid w:val="003448EE"/>
    <w:rsid w:val="00364144"/>
    <w:rsid w:val="00391B15"/>
    <w:rsid w:val="003B30DB"/>
    <w:rsid w:val="003C2548"/>
    <w:rsid w:val="003D29AF"/>
    <w:rsid w:val="003E3909"/>
    <w:rsid w:val="003E49C2"/>
    <w:rsid w:val="00405646"/>
    <w:rsid w:val="00475BAE"/>
    <w:rsid w:val="004810BF"/>
    <w:rsid w:val="004A45B9"/>
    <w:rsid w:val="00501F49"/>
    <w:rsid w:val="00520C1D"/>
    <w:rsid w:val="005317F9"/>
    <w:rsid w:val="00560752"/>
    <w:rsid w:val="00561624"/>
    <w:rsid w:val="00565566"/>
    <w:rsid w:val="0056700C"/>
    <w:rsid w:val="0058370D"/>
    <w:rsid w:val="005B20BA"/>
    <w:rsid w:val="005C6BAE"/>
    <w:rsid w:val="005D58C0"/>
    <w:rsid w:val="005F1059"/>
    <w:rsid w:val="005F137F"/>
    <w:rsid w:val="005F4B8A"/>
    <w:rsid w:val="005F5D91"/>
    <w:rsid w:val="006009B6"/>
    <w:rsid w:val="006011EF"/>
    <w:rsid w:val="0063232D"/>
    <w:rsid w:val="006501E7"/>
    <w:rsid w:val="006655F1"/>
    <w:rsid w:val="00680856"/>
    <w:rsid w:val="006C1E57"/>
    <w:rsid w:val="006E7125"/>
    <w:rsid w:val="0070681E"/>
    <w:rsid w:val="007333E8"/>
    <w:rsid w:val="007405D1"/>
    <w:rsid w:val="00750D45"/>
    <w:rsid w:val="00751B35"/>
    <w:rsid w:val="007551A4"/>
    <w:rsid w:val="00784584"/>
    <w:rsid w:val="0079042A"/>
    <w:rsid w:val="007C1840"/>
    <w:rsid w:val="00802830"/>
    <w:rsid w:val="00810BFE"/>
    <w:rsid w:val="00822790"/>
    <w:rsid w:val="008362F2"/>
    <w:rsid w:val="0084778D"/>
    <w:rsid w:val="00855EA0"/>
    <w:rsid w:val="008626C8"/>
    <w:rsid w:val="00870370"/>
    <w:rsid w:val="0088104E"/>
    <w:rsid w:val="00881DC9"/>
    <w:rsid w:val="008954F6"/>
    <w:rsid w:val="008D73B0"/>
    <w:rsid w:val="00931D50"/>
    <w:rsid w:val="00956EC3"/>
    <w:rsid w:val="009769CF"/>
    <w:rsid w:val="009856A9"/>
    <w:rsid w:val="00A00599"/>
    <w:rsid w:val="00A35391"/>
    <w:rsid w:val="00A82E7F"/>
    <w:rsid w:val="00AB5529"/>
    <w:rsid w:val="00AC404A"/>
    <w:rsid w:val="00AD4B48"/>
    <w:rsid w:val="00B103AB"/>
    <w:rsid w:val="00B55F1E"/>
    <w:rsid w:val="00B56805"/>
    <w:rsid w:val="00B81DE6"/>
    <w:rsid w:val="00BC027A"/>
    <w:rsid w:val="00BE218C"/>
    <w:rsid w:val="00BE6513"/>
    <w:rsid w:val="00BF5B31"/>
    <w:rsid w:val="00C015B3"/>
    <w:rsid w:val="00C01F62"/>
    <w:rsid w:val="00C616D5"/>
    <w:rsid w:val="00CA5823"/>
    <w:rsid w:val="00CA75D2"/>
    <w:rsid w:val="00CA7A11"/>
    <w:rsid w:val="00CD711D"/>
    <w:rsid w:val="00CE4BDB"/>
    <w:rsid w:val="00CF79F9"/>
    <w:rsid w:val="00D104ED"/>
    <w:rsid w:val="00D30A96"/>
    <w:rsid w:val="00D30AB1"/>
    <w:rsid w:val="00D367F5"/>
    <w:rsid w:val="00D40D96"/>
    <w:rsid w:val="00D63ACB"/>
    <w:rsid w:val="00DA13F5"/>
    <w:rsid w:val="00DC3BC1"/>
    <w:rsid w:val="00DD247A"/>
    <w:rsid w:val="00DE7389"/>
    <w:rsid w:val="00DF1AC6"/>
    <w:rsid w:val="00DF4837"/>
    <w:rsid w:val="00E232A1"/>
    <w:rsid w:val="00E349E6"/>
    <w:rsid w:val="00E42111"/>
    <w:rsid w:val="00E46520"/>
    <w:rsid w:val="00E5005C"/>
    <w:rsid w:val="00E67289"/>
    <w:rsid w:val="00E7307A"/>
    <w:rsid w:val="00E91227"/>
    <w:rsid w:val="00E94B9B"/>
    <w:rsid w:val="00EA4815"/>
    <w:rsid w:val="00ED006E"/>
    <w:rsid w:val="00ED217C"/>
    <w:rsid w:val="00EE0D8D"/>
    <w:rsid w:val="00EF4B1A"/>
    <w:rsid w:val="00F023DC"/>
    <w:rsid w:val="00F16E24"/>
    <w:rsid w:val="00F53BC4"/>
    <w:rsid w:val="00F77D4C"/>
    <w:rsid w:val="00F93FF8"/>
    <w:rsid w:val="00FA42A8"/>
    <w:rsid w:val="00FB68E6"/>
    <w:rsid w:val="00FD1145"/>
    <w:rsid w:val="00FD1223"/>
    <w:rsid w:val="00FF7160"/>
    <w:rsid w:val="768C2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4"/>
    <w:semiHidden/>
    <w:unhideWhenUsed/>
    <w:uiPriority w:val="99"/>
    <w:rPr>
      <w:sz w:val="18"/>
      <w:szCs w:val="18"/>
    </w:rPr>
  </w:style>
  <w:style w:type="paragraph" w:styleId="3">
    <w:name w:val="footer"/>
    <w:basedOn w:val="1"/>
    <w:link w:val="11"/>
    <w:unhideWhenUsed/>
    <w:uiPriority w:val="99"/>
    <w:pPr>
      <w:tabs>
        <w:tab w:val="center" w:pos="4153"/>
        <w:tab w:val="right" w:pos="8306"/>
      </w:tabs>
      <w:snapToGrid w:val="0"/>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spacing w:before="100" w:beforeAutospacing="1" w:after="100" w:afterAutospacing="1"/>
    </w:p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character" w:customStyle="1" w:styleId="10">
    <w:name w:val="页眉 Char"/>
    <w:basedOn w:val="8"/>
    <w:link w:val="4"/>
    <w:uiPriority w:val="99"/>
    <w:rPr>
      <w:rFonts w:ascii="宋体" w:hAnsi="宋体" w:eastAsia="宋体" w:cs="宋体"/>
      <w:sz w:val="18"/>
      <w:szCs w:val="18"/>
    </w:rPr>
  </w:style>
  <w:style w:type="character" w:customStyle="1" w:styleId="11">
    <w:name w:val="页脚 Char"/>
    <w:basedOn w:val="8"/>
    <w:link w:val="3"/>
    <w:uiPriority w:val="99"/>
    <w:rPr>
      <w:rFonts w:ascii="宋体" w:hAnsi="宋体" w:eastAsia="宋体" w:cs="宋体"/>
      <w:sz w:val="18"/>
      <w:szCs w:val="18"/>
    </w:rPr>
  </w:style>
  <w:style w:type="character" w:customStyle="1" w:styleId="12">
    <w:name w:val="17"/>
    <w:basedOn w:val="8"/>
    <w:uiPriority w:val="0"/>
    <w:rPr>
      <w:rFonts w:hint="default" w:ascii="Times New Roman" w:hAnsi="Times New Roman" w:cs="Times New Roman"/>
      <w:b/>
    </w:rPr>
  </w:style>
  <w:style w:type="paragraph" w:customStyle="1" w:styleId="13">
    <w:name w:val="普通(网站) Char"/>
    <w:basedOn w:val="1"/>
    <w:uiPriority w:val="0"/>
    <w:pPr>
      <w:spacing w:before="100" w:beforeAutospacing="1" w:after="100" w:afterAutospacing="1"/>
    </w:pPr>
  </w:style>
  <w:style w:type="character" w:customStyle="1" w:styleId="14">
    <w:name w:val="批注框文本 Char"/>
    <w:basedOn w:val="8"/>
    <w:link w:val="2"/>
    <w:semiHidden/>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4D717-956D-4062-99F0-D787736E68E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5932</Words>
  <Characters>6777</Characters>
  <Lines>50</Lines>
  <Paragraphs>14</Paragraphs>
  <TotalTime>44</TotalTime>
  <ScaleCrop>false</ScaleCrop>
  <LinksUpToDate>false</LinksUpToDate>
  <CharactersWithSpaces>6835</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2022-08-31T10:29:00Z</dcterms:created>
  <dc:creator>HP</dc:creator>
  <cp:lastModifiedBy>陈列</cp:lastModifiedBy>
  <dcterms:modified xsi:type="dcterms:W3CDTF">2022-09-02T00:43:02Z</dcterms:modified>
  <dc:title>公开报告模板</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DDB2ED51D42B421CB26B06C72AB7FB8C</vt:lpwstr>
  </property>
</Properties>
</file>