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jc w:val="center"/>
        <w:textAlignment w:val="auto"/>
        <w:rPr>
          <w:rFonts w:ascii="Arial" w:hAnsi="Arial" w:eastAsia="方正小标宋_GBK" w:cs="Arial"/>
          <w:color w:val="000000"/>
          <w:sz w:val="44"/>
          <w:szCs w:val="18"/>
        </w:rPr>
      </w:pPr>
      <w:r>
        <w:rPr>
          <w:rFonts w:ascii="Arial" w:hAnsi="Arial" w:eastAsia="方正小标宋_GBK" w:cs="Arial"/>
          <w:color w:val="000000"/>
          <w:sz w:val="44"/>
          <w:szCs w:val="54"/>
        </w:rPr>
        <w:t>重庆市綦江区永新小学</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jc w:val="center"/>
        <w:textAlignment w:val="auto"/>
        <w:rPr>
          <w:rFonts w:ascii="Arial" w:hAnsi="Arial" w:eastAsia="方正小标宋_GBK" w:cs="Arial"/>
          <w:color w:val="000000"/>
          <w:sz w:val="44"/>
          <w:szCs w:val="18"/>
        </w:rPr>
      </w:pPr>
      <w:r>
        <w:rPr>
          <w:rFonts w:ascii="Arial" w:hAnsi="Arial" w:eastAsia="方正小标宋_GBK" w:cs="Arial"/>
          <w:color w:val="000000"/>
          <w:sz w:val="44"/>
          <w:szCs w:val="54"/>
        </w:rPr>
        <w:t>2020年度部门决算情况说明</w:t>
      </w:r>
    </w:p>
    <w:p>
      <w:pPr>
        <w:pStyle w:val="4"/>
        <w:keepNext w:val="0"/>
        <w:keepLines w:val="0"/>
        <w:pageBreakBefore w:val="0"/>
        <w:shd w:val="clear" w:color="auto" w:fill="FFFFFF"/>
        <w:tabs>
          <w:tab w:val="left" w:pos="6056"/>
        </w:tabs>
        <w:kinsoku/>
        <w:wordWrap/>
        <w:overflowPunct/>
        <w:topLinePunct w:val="0"/>
        <w:autoSpaceDE/>
        <w:autoSpaceDN/>
        <w:bidi w:val="0"/>
        <w:adjustRightInd/>
        <w:snapToGrid/>
        <w:spacing w:before="0" w:beforeAutospacing="0" w:after="0" w:afterAutospacing="0" w:line="600" w:lineRule="exact"/>
        <w:textAlignment w:val="auto"/>
        <w:rPr>
          <w:rFonts w:ascii="Arial" w:hAnsi="Arial" w:eastAsia="方正黑体_GBK" w:cs="Arial"/>
          <w:color w:val="000000"/>
          <w:sz w:val="32"/>
          <w:szCs w:val="18"/>
        </w:rPr>
      </w:pPr>
      <w:r>
        <w:rPr>
          <w:rStyle w:val="7"/>
          <w:rFonts w:ascii="Arial" w:hAnsi="Arial" w:eastAsia="方正黑体_GBK" w:cs="Arial"/>
          <w:color w:val="000000"/>
          <w:sz w:val="32"/>
          <w:szCs w:val="33"/>
        </w:rPr>
        <w:t>一、部门基本情况</w:t>
      </w:r>
      <w:r>
        <w:rPr>
          <w:rStyle w:val="7"/>
          <w:rFonts w:ascii="Arial" w:hAnsi="Arial" w:eastAsia="方正黑体_GBK" w:cs="Arial"/>
          <w:color w:val="000000"/>
          <w:sz w:val="32"/>
          <w:szCs w:val="33"/>
        </w:rPr>
        <w:tab/>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Style w:val="7"/>
          <w:rFonts w:ascii="Arial" w:hAnsi="Arial" w:eastAsia="方正楷体_GBK" w:cs="Arial"/>
          <w:b w:val="0"/>
          <w:color w:val="000000"/>
          <w:sz w:val="32"/>
          <w:szCs w:val="27"/>
        </w:rPr>
      </w:pPr>
      <w:r>
        <w:rPr>
          <w:rStyle w:val="7"/>
          <w:rFonts w:hint="eastAsia" w:ascii="Arial" w:hAnsi="Arial" w:eastAsia="方正楷体_GBK" w:cs="Arial"/>
          <w:b w:val="0"/>
          <w:color w:val="000000"/>
          <w:sz w:val="32"/>
          <w:szCs w:val="27"/>
        </w:rPr>
        <w:t>  </w:t>
      </w:r>
      <w:r>
        <w:rPr>
          <w:rStyle w:val="7"/>
          <w:rFonts w:ascii="Arial" w:hAnsi="Arial" w:eastAsia="方正楷体_GBK" w:cs="Arial"/>
          <w:b w:val="0"/>
          <w:color w:val="000000"/>
          <w:sz w:val="32"/>
          <w:szCs w:val="27"/>
        </w:rPr>
        <w:t>（一）职能职责</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（1）遵守法律、法规；</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（2）贯彻国家的教育方针，执行国家教育教学标准，保证教育教学质量；</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（3）维护受教育者、教师及其他职工的合法权益；</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（4）以适当方式为受教育者及其监护人了解受教育者的学业成绩及其他有关情况提供便利；</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（5）遵照国家有关规定收取费用并公开收费项目；</w:t>
      </w:r>
    </w:p>
    <w:p>
      <w:pPr>
        <w:keepNext w:val="0"/>
        <w:keepLines w:val="0"/>
        <w:pageBreakBefore w:val="0"/>
        <w:kinsoku/>
        <w:wordWrap/>
        <w:overflowPunct/>
        <w:topLinePunct w:val="0"/>
        <w:autoSpaceDE/>
        <w:autoSpaceDN/>
        <w:bidi w:val="0"/>
        <w:adjustRightInd/>
        <w:snapToGrid/>
        <w:spacing w:line="600" w:lineRule="exact"/>
        <w:ind w:firstLine="640" w:firstLineChars="200"/>
        <w:textAlignment w:val="auto"/>
        <w:rPr>
          <w:rFonts w:eastAsia="方正仿宋_GBK"/>
          <w:sz w:val="32"/>
        </w:rPr>
      </w:pPr>
      <w:r>
        <w:rPr>
          <w:rFonts w:hint="eastAsia" w:eastAsia="方正仿宋_GBK"/>
          <w:sz w:val="32"/>
        </w:rPr>
        <w:t>（6）依法接受监督；</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Style w:val="7"/>
          <w:rFonts w:ascii="Arial" w:hAnsi="Arial" w:eastAsia="方正楷体_GBK" w:cs="Arial"/>
          <w:b w:val="0"/>
          <w:color w:val="000000"/>
          <w:sz w:val="32"/>
          <w:szCs w:val="27"/>
        </w:rPr>
      </w:pPr>
      <w:r>
        <w:rPr>
          <w:rStyle w:val="7"/>
          <w:rFonts w:hint="eastAsia" w:ascii="Arial" w:hAnsi="Arial" w:eastAsia="方正楷体_GBK" w:cs="Arial"/>
          <w:b w:val="0"/>
          <w:color w:val="000000"/>
          <w:sz w:val="32"/>
          <w:szCs w:val="27"/>
        </w:rPr>
        <w:t>  </w:t>
      </w:r>
      <w:r>
        <w:rPr>
          <w:rStyle w:val="7"/>
          <w:rFonts w:ascii="Arial" w:hAnsi="Arial" w:eastAsia="方正楷体_GBK" w:cs="Arial"/>
          <w:b w:val="0"/>
          <w:color w:val="000000"/>
          <w:sz w:val="32"/>
          <w:szCs w:val="27"/>
        </w:rPr>
        <w:t>（二）机构设置</w:t>
      </w:r>
    </w:p>
    <w:p>
      <w:pPr>
        <w:keepNext w:val="0"/>
        <w:keepLines w:val="0"/>
        <w:pageBreakBefore w:val="0"/>
        <w:kinsoku/>
        <w:wordWrap/>
        <w:overflowPunct/>
        <w:topLinePunct w:val="0"/>
        <w:autoSpaceDE/>
        <w:autoSpaceDN/>
        <w:bidi w:val="0"/>
        <w:adjustRightInd/>
        <w:snapToGrid/>
        <w:spacing w:line="600" w:lineRule="exact"/>
        <w:ind w:firstLine="640" w:firstLineChars="200"/>
        <w:jc w:val="left"/>
        <w:textAlignment w:val="auto"/>
        <w:rPr>
          <w:rFonts w:eastAsia="方正仿宋_GBK"/>
          <w:sz w:val="32"/>
        </w:rPr>
      </w:pPr>
      <w:r>
        <w:rPr>
          <w:rFonts w:eastAsia="方正仿宋_GBK"/>
          <w:sz w:val="32"/>
        </w:rPr>
        <w:t xml:space="preserve">  </w:t>
      </w:r>
      <w:r>
        <w:rPr>
          <w:rFonts w:hint="eastAsia" w:eastAsia="方正仿宋_GBK"/>
          <w:sz w:val="32"/>
        </w:rPr>
        <w:t xml:space="preserve">  根据《重庆市机构编制委员会关于重庆市綦江区党政机构设置方案的通知》（渝编〔2011〕33号）和《中共重庆市綦江区委关于重庆市綦江区机构设置方案的实施意见》（綦江委发〔2011〕1号）文件精神，设立重庆市綦江区永新小学。按照《重庆市綦江区机构编制委员会关于调整重庆市綦江区教育委员会主要职责内设机构和人员编制规定的通知》（綦编〔2012〕227号）文件，本单位为重庆市綦江区教育委员会下属全额拨款事业单位，内设办公室、安保处、教导处、德育处、总务处。</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482" w:firstLineChars="200"/>
        <w:textAlignment w:val="auto"/>
        <w:rPr>
          <w:rStyle w:val="7"/>
          <w:rFonts w:ascii="Arial" w:hAnsi="Arial" w:eastAsia="方正楷体_GBK" w:cs="Arial"/>
          <w:color w:val="000000"/>
          <w:szCs w:val="27"/>
        </w:rPr>
      </w:pPr>
      <w:r>
        <w:rPr>
          <w:rStyle w:val="7"/>
          <w:rFonts w:hint="eastAsia" w:ascii="Arial" w:hAnsi="Arial" w:eastAsia="方正楷体_GBK" w:cs="Arial"/>
          <w:color w:val="000000"/>
          <w:szCs w:val="27"/>
        </w:rPr>
        <w:t>  </w:t>
      </w:r>
      <w:r>
        <w:rPr>
          <w:rStyle w:val="7"/>
          <w:rFonts w:ascii="Arial" w:hAnsi="Arial" w:eastAsia="方正楷体_GBK" w:cs="Arial"/>
          <w:b w:val="0"/>
          <w:bCs w:val="0"/>
          <w:color w:val="000000"/>
          <w:sz w:val="32"/>
          <w:szCs w:val="27"/>
        </w:rPr>
        <w:t>（三）单位构成</w:t>
      </w:r>
    </w:p>
    <w:p>
      <w:pPr>
        <w:keepNext w:val="0"/>
        <w:keepLines w:val="0"/>
        <w:pageBreakBefore w:val="0"/>
        <w:kinsoku/>
        <w:wordWrap/>
        <w:overflowPunct/>
        <w:topLinePunct w:val="0"/>
        <w:autoSpaceDE/>
        <w:autoSpaceDN/>
        <w:bidi w:val="0"/>
        <w:adjustRightInd/>
        <w:snapToGrid/>
        <w:spacing w:line="600" w:lineRule="exact"/>
        <w:ind w:firstLine="422" w:firstLineChars="200"/>
        <w:textAlignment w:val="auto"/>
        <w:rPr>
          <w:rFonts w:eastAsia="方正仿宋_GBK"/>
          <w:sz w:val="32"/>
        </w:rPr>
      </w:pPr>
      <w:r>
        <w:rPr>
          <w:b/>
          <w:bCs/>
        </w:rPr>
        <w:t>  </w:t>
      </w:r>
      <w:r>
        <w:rPr>
          <w:rFonts w:hint="eastAsia" w:eastAsia="方正仿宋_GBK"/>
          <w:sz w:val="32"/>
        </w:rPr>
        <w:t>本单位无下级预算单位。</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textAlignment w:val="auto"/>
        <w:rPr>
          <w:rStyle w:val="7"/>
          <w:rFonts w:eastAsia="方正黑体_GBK"/>
          <w:szCs w:val="33"/>
        </w:rPr>
      </w:pPr>
      <w:r>
        <w:rPr>
          <w:rStyle w:val="7"/>
          <w:rFonts w:hint="eastAsia" w:ascii="Arial" w:hAnsi="Arial" w:eastAsia="方正黑体_GBK" w:cs="Arial"/>
          <w:color w:val="000000"/>
          <w:sz w:val="32"/>
          <w:szCs w:val="33"/>
        </w:rPr>
        <w:t>二、部门决算情况说明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（一）收入支出决算总体情况说明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1.总体情况</w:t>
      </w:r>
      <w:r>
        <w:rPr>
          <w:rFonts w:hint="eastAsia" w:eastAsia="方正仿宋_GBK" w:cs="Arial"/>
          <w:color w:val="000000"/>
          <w:sz w:val="32"/>
          <w:szCs w:val="27"/>
        </w:rPr>
        <w:t>。2020年度收入总计2,417.84万元，支出总计2,417.84万元。收支较上年决算数减少1,436.79万元、 下降37.3%，主要原因是：新校区工程费用在2019年支付</w:t>
      </w:r>
      <w:r>
        <w:rPr>
          <w:rFonts w:eastAsia="方正仿宋_GBK" w:cs="Arial"/>
          <w:color w:val="000000"/>
          <w:sz w:val="32"/>
          <w:szCs w:val="27"/>
        </w:rPr>
        <w:t>1646</w:t>
      </w:r>
      <w:r>
        <w:rPr>
          <w:rFonts w:hint="eastAsia" w:eastAsia="方正仿宋_GBK" w:cs="Arial"/>
          <w:color w:val="000000"/>
          <w:sz w:val="32"/>
          <w:szCs w:val="27"/>
        </w:rPr>
        <w:t>万元</w:t>
      </w:r>
      <w:r>
        <w:rPr>
          <w:rFonts w:hint="eastAsia" w:ascii="Arial" w:hAnsi="Arial" w:eastAsia="方正仿宋_GBK" w:cs="Arial"/>
          <w:color w:val="000000" w:themeColor="text1"/>
          <w:sz w:val="32"/>
          <w:szCs w:val="27"/>
          <w14:textFill>
            <w14:solidFill>
              <w14:schemeClr w14:val="tx1"/>
            </w14:solidFill>
          </w14:textFill>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FF0000"/>
          <w:sz w:val="32"/>
          <w:szCs w:val="27"/>
          <w:shd w:val="clear" w:color="auto" w:fill="FFFF00"/>
        </w:rPr>
      </w:pPr>
      <w:r>
        <w:rPr>
          <w:rStyle w:val="7"/>
          <w:rFonts w:ascii="Arial" w:hAnsi="Arial" w:eastAsia="方正仿宋_GBK" w:cs="Arial"/>
          <w:color w:val="000000"/>
          <w:sz w:val="32"/>
          <w:szCs w:val="27"/>
        </w:rPr>
        <w:t>2.收入情况。</w:t>
      </w:r>
      <w:r>
        <w:rPr>
          <w:rFonts w:hint="eastAsia" w:eastAsia="方正仿宋_GBK" w:cs="Arial"/>
          <w:color w:val="000000"/>
          <w:sz w:val="32"/>
          <w:szCs w:val="27"/>
        </w:rPr>
        <w:t>2020年度收入合计1,980.17万元，较上年决算数减少1,371.42万元，下降40.9%，主要原因是：2019年上级安排新校区工程费用。其中：财政拨款收入1,947.56万元，占98.4%；事业收入32.61万元，占1.6%；年初结转和结余437.67万元。</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3.支出情况。</w:t>
      </w:r>
      <w:r>
        <w:rPr>
          <w:rFonts w:hint="eastAsia" w:eastAsia="方正仿宋_GBK" w:cs="Arial"/>
          <w:color w:val="000000"/>
          <w:sz w:val="32"/>
          <w:szCs w:val="27"/>
        </w:rPr>
        <w:t>2020年度支出合计2,288.77万元，较上年决算数减少1,377.18万元，下降37.6%，主要原因是：2019年上级安排新校区工程费用。其中：基本支出 2,116.40万元，占92.5%；项目支出172.37万元，占7.5%。</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4.结转结余情况。</w:t>
      </w:r>
      <w:r>
        <w:rPr>
          <w:rFonts w:hint="eastAsia" w:eastAsia="方正仿宋_GBK" w:cs="Arial"/>
          <w:color w:val="000000"/>
          <w:sz w:val="32"/>
          <w:szCs w:val="27"/>
        </w:rPr>
        <w:t>2020年度年末结转和结余129.07万元，较上年决算数减少59.60万元，下降31.6%，主要原因是加快了工程进度</w:t>
      </w:r>
      <w:r>
        <w:rPr>
          <w:rFonts w:hint="eastAsia" w:eastAsia="方正仿宋_GBK" w:cs="Arial"/>
          <w:color w:val="000000"/>
          <w:sz w:val="32"/>
          <w:szCs w:val="27"/>
          <w:lang w:eastAsia="zh-CN"/>
        </w:rPr>
        <w:t>，</w:t>
      </w:r>
      <w:r>
        <w:rPr>
          <w:rFonts w:hint="eastAsia" w:eastAsia="方正仿宋_GBK" w:cs="Arial"/>
          <w:color w:val="000000"/>
          <w:sz w:val="32"/>
          <w:szCs w:val="27"/>
        </w:rPr>
        <w:t>资金支付及时。</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（二）财政拨款收入支出决算总体情况说明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  2020年度财政拨款收、支总计2,353.36万元。与2019年相比，财政拨款收、支总计各减少1,433.82万元，下降37.9%。主要原因是2019年上级安排新校区工程费用。</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（三）一般公共预算财政拨款支出决算情况说明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1.收入情况。</w:t>
      </w:r>
      <w:r>
        <w:rPr>
          <w:rFonts w:hint="eastAsia" w:eastAsia="方正仿宋_GBK" w:cs="Arial"/>
          <w:color w:val="000000"/>
          <w:sz w:val="32"/>
          <w:szCs w:val="27"/>
        </w:rPr>
        <w:t>2020年度一般公共预算财政拨款收入1,897.56万元，较上年决算数减少1,386.59万元，下降42.2%。主要原因是：2019年上级安排新校区工程费用。较年初预算数 增加111.62万元，增长6.2%。主要原因是：增加幼儿园建设</w:t>
      </w:r>
      <w:r>
        <w:rPr>
          <w:rFonts w:hint="eastAsia" w:eastAsia="方正仿宋_GBK"/>
          <w:sz w:val="32"/>
          <w:szCs w:val="27"/>
        </w:rPr>
        <w:t>工程为调整预算及人员增资调整预算</w:t>
      </w:r>
      <w:r>
        <w:rPr>
          <w:rFonts w:hint="eastAsia" w:eastAsia="方正仿宋_GBK" w:cs="Arial"/>
          <w:color w:val="000000"/>
          <w:sz w:val="32"/>
          <w:szCs w:val="27"/>
        </w:rPr>
        <w:t>。此外，年初财政拨款结转和结余405.80万元。</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2.支出情况。</w:t>
      </w:r>
      <w:r>
        <w:rPr>
          <w:rFonts w:hint="eastAsia" w:eastAsia="方正仿宋_GBK" w:cs="Arial"/>
          <w:color w:val="000000"/>
          <w:sz w:val="32"/>
          <w:szCs w:val="27"/>
        </w:rPr>
        <w:t>2020年度一般公共预算财政拨款支出2,196.90万元，较上年决算数减少1,423.48万元，下降39.3%。主要原因是2019年上级安排新校区工程费用。较年初预算数 增加244.16万元，增长12.5%。主要原因是：增加幼儿园建设</w:t>
      </w:r>
      <w:r>
        <w:rPr>
          <w:rFonts w:hint="eastAsia" w:eastAsia="方正仿宋_GBK"/>
          <w:sz w:val="32"/>
          <w:szCs w:val="27"/>
        </w:rPr>
        <w:t>工程为调整预算及人员增资调整预算</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000000"/>
          <w:sz w:val="32"/>
          <w:szCs w:val="18"/>
        </w:rPr>
      </w:pPr>
      <w:r>
        <w:rPr>
          <w:rStyle w:val="7"/>
          <w:rFonts w:ascii="Arial" w:hAnsi="Arial" w:eastAsia="方正仿宋_GBK" w:cs="Arial"/>
          <w:color w:val="000000"/>
          <w:sz w:val="32"/>
          <w:szCs w:val="27"/>
        </w:rPr>
        <w:t>3.结转结余情况。</w:t>
      </w:r>
      <w:r>
        <w:rPr>
          <w:rFonts w:hint="eastAsia" w:eastAsia="方正仿宋_GBK" w:cs="Arial"/>
          <w:color w:val="000000"/>
          <w:sz w:val="32"/>
          <w:szCs w:val="27"/>
        </w:rPr>
        <w:t>2020年度年末一般公共预算财政拨款结转和结余106.46万元，较上年决算数减少60.34万元，下降36.2%，主要原因是加快了工程进度</w:t>
      </w:r>
      <w:r>
        <w:rPr>
          <w:rFonts w:hint="eastAsia" w:eastAsia="方正仿宋_GBK" w:cs="Arial"/>
          <w:color w:val="000000"/>
          <w:sz w:val="32"/>
          <w:szCs w:val="27"/>
          <w:lang w:eastAsia="zh-CN"/>
        </w:rPr>
        <w:t>，</w:t>
      </w:r>
      <w:r>
        <w:rPr>
          <w:rFonts w:hint="eastAsia" w:eastAsia="方正仿宋_GBK" w:cs="Arial"/>
          <w:color w:val="000000"/>
          <w:sz w:val="32"/>
          <w:szCs w:val="27"/>
        </w:rPr>
        <w:t>资金支付及时。</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Arial" w:hAnsi="Arial" w:eastAsia="方正仿宋_GBK" w:cs="Arial"/>
          <w:color w:val="FF0000"/>
          <w:sz w:val="32"/>
          <w:szCs w:val="27"/>
          <w:shd w:val="clear" w:color="auto" w:fill="FFFF00"/>
        </w:rPr>
      </w:pPr>
      <w:r>
        <w:rPr>
          <w:rStyle w:val="7"/>
          <w:rFonts w:ascii="Arial" w:hAnsi="Arial" w:eastAsia="方正仿宋_GBK" w:cs="Arial"/>
          <w:color w:val="000000"/>
          <w:sz w:val="32"/>
          <w:szCs w:val="27"/>
        </w:rPr>
        <w:t>4.比较情况</w:t>
      </w:r>
      <w:r>
        <w:rPr>
          <w:rFonts w:hint="eastAsia" w:eastAsia="方正仿宋_GBK" w:cs="Arial"/>
          <w:color w:val="000000"/>
          <w:sz w:val="32"/>
          <w:szCs w:val="27"/>
        </w:rPr>
        <w:t>。本部门2020年度一般公共预算财政拨款支出主要用于以下几个方面：</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hint="eastAsia" w:eastAsia="方正仿宋_GBK" w:cs="Arial"/>
          <w:color w:val="000000"/>
          <w:sz w:val="32"/>
          <w:szCs w:val="27"/>
        </w:rPr>
        <w:t>（1）教育支出1,433.98万元，占65.3%，较年初预算数增加102.07万元，增长7.7%，主要原因是：增加幼儿园建设</w:t>
      </w:r>
      <w:r>
        <w:rPr>
          <w:rFonts w:hint="eastAsia" w:eastAsia="方正仿宋_GBK"/>
          <w:sz w:val="32"/>
          <w:szCs w:val="27"/>
        </w:rPr>
        <w:t>工程为调整预算及人员增资调整预算</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（2）社会保障与就业支出590.92万元，占26.9%，较年初预算数增加175.82万元，增长42.4%，主要原因是</w:t>
      </w:r>
      <w:r>
        <w:rPr>
          <w:rFonts w:hint="eastAsia" w:eastAsia="方正仿宋_GBK"/>
          <w:sz w:val="32"/>
          <w:szCs w:val="27"/>
        </w:rPr>
        <w:t>人员增资和社保缴费增加</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（3）卫生健康支出85.32万元，占3.9%，较年初预算数减少35.36万元，下降29.3%，主要原因是</w:t>
      </w:r>
      <w:r>
        <w:rPr>
          <w:rFonts w:hint="eastAsia" w:eastAsia="方正仿宋_GBK"/>
          <w:sz w:val="32"/>
          <w:szCs w:val="27"/>
        </w:rPr>
        <w:t>医疗保险减少</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（4）住房保障支出86.69万元，占3.9%，较年初预算数增加1.63万元，增长1.9%，主要原因是</w:t>
      </w:r>
      <w:r>
        <w:rPr>
          <w:rFonts w:hint="eastAsia" w:eastAsia="方正仿宋_GBK"/>
          <w:sz w:val="32"/>
          <w:szCs w:val="27"/>
        </w:rPr>
        <w:t>人员增资后公积金基数增加</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（四）一般公共预算财政拨款基本支出决算情况说明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  2020年度一般公共财政拨款基本支出2,116.40万元。其中：人员经费1,994.85万元，较上年决算数增加201.19万元，增长11.2%，主要原因是</w:t>
      </w:r>
      <w:r>
        <w:rPr>
          <w:rFonts w:hint="eastAsia" w:eastAsia="方正仿宋_GBK"/>
          <w:sz w:val="32"/>
          <w:szCs w:val="27"/>
        </w:rPr>
        <w:t>人员增资和社保缴费增加</w:t>
      </w:r>
      <w:r>
        <w:rPr>
          <w:rFonts w:hint="eastAsia" w:eastAsia="方正仿宋_GBK" w:cs="Arial"/>
          <w:color w:val="000000"/>
          <w:sz w:val="32"/>
          <w:szCs w:val="27"/>
        </w:rPr>
        <w:t>。</w:t>
      </w:r>
      <w:r>
        <w:rPr>
          <w:rFonts w:hint="eastAsia" w:eastAsia="方正仿宋_GBK"/>
          <w:sz w:val="32"/>
          <w:szCs w:val="27"/>
        </w:rPr>
        <w:t>人员经费用途主要包括工资、津贴补贴、绩效工资等</w:t>
      </w:r>
      <w:r>
        <w:rPr>
          <w:rFonts w:hint="eastAsia" w:eastAsia="方正仿宋_GBK" w:cs="Arial"/>
          <w:color w:val="000000"/>
          <w:sz w:val="32"/>
          <w:szCs w:val="27"/>
        </w:rPr>
        <w:t>。公用经费121.54万元，较上年决算数增加6.31万元，增长5.5%，主要原因是</w:t>
      </w:r>
      <w:r>
        <w:rPr>
          <w:rFonts w:hint="eastAsia" w:eastAsia="方正仿宋_GBK"/>
          <w:sz w:val="32"/>
          <w:szCs w:val="27"/>
        </w:rPr>
        <w:t>上级弥补公用经费不足拨款。公用经费用途主要包括办公费、培训费、维修费、劳务费、水费、电费等</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（五）政府性基金预算收支决算情况说明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  2020年度政府性基金预算财政拨款年初结转结余0.00万元，年末结转结余0.00万元。本年收入50.00万元，较上年决算数增加50.00万元，增长%，主要原因是. 增加幼儿园建设</w:t>
      </w:r>
      <w:r>
        <w:rPr>
          <w:rFonts w:hint="eastAsia" w:eastAsia="方正仿宋_GBK"/>
          <w:sz w:val="32"/>
          <w:szCs w:val="27"/>
        </w:rPr>
        <w:t>工程</w:t>
      </w:r>
      <w:r>
        <w:rPr>
          <w:rFonts w:hint="eastAsia" w:eastAsia="方正仿宋_GBK" w:cs="Arial"/>
          <w:color w:val="000000"/>
          <w:sz w:val="32"/>
          <w:szCs w:val="27"/>
        </w:rPr>
        <w:t>。本年支出50.00万元，较上年决算数增加50.00万元，增长%，主要原因是. 增加幼儿园建设</w:t>
      </w:r>
      <w:r>
        <w:rPr>
          <w:rFonts w:hint="eastAsia" w:eastAsia="方正仿宋_GBK"/>
          <w:sz w:val="32"/>
          <w:szCs w:val="27"/>
        </w:rPr>
        <w:t>工程</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rPr>
      </w:pPr>
      <w:r>
        <w:rPr>
          <w:rStyle w:val="7"/>
          <w:rFonts w:ascii="Arial" w:hAnsi="Arial" w:eastAsia="方正楷体_GBK" w:cs="Arial"/>
          <w:color w:val="000000"/>
          <w:sz w:val="32"/>
          <w:szCs w:val="27"/>
        </w:rPr>
        <w:t>（六）国有资本经营预算财政拨款</w:t>
      </w:r>
      <w:r>
        <w:rPr>
          <w:rStyle w:val="7"/>
          <w:rFonts w:hint="eastAsia" w:ascii="Arial" w:hAnsi="Arial" w:eastAsia="方正楷体_GBK" w:cs="Arial"/>
          <w:color w:val="000000"/>
          <w:sz w:val="32"/>
          <w:szCs w:val="27"/>
          <w:lang w:eastAsia="zh-CN"/>
        </w:rPr>
        <w:t>支出</w:t>
      </w:r>
      <w:r>
        <w:rPr>
          <w:rStyle w:val="7"/>
          <w:rFonts w:ascii="Arial" w:hAnsi="Arial" w:eastAsia="方正楷体_GBK" w:cs="Arial"/>
          <w:color w:val="000000"/>
          <w:sz w:val="32"/>
          <w:szCs w:val="27"/>
        </w:rPr>
        <w:t>决算情况说明。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eastAsia="方正仿宋_GBK" w:cs="Arial"/>
          <w:color w:val="000000"/>
          <w:sz w:val="32"/>
          <w:szCs w:val="27"/>
        </w:rPr>
        <w:t>本部门2020年度无国有资本经营预算财政拨款支出。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黑体_GBK"/>
          <w:szCs w:val="33"/>
        </w:rPr>
      </w:pPr>
      <w:r>
        <w:rPr>
          <w:rStyle w:val="7"/>
          <w:rFonts w:hint="eastAsia" w:ascii="Arial" w:hAnsi="Arial" w:eastAsia="方正黑体_GBK" w:cs="Arial"/>
          <w:color w:val="000000"/>
          <w:sz w:val="32"/>
          <w:szCs w:val="33"/>
        </w:rPr>
        <w:t>三、“三公”经费情况说明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cs="Arial"/>
          <w:color w:val="000000"/>
          <w:sz w:val="32"/>
          <w:szCs w:val="27"/>
        </w:rPr>
      </w:pPr>
      <w:r>
        <w:rPr>
          <w:rStyle w:val="7"/>
          <w:rFonts w:hint="eastAsia" w:ascii="Arial" w:hAnsi="Arial" w:eastAsia="方正楷体_GBK" w:cs="Arial"/>
          <w:color w:val="000000"/>
          <w:sz w:val="32"/>
          <w:szCs w:val="27"/>
        </w:rPr>
        <w:t>（一）“三公”经费支出总体情况说明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hint="eastAsia" w:eastAsia="方正仿宋_GBK" w:cs="Arial"/>
          <w:color w:val="000000"/>
          <w:sz w:val="32"/>
          <w:szCs w:val="27"/>
        </w:rPr>
        <w:t>本单位2020年度未发生“三公”</w:t>
      </w:r>
      <w:r>
        <w:rPr>
          <w:rFonts w:hint="eastAsia" w:eastAsia="方正仿宋_GBK" w:cs="Arial"/>
          <w:color w:val="000000"/>
          <w:sz w:val="32"/>
          <w:szCs w:val="27"/>
          <w:lang w:eastAsia="zh-CN"/>
        </w:rPr>
        <w:t>经费支出</w:t>
      </w:r>
      <w:r>
        <w:rPr>
          <w:rFonts w:hint="eastAsia" w:eastAsia="方正仿宋_GBK" w:cs="Arial"/>
          <w:color w:val="000000"/>
          <w:sz w:val="32"/>
          <w:szCs w:val="27"/>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cs="Arial"/>
          <w:color w:val="000000"/>
          <w:sz w:val="32"/>
          <w:szCs w:val="27"/>
        </w:rPr>
      </w:pPr>
      <w:r>
        <w:rPr>
          <w:rStyle w:val="7"/>
          <w:rFonts w:hint="eastAsia" w:ascii="Arial" w:hAnsi="Arial" w:eastAsia="方正楷体_GBK" w:cs="Arial"/>
          <w:color w:val="000000"/>
          <w:sz w:val="32"/>
          <w:szCs w:val="27"/>
        </w:rPr>
        <w:t>（二）“三公”经费分项支出情况</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hint="eastAsia" w:eastAsia="方正仿宋_GBK" w:cs="Arial"/>
          <w:color w:val="000000"/>
          <w:sz w:val="32"/>
          <w:szCs w:val="27"/>
        </w:rPr>
        <w:t>本单位2020年度未发生因公出国（境）经费支出。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hint="eastAsia" w:eastAsia="方正仿宋_GBK" w:cs="Arial"/>
          <w:color w:val="000000"/>
          <w:sz w:val="32"/>
          <w:szCs w:val="27"/>
        </w:rPr>
        <w:t>本单位2020年度未发生公务车购置费经费支出。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color w:val="000000"/>
          <w:sz w:val="32"/>
          <w:szCs w:val="27"/>
        </w:rPr>
      </w:pPr>
      <w:r>
        <w:rPr>
          <w:rFonts w:hint="eastAsia" w:eastAsia="方正仿宋_GBK" w:cs="Arial"/>
          <w:color w:val="000000"/>
          <w:sz w:val="32"/>
          <w:szCs w:val="27"/>
        </w:rPr>
        <w:t>本单位2020年度未发生公务车运行维护费经费支出。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eastAsia="方正仿宋_GBK" w:cs="Arial"/>
          <w:bCs/>
          <w:color w:val="000000"/>
          <w:sz w:val="32"/>
          <w:szCs w:val="27"/>
        </w:rPr>
      </w:pPr>
      <w:r>
        <w:rPr>
          <w:rFonts w:hint="eastAsia" w:eastAsia="方正仿宋_GBK" w:cs="Arial"/>
          <w:bCs/>
          <w:color w:val="000000"/>
          <w:sz w:val="32"/>
          <w:szCs w:val="27"/>
        </w:rPr>
        <w:t>本单位2020年度未发生公务接待费经费支出。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cs="Arial"/>
          <w:color w:val="000000"/>
          <w:sz w:val="32"/>
          <w:szCs w:val="27"/>
        </w:rPr>
      </w:pPr>
      <w:r>
        <w:rPr>
          <w:rStyle w:val="7"/>
          <w:rFonts w:hint="eastAsia" w:ascii="Arial" w:hAnsi="Arial" w:eastAsia="方正楷体_GBK" w:cs="Arial"/>
          <w:color w:val="000000"/>
          <w:sz w:val="32"/>
          <w:szCs w:val="27"/>
        </w:rPr>
        <w:t>（三）“三公”经费实物量情况</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eastAsia="方正仿宋_GBK"/>
          <w:sz w:val="32"/>
        </w:rPr>
      </w:pPr>
      <w:r>
        <w:rPr>
          <w:rStyle w:val="7"/>
          <w:rFonts w:hint="eastAsia" w:ascii="Arial" w:hAnsi="Arial" w:eastAsia="方正仿宋_GBK" w:cs="Arial"/>
          <w:color w:val="000000"/>
          <w:sz w:val="32"/>
        </w:rPr>
        <w:t>2020年度本部门因公出国（境）共计</w:t>
      </w:r>
      <w:r>
        <w:rPr>
          <w:rFonts w:hint="eastAsia" w:eastAsia="方正仿宋_GBK"/>
          <w:sz w:val="32"/>
          <w:szCs w:val="27"/>
        </w:rPr>
        <w:t>0个团组，0人；公务用车购置0辆，公务车保有量为0辆；国内公务接待0批次0人，其中：国内外 事接待0批次，0人；国（境）外公务接待0批次，0人。2020年本部门人均接待费0.00元，车均购置费0.00万元，车均维护费0.00万元。</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黑体_GBK"/>
          <w:szCs w:val="33"/>
        </w:rPr>
      </w:pPr>
      <w:r>
        <w:rPr>
          <w:rStyle w:val="7"/>
          <w:rFonts w:hint="eastAsia" w:ascii="Arial" w:hAnsi="Arial" w:eastAsia="方正黑体_GBK" w:cs="Arial"/>
          <w:color w:val="000000"/>
          <w:sz w:val="32"/>
          <w:szCs w:val="33"/>
        </w:rPr>
        <w:t>四、其他需要说明的事项</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（一）机关运行经费情况说明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按照部门决算列报口径，我单位不在机关运行经费统计范围之内。</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（二）国有资产占用情况说明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hint="eastAsia" w:eastAsia="方正仿宋_GBK" w:cs="Arial"/>
          <w:color w:val="000000"/>
          <w:sz w:val="32"/>
          <w:szCs w:val="27"/>
        </w:rPr>
        <w:t>截至2020年12月31日，本部门共有车辆0辆，其中，副部（省）级及以上领导用车0辆、主要领导干部用车0辆、机要通信用车0辆、应急保障用车0辆、执法执勤用车0辆，特种专业技术用车0辆，离退休干部用车0辆，其他用车0辆</w:t>
      </w:r>
      <w:r>
        <w:rPr>
          <w:rFonts w:ascii="Arial" w:hAnsi="Arial" w:eastAsia="方正仿宋_GBK" w:cs="Arial"/>
          <w:color w:val="000000" w:themeColor="text1"/>
          <w:sz w:val="32"/>
          <w:szCs w:val="27"/>
          <w14:textFill>
            <w14:solidFill>
              <w14:schemeClr w14:val="tx1"/>
            </w14:solidFill>
          </w14:textFill>
        </w:rPr>
        <w:t>。</w:t>
      </w:r>
      <w:r>
        <w:rPr>
          <w:rFonts w:hint="eastAsia" w:eastAsia="方正仿宋_GBK" w:cs="Arial"/>
          <w:color w:val="000000"/>
          <w:sz w:val="32"/>
          <w:szCs w:val="27"/>
        </w:rPr>
        <w:t>单价50万元（含）以上通用设备0台（套），单价100万元（含）以上专用设备0台（套）。</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（三）政府采购支出情况说明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Arial" w:hAnsi="Arial" w:eastAsia="方正仿宋_GBK" w:cs="Arial"/>
          <w:color w:val="000000"/>
          <w:sz w:val="32"/>
          <w:szCs w:val="18"/>
        </w:rPr>
      </w:pPr>
      <w:r>
        <w:rPr>
          <w:rFonts w:eastAsia="方正仿宋_GBK" w:cs="Arial"/>
          <w:color w:val="000000"/>
          <w:sz w:val="32"/>
          <w:szCs w:val="27"/>
        </w:rPr>
        <w:t>2020年度我单位未发生政府采购事项，无相关经费支出。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黑体_GBK"/>
          <w:szCs w:val="33"/>
        </w:rPr>
      </w:pPr>
      <w:r>
        <w:rPr>
          <w:rStyle w:val="7"/>
          <w:rFonts w:hint="eastAsia" w:ascii="Arial" w:hAnsi="Arial" w:eastAsia="方正黑体_GBK" w:cs="Arial"/>
          <w:color w:val="000000"/>
          <w:sz w:val="32"/>
          <w:szCs w:val="33"/>
        </w:rPr>
        <w:t>五、预算绩效管理情况说明</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cs="Arial"/>
          <w:color w:val="000000"/>
          <w:sz w:val="32"/>
          <w:szCs w:val="27"/>
        </w:rPr>
      </w:pPr>
      <w:r>
        <w:rPr>
          <w:rStyle w:val="7"/>
          <w:rFonts w:ascii="Arial" w:hAnsi="Arial" w:eastAsia="方正楷体_GBK" w:cs="Arial"/>
          <w:color w:val="000000"/>
          <w:sz w:val="32"/>
          <w:szCs w:val="27"/>
        </w:rPr>
        <w:t>（</w:t>
      </w:r>
      <w:r>
        <w:rPr>
          <w:rStyle w:val="7"/>
          <w:rFonts w:hint="eastAsia" w:ascii="Arial" w:hAnsi="Arial" w:eastAsia="方正楷体_GBK" w:cs="Arial"/>
          <w:color w:val="000000"/>
          <w:sz w:val="32"/>
          <w:szCs w:val="27"/>
        </w:rPr>
        <w:t>一</w:t>
      </w:r>
      <w:r>
        <w:rPr>
          <w:rStyle w:val="7"/>
          <w:rFonts w:ascii="Arial" w:hAnsi="Arial" w:eastAsia="方正楷体_GBK" w:cs="Arial"/>
          <w:color w:val="000000"/>
          <w:sz w:val="32"/>
          <w:szCs w:val="27"/>
        </w:rPr>
        <w:t>）绩效管理工作开展情况</w:t>
      </w:r>
    </w:p>
    <w:p>
      <w:pPr>
        <w:keepNext w:val="0"/>
        <w:keepLines w:val="0"/>
        <w:pageBreakBefore w:val="0"/>
        <w:kinsoku/>
        <w:wordWrap/>
        <w:overflowPunct/>
        <w:topLinePunct w:val="0"/>
        <w:autoSpaceDE/>
        <w:autoSpaceDN/>
        <w:bidi w:val="0"/>
        <w:adjustRightInd/>
        <w:snapToGrid/>
        <w:spacing w:line="600" w:lineRule="exact"/>
        <w:ind w:firstLine="640" w:firstLineChars="200"/>
        <w:jc w:val="left"/>
        <w:textAlignment w:val="auto"/>
        <w:rPr>
          <w:rFonts w:eastAsia="方正仿宋_GBK"/>
          <w:sz w:val="32"/>
        </w:rPr>
      </w:pPr>
      <w:r>
        <w:rPr>
          <w:rFonts w:hint="eastAsia" w:eastAsia="方正仿宋_GBK"/>
          <w:sz w:val="32"/>
        </w:rPr>
        <w:t>预算绩效管理要求，本部门对部门8个项目开展了绩效自评，其中，以填报目标自评表形式开展自评8项，涉及资金147.51万元；无以委托第三方形式开展绩效自评，从评价情况来看，大部分项目实施较好，保障了学校的运行稳定，得到社会充分肯定。</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楷体_GBK"/>
          <w:szCs w:val="27"/>
        </w:rPr>
      </w:pPr>
      <w:r>
        <w:rPr>
          <w:rStyle w:val="7"/>
          <w:rFonts w:ascii="Arial" w:hAnsi="Arial" w:eastAsia="方正楷体_GBK" w:cs="Arial"/>
          <w:color w:val="000000"/>
          <w:sz w:val="32"/>
          <w:szCs w:val="27"/>
        </w:rPr>
        <w:t>（二）绩效自评结果</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542" w:firstLineChars="200"/>
        <w:textAlignment w:val="auto"/>
        <w:rPr>
          <w:rFonts w:ascii="Arial" w:hAnsi="Arial" w:cs="Arial"/>
          <w:color w:val="000000"/>
          <w:sz w:val="18"/>
          <w:szCs w:val="18"/>
        </w:rPr>
      </w:pPr>
      <w:r>
        <w:rPr>
          <w:rStyle w:val="7"/>
          <w:rFonts w:ascii="Arial" w:hAnsi="Arial" w:cs="Arial"/>
          <w:color w:val="000000"/>
          <w:sz w:val="27"/>
          <w:szCs w:val="27"/>
        </w:rPr>
        <w:t>1.绩效自评表</w:t>
      </w:r>
    </w:p>
    <w:tbl>
      <w:tblPr>
        <w:tblStyle w:val="5"/>
        <w:tblW w:w="9780" w:type="dxa"/>
        <w:tblInd w:w="93" w:type="dxa"/>
        <w:tblLayout w:type="autofit"/>
        <w:tblCellMar>
          <w:top w:w="0" w:type="dxa"/>
          <w:left w:w="108" w:type="dxa"/>
          <w:bottom w:w="0" w:type="dxa"/>
          <w:right w:w="108" w:type="dxa"/>
        </w:tblCellMar>
      </w:tblPr>
      <w:tblGrid>
        <w:gridCol w:w="917"/>
        <w:gridCol w:w="1491"/>
        <w:gridCol w:w="1300"/>
        <w:gridCol w:w="985"/>
        <w:gridCol w:w="1660"/>
        <w:gridCol w:w="1550"/>
        <w:gridCol w:w="924"/>
        <w:gridCol w:w="953"/>
      </w:tblGrid>
      <w:tr>
        <w:tblPrEx>
          <w:tblCellMar>
            <w:top w:w="0" w:type="dxa"/>
            <w:left w:w="108" w:type="dxa"/>
            <w:bottom w:w="0" w:type="dxa"/>
            <w:right w:w="108" w:type="dxa"/>
          </w:tblCellMar>
        </w:tblPrEx>
        <w:trPr>
          <w:trHeight w:val="585" w:hRule="atLeast"/>
        </w:trPr>
        <w:tc>
          <w:tcPr>
            <w:tcW w:w="9780" w:type="dxa"/>
            <w:gridSpan w:val="8"/>
            <w:tcBorders>
              <w:top w:val="nil"/>
              <w:left w:val="nil"/>
              <w:bottom w:val="nil"/>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jc w:val="center"/>
              <w:textAlignment w:val="auto"/>
              <w:rPr>
                <w:rFonts w:hint="eastAsia" w:ascii="方正仿宋简体" w:eastAsia="方正仿宋简体"/>
                <w:b/>
                <w:sz w:val="24"/>
              </w:rPr>
            </w:pPr>
            <w:r>
              <w:rPr>
                <w:rFonts w:hint="eastAsia" w:ascii="方正仿宋简体" w:eastAsia="方正仿宋简体"/>
                <w:b/>
                <w:sz w:val="24"/>
              </w:rPr>
              <w:t>2020年度区级预算单位项目支出绩效自评表</w:t>
            </w:r>
          </w:p>
        </w:tc>
      </w:tr>
      <w:tr>
        <w:tblPrEx>
          <w:tblCellMar>
            <w:top w:w="0" w:type="dxa"/>
            <w:left w:w="108" w:type="dxa"/>
            <w:bottom w:w="0" w:type="dxa"/>
            <w:right w:w="108" w:type="dxa"/>
          </w:tblCellMar>
        </w:tblPrEx>
        <w:trPr>
          <w:trHeight w:val="585" w:hRule="atLeast"/>
        </w:trPr>
        <w:tc>
          <w:tcPr>
            <w:tcW w:w="9780" w:type="dxa"/>
            <w:gridSpan w:val="8"/>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填表单位（盖章）：重庆市綦江区永新小学</w:t>
            </w:r>
          </w:p>
        </w:tc>
      </w:tr>
      <w:tr>
        <w:tblPrEx>
          <w:tblCellMar>
            <w:top w:w="0" w:type="dxa"/>
            <w:left w:w="108" w:type="dxa"/>
            <w:bottom w:w="0" w:type="dxa"/>
            <w:right w:w="108" w:type="dxa"/>
          </w:tblCellMar>
        </w:tblPrEx>
        <w:trPr>
          <w:trHeight w:val="645" w:hRule="atLeast"/>
        </w:trPr>
        <w:tc>
          <w:tcPr>
            <w:tcW w:w="917"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项目名称</w:t>
            </w:r>
          </w:p>
        </w:tc>
        <w:tc>
          <w:tcPr>
            <w:tcW w:w="3776"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永新中心幼儿园活动场地改造（政府债券专项）</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自评总分</w:t>
            </w:r>
          </w:p>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（分)</w:t>
            </w:r>
          </w:p>
        </w:tc>
        <w:tc>
          <w:tcPr>
            <w:tcW w:w="3427"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r>
      <w:tr>
        <w:tblPrEx>
          <w:tblCellMar>
            <w:top w:w="0" w:type="dxa"/>
            <w:left w:w="108" w:type="dxa"/>
            <w:bottom w:w="0" w:type="dxa"/>
            <w:right w:w="108" w:type="dxa"/>
          </w:tblCellMar>
        </w:tblPrEx>
        <w:trPr>
          <w:trHeight w:val="645" w:hRule="atLeast"/>
        </w:trPr>
        <w:tc>
          <w:tcPr>
            <w:tcW w:w="917"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业务主管部门</w:t>
            </w:r>
          </w:p>
        </w:tc>
        <w:tc>
          <w:tcPr>
            <w:tcW w:w="3776"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重庆市綦江区教育委员会</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联系人及电话</w:t>
            </w:r>
          </w:p>
        </w:tc>
        <w:tc>
          <w:tcPr>
            <w:tcW w:w="3427"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周开亚  13527582358</w:t>
            </w:r>
          </w:p>
        </w:tc>
      </w:tr>
      <w:tr>
        <w:tblPrEx>
          <w:tblCellMar>
            <w:top w:w="0" w:type="dxa"/>
            <w:left w:w="108" w:type="dxa"/>
            <w:bottom w:w="0" w:type="dxa"/>
            <w:right w:w="108" w:type="dxa"/>
          </w:tblCellMar>
        </w:tblPrEx>
        <w:trPr>
          <w:trHeight w:val="360" w:hRule="atLeast"/>
        </w:trPr>
        <w:tc>
          <w:tcPr>
            <w:tcW w:w="917" w:type="dxa"/>
            <w:vMerge w:val="restart"/>
            <w:tcBorders>
              <w:top w:val="nil"/>
              <w:left w:val="single" w:color="auto" w:sz="4" w:space="0"/>
              <w:bottom w:val="single" w:color="000000"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项目资金（万元）</w:t>
            </w:r>
          </w:p>
        </w:tc>
        <w:tc>
          <w:tcPr>
            <w:tcW w:w="1491"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2285" w:type="dxa"/>
            <w:gridSpan w:val="2"/>
            <w:tcBorders>
              <w:top w:val="single" w:color="auto" w:sz="4" w:space="0"/>
              <w:left w:val="single" w:color="auto" w:sz="4" w:space="0"/>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全年预算数（A）</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全年执行数（B）</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执行率%（B/A）</w:t>
            </w: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执行率得分（分）</w:t>
            </w:r>
          </w:p>
        </w:tc>
      </w:tr>
      <w:tr>
        <w:tblPrEx>
          <w:tblCellMar>
            <w:top w:w="0" w:type="dxa"/>
            <w:left w:w="108" w:type="dxa"/>
            <w:bottom w:w="0" w:type="dxa"/>
            <w:right w:w="108" w:type="dxa"/>
          </w:tblCellMar>
        </w:tblPrEx>
        <w:trPr>
          <w:trHeight w:val="360" w:hRule="atLeast"/>
        </w:trPr>
        <w:tc>
          <w:tcPr>
            <w:tcW w:w="917"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年度资金总额：</w:t>
            </w:r>
          </w:p>
        </w:tc>
        <w:tc>
          <w:tcPr>
            <w:tcW w:w="2285" w:type="dxa"/>
            <w:gridSpan w:val="2"/>
            <w:tcBorders>
              <w:top w:val="single" w:color="auto" w:sz="4" w:space="0"/>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50</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50</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w:t>
            </w:r>
          </w:p>
        </w:tc>
      </w:tr>
      <w:tr>
        <w:tblPrEx>
          <w:tblCellMar>
            <w:top w:w="0" w:type="dxa"/>
            <w:left w:w="108" w:type="dxa"/>
            <w:bottom w:w="0" w:type="dxa"/>
            <w:right w:w="108" w:type="dxa"/>
          </w:tblCellMar>
        </w:tblPrEx>
        <w:trPr>
          <w:trHeight w:val="360" w:hRule="atLeast"/>
        </w:trPr>
        <w:tc>
          <w:tcPr>
            <w:tcW w:w="917"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其中：中央补助</w:t>
            </w:r>
          </w:p>
        </w:tc>
        <w:tc>
          <w:tcPr>
            <w:tcW w:w="2285" w:type="dxa"/>
            <w:gridSpan w:val="2"/>
            <w:tcBorders>
              <w:top w:val="single" w:color="auto" w:sz="4" w:space="0"/>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r>
      <w:tr>
        <w:tblPrEx>
          <w:tblCellMar>
            <w:top w:w="0" w:type="dxa"/>
            <w:left w:w="108" w:type="dxa"/>
            <w:bottom w:w="0" w:type="dxa"/>
            <w:right w:w="108" w:type="dxa"/>
          </w:tblCellMar>
        </w:tblPrEx>
        <w:trPr>
          <w:trHeight w:val="375" w:hRule="atLeast"/>
        </w:trPr>
        <w:tc>
          <w:tcPr>
            <w:tcW w:w="917"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市级补助</w:t>
            </w:r>
          </w:p>
        </w:tc>
        <w:tc>
          <w:tcPr>
            <w:tcW w:w="2285" w:type="dxa"/>
            <w:gridSpan w:val="2"/>
            <w:tcBorders>
              <w:top w:val="single" w:color="auto" w:sz="4" w:space="0"/>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r>
      <w:tr>
        <w:tblPrEx>
          <w:tblCellMar>
            <w:top w:w="0" w:type="dxa"/>
            <w:left w:w="108" w:type="dxa"/>
            <w:bottom w:w="0" w:type="dxa"/>
            <w:right w:w="108" w:type="dxa"/>
          </w:tblCellMar>
        </w:tblPrEx>
        <w:trPr>
          <w:trHeight w:val="420" w:hRule="atLeast"/>
        </w:trPr>
        <w:tc>
          <w:tcPr>
            <w:tcW w:w="917"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区级资金</w:t>
            </w:r>
          </w:p>
        </w:tc>
        <w:tc>
          <w:tcPr>
            <w:tcW w:w="2285" w:type="dxa"/>
            <w:gridSpan w:val="2"/>
            <w:tcBorders>
              <w:top w:val="single" w:color="auto" w:sz="4" w:space="0"/>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50</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50</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r>
      <w:tr>
        <w:tblPrEx>
          <w:tblCellMar>
            <w:top w:w="0" w:type="dxa"/>
            <w:left w:w="108" w:type="dxa"/>
            <w:bottom w:w="0" w:type="dxa"/>
            <w:right w:w="108" w:type="dxa"/>
          </w:tblCellMar>
        </w:tblPrEx>
        <w:trPr>
          <w:trHeight w:val="330" w:hRule="atLeast"/>
        </w:trPr>
        <w:tc>
          <w:tcPr>
            <w:tcW w:w="917" w:type="dxa"/>
            <w:vMerge w:val="continue"/>
            <w:tcBorders>
              <w:top w:val="nil"/>
              <w:left w:val="single" w:color="auto" w:sz="4" w:space="0"/>
              <w:bottom w:val="single" w:color="000000"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其他资金</w:t>
            </w:r>
          </w:p>
        </w:tc>
        <w:tc>
          <w:tcPr>
            <w:tcW w:w="2285" w:type="dxa"/>
            <w:gridSpan w:val="2"/>
            <w:tcBorders>
              <w:top w:val="single" w:color="auto" w:sz="4" w:space="0"/>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877" w:type="dxa"/>
            <w:gridSpan w:val="2"/>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r>
      <w:tr>
        <w:tblPrEx>
          <w:tblCellMar>
            <w:top w:w="0" w:type="dxa"/>
            <w:left w:w="108" w:type="dxa"/>
            <w:bottom w:w="0" w:type="dxa"/>
            <w:right w:w="108" w:type="dxa"/>
          </w:tblCellMar>
        </w:tblPrEx>
        <w:trPr>
          <w:trHeight w:val="510" w:hRule="atLeast"/>
        </w:trPr>
        <w:tc>
          <w:tcPr>
            <w:tcW w:w="917" w:type="dxa"/>
            <w:vMerge w:val="restart"/>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年度总体目标</w:t>
            </w:r>
          </w:p>
        </w:tc>
        <w:tc>
          <w:tcPr>
            <w:tcW w:w="3776"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年初设定目标</w:t>
            </w:r>
          </w:p>
        </w:tc>
        <w:tc>
          <w:tcPr>
            <w:tcW w:w="5087" w:type="dxa"/>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全年目标实际完成情况</w:t>
            </w:r>
          </w:p>
        </w:tc>
      </w:tr>
      <w:tr>
        <w:tblPrEx>
          <w:tblCellMar>
            <w:top w:w="0" w:type="dxa"/>
            <w:left w:w="108" w:type="dxa"/>
            <w:bottom w:w="0" w:type="dxa"/>
            <w:right w:w="108" w:type="dxa"/>
          </w:tblCellMar>
        </w:tblPrEx>
        <w:trPr>
          <w:trHeight w:val="1515"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3776" w:type="dxa"/>
            <w:gridSpan w:val="3"/>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拆除青砖楼房屋960平方米并重建学校裂缝围墙78米，操场平整绿化180M2</w:t>
            </w:r>
            <w:r>
              <w:rPr>
                <w:rFonts w:hint="eastAsia"/>
                <w:lang w:eastAsia="zh-CN"/>
              </w:rPr>
              <w:t>，</w:t>
            </w:r>
            <w:r>
              <w:rPr>
                <w:rFonts w:hint="eastAsia"/>
              </w:rPr>
              <w:t>大门改造，房盖拆除，新盖琉璃瓦195M2等。保障学校师生生命财产安全，使该项维修计划的实施，让社会充分肯定。</w:t>
            </w:r>
          </w:p>
        </w:tc>
        <w:tc>
          <w:tcPr>
            <w:tcW w:w="5087" w:type="dxa"/>
            <w:gridSpan w:val="4"/>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拆除青砖楼房屋950平方米并重建学校裂缝围墙78米，操场平整绿化180M2</w:t>
            </w:r>
            <w:r>
              <w:rPr>
                <w:rFonts w:hint="eastAsia"/>
                <w:lang w:eastAsia="zh-CN"/>
              </w:rPr>
              <w:t>，</w:t>
            </w:r>
            <w:r>
              <w:rPr>
                <w:rFonts w:hint="eastAsia"/>
              </w:rPr>
              <w:t>大门改造，房盖拆除，新盖琉璃瓦等。保障学校师生生命财产安全，使该项维修计划的实施，让社会充分肯定。</w:t>
            </w:r>
          </w:p>
        </w:tc>
      </w:tr>
      <w:tr>
        <w:tblPrEx>
          <w:tblCellMar>
            <w:top w:w="0" w:type="dxa"/>
            <w:left w:w="108" w:type="dxa"/>
            <w:bottom w:w="0" w:type="dxa"/>
            <w:right w:w="108" w:type="dxa"/>
          </w:tblCellMar>
        </w:tblPrEx>
        <w:trPr>
          <w:trHeight w:val="600" w:hRule="atLeast"/>
        </w:trPr>
        <w:tc>
          <w:tcPr>
            <w:tcW w:w="917" w:type="dxa"/>
            <w:vMerge w:val="restart"/>
            <w:tcBorders>
              <w:top w:val="nil"/>
              <w:left w:val="single" w:color="auto" w:sz="4" w:space="0"/>
              <w:bottom w:val="single" w:color="auto" w:sz="4" w:space="0"/>
              <w:right w:val="single" w:color="auto" w:sz="4" w:space="0"/>
            </w:tcBorders>
            <w:shd w:val="clear" w:color="auto" w:fill="auto"/>
            <w:textDirection w:val="tbRlV"/>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绩效指标</w:t>
            </w: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指标名称</w:t>
            </w:r>
          </w:p>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（三级指标）</w:t>
            </w:r>
          </w:p>
        </w:tc>
        <w:tc>
          <w:tcPr>
            <w:tcW w:w="1300" w:type="dxa"/>
            <w:tcBorders>
              <w:top w:val="nil"/>
              <w:left w:val="nil"/>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计量单位</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指标权重</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指标值</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全年完成值</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得分系数（%）</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指标得分</w:t>
            </w:r>
          </w:p>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（分)</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改造维修面积</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平方米</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20</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4744</w:t>
            </w:r>
          </w:p>
        </w:tc>
        <w:tc>
          <w:tcPr>
            <w:tcW w:w="155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4744</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20</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工程验收合格率</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bookmarkStart w:id="0" w:name="_GoBack"/>
            <w:bookmarkEnd w:id="0"/>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w:t>
            </w:r>
          </w:p>
        </w:tc>
        <w:tc>
          <w:tcPr>
            <w:tcW w:w="1660" w:type="dxa"/>
            <w:tcBorders>
              <w:top w:val="nil"/>
              <w:left w:val="nil"/>
              <w:bottom w:val="single" w:color="auto" w:sz="4" w:space="0"/>
              <w:right w:val="single" w:color="auto" w:sz="4" w:space="0"/>
            </w:tcBorders>
            <w:shd w:val="clear" w:color="auto" w:fill="auto"/>
            <w:noWrap/>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155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工程完成率</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1550"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受益师生</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人</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30</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280</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280</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30</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师生满意率</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95%</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w:t>
            </w:r>
          </w:p>
        </w:tc>
      </w:tr>
      <w:tr>
        <w:tblPrEx>
          <w:tblCellMar>
            <w:top w:w="0" w:type="dxa"/>
            <w:left w:w="108" w:type="dxa"/>
            <w:bottom w:w="0" w:type="dxa"/>
            <w:right w:w="108" w:type="dxa"/>
          </w:tblCellMar>
        </w:tblPrEx>
        <w:trPr>
          <w:trHeight w:val="600" w:hRule="atLeast"/>
        </w:trPr>
        <w:tc>
          <w:tcPr>
            <w:tcW w:w="917" w:type="dxa"/>
            <w:vMerge w:val="continue"/>
            <w:tcBorders>
              <w:top w:val="nil"/>
              <w:left w:val="single" w:color="auto" w:sz="4" w:space="0"/>
              <w:bottom w:val="single" w:color="auto" w:sz="4" w:space="0"/>
              <w:right w:val="single" w:color="auto" w:sz="4" w:space="0"/>
            </w:tcBorders>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491"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社会满意率</w:t>
            </w:r>
          </w:p>
        </w:tc>
        <w:tc>
          <w:tcPr>
            <w:tcW w:w="130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w:t>
            </w:r>
          </w:p>
        </w:tc>
        <w:tc>
          <w:tcPr>
            <w:tcW w:w="985" w:type="dxa"/>
            <w:tcBorders>
              <w:top w:val="nil"/>
              <w:left w:val="nil"/>
              <w:bottom w:val="single" w:color="auto" w:sz="4" w:space="0"/>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w:t>
            </w:r>
          </w:p>
        </w:tc>
        <w:tc>
          <w:tcPr>
            <w:tcW w:w="166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95%</w:t>
            </w:r>
          </w:p>
        </w:tc>
        <w:tc>
          <w:tcPr>
            <w:tcW w:w="1550"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98%</w:t>
            </w:r>
          </w:p>
        </w:tc>
        <w:tc>
          <w:tcPr>
            <w:tcW w:w="924"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100%</w:t>
            </w:r>
          </w:p>
        </w:tc>
        <w:tc>
          <w:tcPr>
            <w:tcW w:w="953" w:type="dxa"/>
            <w:tcBorders>
              <w:top w:val="nil"/>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5</w:t>
            </w:r>
          </w:p>
        </w:tc>
      </w:tr>
      <w:tr>
        <w:tblPrEx>
          <w:tblCellMar>
            <w:top w:w="0" w:type="dxa"/>
            <w:left w:w="108" w:type="dxa"/>
            <w:bottom w:w="0" w:type="dxa"/>
            <w:right w:w="108" w:type="dxa"/>
          </w:tblCellMar>
        </w:tblPrEx>
        <w:trPr>
          <w:trHeight w:val="2205" w:hRule="atLeast"/>
        </w:trPr>
        <w:tc>
          <w:tcPr>
            <w:tcW w:w="917" w:type="dxa"/>
            <w:tcBorders>
              <w:top w:val="nil"/>
              <w:left w:val="single" w:color="auto" w:sz="4" w:space="0"/>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未完成绩效目标或偏离较多的原因、改进措施及其他说明</w:t>
            </w:r>
          </w:p>
        </w:tc>
        <w:tc>
          <w:tcPr>
            <w:tcW w:w="8863" w:type="dxa"/>
            <w:gridSpan w:val="7"/>
            <w:tcBorders>
              <w:top w:val="single" w:color="auto" w:sz="4" w:space="0"/>
              <w:left w:val="nil"/>
              <w:bottom w:val="single" w:color="auto" w:sz="4" w:space="0"/>
              <w:right w:val="single" w:color="auto" w:sz="4" w:space="0"/>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r>
      <w:tr>
        <w:tblPrEx>
          <w:tblCellMar>
            <w:top w:w="0" w:type="dxa"/>
            <w:left w:w="108" w:type="dxa"/>
            <w:bottom w:w="0" w:type="dxa"/>
            <w:right w:w="108" w:type="dxa"/>
          </w:tblCellMar>
        </w:tblPrEx>
        <w:trPr>
          <w:trHeight w:val="270" w:hRule="atLeast"/>
        </w:trPr>
        <w:tc>
          <w:tcPr>
            <w:tcW w:w="2408" w:type="dxa"/>
            <w:gridSpan w:val="2"/>
            <w:tcBorders>
              <w:top w:val="nil"/>
              <w:left w:val="nil"/>
              <w:bottom w:val="nil"/>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预算单位主要领导：</w:t>
            </w:r>
          </w:p>
        </w:tc>
        <w:tc>
          <w:tcPr>
            <w:tcW w:w="2285" w:type="dxa"/>
            <w:gridSpan w:val="2"/>
            <w:tcBorders>
              <w:top w:val="nil"/>
              <w:left w:val="nil"/>
              <w:bottom w:val="nil"/>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绩效评价负责人：</w:t>
            </w:r>
          </w:p>
        </w:tc>
        <w:tc>
          <w:tcPr>
            <w:tcW w:w="1660" w:type="dxa"/>
            <w:tcBorders>
              <w:top w:val="nil"/>
              <w:left w:val="nil"/>
              <w:bottom w:val="nil"/>
              <w:right w:val="nil"/>
            </w:tcBorders>
            <w:shd w:val="clear" w:color="auto" w:fill="auto"/>
            <w:noWrap/>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c>
          <w:tcPr>
            <w:tcW w:w="1550" w:type="dxa"/>
            <w:tcBorders>
              <w:top w:val="nil"/>
              <w:left w:val="nil"/>
              <w:bottom w:val="nil"/>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经办人：</w:t>
            </w:r>
          </w:p>
        </w:tc>
        <w:tc>
          <w:tcPr>
            <w:tcW w:w="924" w:type="dxa"/>
            <w:tcBorders>
              <w:top w:val="nil"/>
              <w:left w:val="nil"/>
              <w:bottom w:val="nil"/>
              <w:right w:val="nil"/>
            </w:tcBorders>
            <w:shd w:val="clear" w:color="auto" w:fill="auto"/>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r>
              <w:rPr>
                <w:rFonts w:hint="eastAsia"/>
              </w:rPr>
              <w:t>周开亚</w:t>
            </w:r>
          </w:p>
        </w:tc>
        <w:tc>
          <w:tcPr>
            <w:tcW w:w="953" w:type="dxa"/>
            <w:tcBorders>
              <w:top w:val="nil"/>
              <w:left w:val="nil"/>
              <w:bottom w:val="nil"/>
              <w:right w:val="nil"/>
            </w:tcBorders>
            <w:shd w:val="clear" w:color="auto" w:fill="auto"/>
            <w:noWrap/>
            <w:vAlign w:val="center"/>
          </w:tcPr>
          <w:p>
            <w:pPr>
              <w:keepNext w:val="0"/>
              <w:keepLines w:val="0"/>
              <w:pageBreakBefore w:val="0"/>
              <w:kinsoku/>
              <w:wordWrap/>
              <w:overflowPunct/>
              <w:topLinePunct w:val="0"/>
              <w:autoSpaceDE/>
              <w:autoSpaceDN/>
              <w:bidi w:val="0"/>
              <w:adjustRightInd/>
              <w:snapToGrid/>
              <w:spacing w:line="600" w:lineRule="exact"/>
              <w:textAlignment w:val="auto"/>
              <w:rPr>
                <w:rFonts w:hint="eastAsia"/>
              </w:rPr>
            </w:pPr>
          </w:p>
        </w:tc>
      </w:tr>
    </w:tbl>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360" w:firstLineChars="200"/>
        <w:textAlignment w:val="auto"/>
        <w:rPr>
          <w:rFonts w:ascii="Arial" w:hAnsi="Arial" w:cs="Arial"/>
          <w:color w:val="000000"/>
          <w:sz w:val="18"/>
          <w:szCs w:val="18"/>
        </w:rPr>
      </w:pP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Fonts w:hint="eastAsia" w:ascii="方正仿宋_GBK" w:eastAsia="方正仿宋_GBK" w:cs="Arial"/>
          <w:b/>
          <w:bCs/>
          <w:color w:val="000000"/>
          <w:sz w:val="32"/>
        </w:rPr>
        <w:t>2.绩效自评报告或案例</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方正仿宋_GBK" w:eastAsia="方正仿宋_GBK" w:cs="Arial"/>
          <w:color w:val="000000"/>
          <w:sz w:val="32"/>
          <w:szCs w:val="27"/>
        </w:rPr>
      </w:pPr>
      <w:r>
        <w:rPr>
          <w:rFonts w:hint="eastAsia" w:ascii="方正仿宋_GBK" w:eastAsia="方正仿宋_GBK" w:cs="Arial"/>
          <w:color w:val="000000"/>
          <w:sz w:val="32"/>
          <w:szCs w:val="27"/>
        </w:rPr>
        <w:t>无委托第三方开展绩效自评。</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ascii="Arial" w:hAnsi="Arial" w:eastAsia="方正楷体_GBK" w:cs="Arial"/>
          <w:color w:val="000000"/>
          <w:sz w:val="32"/>
          <w:szCs w:val="27"/>
        </w:rPr>
      </w:pPr>
      <w:r>
        <w:rPr>
          <w:rStyle w:val="7"/>
          <w:rFonts w:hint="eastAsia" w:ascii="Arial" w:hAnsi="Arial" w:eastAsia="方正楷体_GBK" w:cs="Arial"/>
          <w:color w:val="000000"/>
          <w:sz w:val="32"/>
          <w:szCs w:val="27"/>
        </w:rPr>
        <w:t>（三）重点绩效评价结果</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方正仿宋_GBK" w:eastAsia="方正仿宋_GBK" w:cs="Arial"/>
          <w:color w:val="000000"/>
          <w:sz w:val="32"/>
          <w:szCs w:val="27"/>
        </w:rPr>
      </w:pPr>
      <w:r>
        <w:rPr>
          <w:rFonts w:hint="eastAsia" w:ascii="方正仿宋_GBK" w:eastAsia="方正仿宋_GBK" w:cs="Arial"/>
          <w:color w:val="000000"/>
          <w:sz w:val="32"/>
          <w:szCs w:val="27"/>
        </w:rPr>
        <w:t>无委托第三方对部门政策或项目开展重点绩效评价</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黑体_GBK"/>
          <w:sz w:val="32"/>
          <w:szCs w:val="33"/>
        </w:rPr>
      </w:pPr>
      <w:r>
        <w:rPr>
          <w:rStyle w:val="7"/>
          <w:rFonts w:hint="eastAsia" w:ascii="Arial" w:hAnsi="Arial" w:eastAsia="方正黑体_GBK" w:cs="Arial"/>
          <w:color w:val="000000"/>
          <w:sz w:val="32"/>
          <w:szCs w:val="33"/>
        </w:rPr>
        <w:t>六、专业名词解释</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（一）财政拨款收入</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指本年度从本级财政部门取得的财政拨款，包括一般公共预算财政拨款和政府性基金预算财政拨款。</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（二）事业收入</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指事业单位开展专业业务活动及其辅助活动取得的现金流入；事业单位收到的财政专户实际核拨的教育收费等资金在此反映。</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（三）经营收入</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指事业单位在专业业务活动及其辅助活动之外开展非独立核算经营活动取得的现金流入。</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（四）其他收入</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单位取得的除“财政拨款收入”、“事业收入”、“经营收入”等以外的收入，包括未纳入财政预算或财政专户管理的投资收益、银行存款利息收入、租金收入、捐赠收入，现金盘盈收入、存货盘盈收入、收回已核销的应收及预付款项、无法偿付的应付及预收款项等。各单位从本级财政部门以外的同级单位取得的经费、从非本级财政部门取得的经费，以及行政单位收到的财政专户管理资金反映在本项内。</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（五）使用非财政拨款结余</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指单位在当年的“财政拨款收入”、“事业收入”、“经营收入”、“其他收入”等不足以安排当年支出的情况下，使用以前年度积累的非财政拨款结余弥补本年度收支缺口的资金。</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（六）年初结转和结余</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指单位上年结转本年使用的基本支出结转、项目支出结转和结余、经营结余。</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（七）结余分配</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指单位按照国家有关规定，缴纳所得税、提取专用基金、转入非财政拨款结余等当年结余的分配情况。</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（八）年末结转和结余</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指单位结转下年的基本支出结转、项目支出结转和结余、经营结余。</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（九）基本支出</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（十）项目支出</w:t>
      </w:r>
      <w:r>
        <w:rPr>
          <w:rStyle w:val="7"/>
          <w:rFonts w:hint="eastAsia" w:ascii="Arial" w:hAnsi="Arial" w:eastAsia="方正楷体_GBK"/>
        </w:rPr>
        <w:t>：</w:t>
      </w:r>
      <w:r>
        <w:rPr>
          <w:rFonts w:hint="eastAsia" w:ascii="方正仿宋_GBK" w:eastAsia="方正仿宋_GBK" w:cs="Arial"/>
          <w:color w:val="000000"/>
          <w:sz w:val="32"/>
          <w:szCs w:val="27"/>
        </w:rPr>
        <w:t>指在基本支出之外为完成特定行政任务和事业发展目标所发生的支出。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（十一）经营支出</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指事业单位在专业业务活动及其辅助活动之外开展非独立核算经营活动发生的支出。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（十二）“三公”经费</w:t>
      </w:r>
      <w:r>
        <w:rPr>
          <w:rStyle w:val="7"/>
          <w:rFonts w:hint="eastAsia" w:ascii="Arial" w:hAnsi="Arial" w:eastAsia="方正楷体_GBK"/>
        </w:rPr>
        <w:t>：</w:t>
      </w:r>
      <w:r>
        <w:rPr>
          <w:rFonts w:hint="eastAsia" w:ascii="方正仿宋_GBK" w:eastAsia="方正仿宋_GBK" w:cs="Arial"/>
          <w:color w:val="000000"/>
          <w:sz w:val="32"/>
          <w:szCs w:val="27"/>
        </w:rPr>
        <w:t>指用一般公共预算财政拨款安排的因公出国（境）费、公务用车购置及运行维护费、公务接待费。其中，因公出国（境）费反映单位公务出国（境）的国际旅费、国外城市间交通费、住宿费、伙食费、培训费、公杂费等支出；公务用车购置费反映单位公务用车购置支出（含车辆购置税）；公务用车运行维护费反映单位按规定保留的公务用车燃料费、维修费、过路过桥费、保险费、安全奖励费用等支出；公务接待费反映单位按规定开支的各类公务接待（含外宾接待）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（十三）机关运行经费</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为保障行政单位（含参照公务员法管理的事业单位）运行用于购买货物和服务等的各项公用经费，包括办公及印刷费、邮电费、差旅费、会议费、福利费、日常维护 费、专用材料及一般设备购置费、办公用房水电费、办公用房取暖费、办公用房物业管理费、公务用车运行维护费以及其他费用。</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（十四）工资福利支出（支出经济分类科目类级）</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反映单位开支的在职职工和编制外长期聘用人员的各类劳动报酬，以及为上述人员缴纳的各项社会保险费等。</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（十五）商品和服务支出（支出经济分类科目类级）</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反映单位购买商品和服务的支出（不包括用于购置固定资产的支出、战略性和应急储备支出）。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（十六）对个人和家庭的补助（支出经济分类科目类级）</w:t>
      </w:r>
      <w:r>
        <w:rPr>
          <w:rStyle w:val="7"/>
          <w:rFonts w:hint="eastAsia" w:ascii="Arial" w:hAnsi="Arial" w:eastAsia="方正楷体_GBK" w:cs="Arial"/>
          <w:color w:val="000000"/>
          <w:sz w:val="32"/>
          <w:szCs w:val="27"/>
        </w:rPr>
        <w:t>：</w:t>
      </w:r>
      <w:r>
        <w:rPr>
          <w:rFonts w:hint="eastAsia" w:ascii="方正仿宋_GBK" w:eastAsia="方正仿宋_GBK" w:cs="Arial"/>
          <w:color w:val="000000"/>
          <w:sz w:val="32"/>
          <w:szCs w:val="27"/>
        </w:rPr>
        <w:t>反映用于对个人和家庭的补助支出。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Fonts w:ascii="方正仿宋_GBK" w:eastAsia="方正仿宋_GBK" w:cs="Arial"/>
          <w:color w:val="000000"/>
          <w:sz w:val="32"/>
          <w:szCs w:val="27"/>
        </w:rPr>
      </w:pPr>
      <w:r>
        <w:rPr>
          <w:rStyle w:val="7"/>
          <w:rFonts w:ascii="Arial" w:hAnsi="Arial" w:eastAsia="方正楷体_GBK" w:cs="Arial"/>
          <w:color w:val="000000"/>
          <w:sz w:val="32"/>
          <w:szCs w:val="27"/>
        </w:rPr>
        <w:t>（十七）其他资本性支出（支出经济分类科目类级）</w:t>
      </w:r>
      <w:r>
        <w:rPr>
          <w:rFonts w:hint="eastAsia" w:ascii="方正仿宋_GBK" w:eastAsia="方正仿宋_GBK"/>
          <w:b/>
          <w:bCs/>
        </w:rPr>
        <w:t>：</w:t>
      </w:r>
      <w:r>
        <w:rPr>
          <w:rFonts w:hint="eastAsia" w:ascii="方正仿宋_GBK" w:eastAsia="方正仿宋_GBK" w:cs="Arial"/>
          <w:bCs/>
          <w:color w:val="000000"/>
          <w:sz w:val="32"/>
          <w:szCs w:val="27"/>
        </w:rPr>
        <w:t>反映</w:t>
      </w:r>
      <w:r>
        <w:rPr>
          <w:rFonts w:hint="eastAsia" w:ascii="方正仿宋_GBK" w:eastAsia="方正仿宋_GBK" w:cs="Arial"/>
          <w:color w:val="000000"/>
          <w:sz w:val="32"/>
          <w:szCs w:val="27"/>
        </w:rPr>
        <w:t>非各级发展与改革部门集中安排的用于购置固定资产、战略性和应急性储备、土地和无形资产，以及构建基础设施、大型修缮和财政支持企业更新改造所发生的支出。</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3" w:firstLineChars="200"/>
        <w:textAlignment w:val="auto"/>
        <w:rPr>
          <w:rStyle w:val="7"/>
          <w:rFonts w:eastAsia="方正黑体_GBK"/>
          <w:sz w:val="32"/>
          <w:szCs w:val="33"/>
        </w:rPr>
      </w:pPr>
      <w:r>
        <w:rPr>
          <w:rStyle w:val="7"/>
          <w:rFonts w:hint="eastAsia" w:ascii="Arial" w:hAnsi="Arial" w:eastAsia="方正黑体_GBK" w:cs="Arial"/>
          <w:color w:val="000000"/>
          <w:sz w:val="32"/>
          <w:szCs w:val="33"/>
        </w:rPr>
        <w:t>七、决算公开联系方式及信息反馈渠道</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ind w:firstLine="640" w:firstLineChars="200"/>
        <w:textAlignment w:val="auto"/>
        <w:rPr>
          <w:rFonts w:ascii="方正仿宋_GBK" w:hAnsi="Arial" w:eastAsia="方正仿宋_GBK" w:cs="Arial"/>
          <w:color w:val="000000"/>
          <w:sz w:val="32"/>
          <w:szCs w:val="18"/>
        </w:rPr>
      </w:pPr>
      <w:r>
        <w:rPr>
          <w:rFonts w:hint="eastAsia" w:ascii="方正仿宋_GBK" w:eastAsia="方正仿宋_GBK" w:cs="Arial"/>
          <w:color w:val="000000"/>
          <w:sz w:val="32"/>
          <w:szCs w:val="27"/>
        </w:rPr>
        <w:t>本单位决算公开信息反馈和联系方式：（周开亚023-48460039）</w:t>
      </w:r>
    </w:p>
    <w:sectPr>
      <w:pgSz w:w="11906" w:h="16838"/>
      <w:pgMar w:top="1440" w:right="1418" w:bottom="1440"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D543964-4937-416B-8F7F-461197E4522B}"/>
  </w:font>
  <w:font w:name="Arial">
    <w:panose1 w:val="020B0604020202020204"/>
    <w:charset w:val="01"/>
    <w:family w:val="swiss"/>
    <w:pitch w:val="default"/>
    <w:sig w:usb0="E0002AFF" w:usb1="C0007843" w:usb2="00000009" w:usb3="00000000" w:csb0="400001FF" w:csb1="FFFF0000"/>
    <w:embedRegular r:id="rId2" w:fontKey="{A2D8C465-ED72-46B4-B90A-0B1B4F13C797}"/>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6F2D8F5E-7D36-4380-BBF2-ED439CF7EF47}"/>
  </w:font>
  <w:font w:name="Symbol">
    <w:panose1 w:val="05050102010706020507"/>
    <w:charset w:val="02"/>
    <w:family w:val="roman"/>
    <w:pitch w:val="default"/>
    <w:sig w:usb0="00000000" w:usb1="00000000" w:usb2="00000000" w:usb3="00000000" w:csb0="80000000" w:csb1="00000000"/>
    <w:embedRegular r:id="rId4" w:fontKey="{5701D162-0B4C-4074-A901-631611A5F9E2}"/>
  </w:font>
  <w:font w:name="Calibri">
    <w:panose1 w:val="020F0502020204030204"/>
    <w:charset w:val="00"/>
    <w:family w:val="swiss"/>
    <w:pitch w:val="default"/>
    <w:sig w:usb0="E00002FF" w:usb1="4000ACFF" w:usb2="00000001" w:usb3="00000000" w:csb0="2000019F" w:csb1="00000000"/>
    <w:embedRegular r:id="rId5" w:fontKey="{FF27DE61-37F9-411C-956F-F119095DE550}"/>
  </w:font>
  <w:font w:name="方正小标宋_GBK">
    <w:panose1 w:val="03000509000000000000"/>
    <w:charset w:val="86"/>
    <w:family w:val="script"/>
    <w:pitch w:val="default"/>
    <w:sig w:usb0="00000001" w:usb1="080E0000" w:usb2="00000000" w:usb3="00000000" w:csb0="00040000" w:csb1="00000000"/>
    <w:embedRegular r:id="rId6" w:fontKey="{16255E0A-8101-4947-A633-5DF9DF807C7E}"/>
  </w:font>
  <w:font w:name="方正黑体_GBK">
    <w:panose1 w:val="03000509000000000000"/>
    <w:charset w:val="86"/>
    <w:family w:val="script"/>
    <w:pitch w:val="default"/>
    <w:sig w:usb0="00000001" w:usb1="080E0000" w:usb2="00000000" w:usb3="00000000" w:csb0="00040000" w:csb1="00000000"/>
    <w:embedRegular r:id="rId7" w:fontKey="{355DFA0F-EA44-4E0D-92A9-4CAFC9CC7F24}"/>
  </w:font>
  <w:font w:name="方正楷体_GBK">
    <w:panose1 w:val="03000509000000000000"/>
    <w:charset w:val="86"/>
    <w:family w:val="script"/>
    <w:pitch w:val="default"/>
    <w:sig w:usb0="00000001" w:usb1="080E0000" w:usb2="00000000" w:usb3="00000000" w:csb0="00040000" w:csb1="00000000"/>
    <w:embedRegular r:id="rId8" w:fontKey="{D928C623-37B0-4703-9A6A-0F2CF2553DDA}"/>
  </w:font>
  <w:font w:name="方正仿宋_GBK">
    <w:panose1 w:val="03000509000000000000"/>
    <w:charset w:val="86"/>
    <w:family w:val="script"/>
    <w:pitch w:val="default"/>
    <w:sig w:usb0="00000001" w:usb1="080E0000" w:usb2="00000000" w:usb3="00000000" w:csb0="00040000" w:csb1="00000000"/>
    <w:embedRegular r:id="rId9" w:fontKey="{B972B1D4-1BC9-453A-8366-B352D31551A2}"/>
  </w:font>
  <w:font w:name="方正仿宋简体">
    <w:panose1 w:val="02010601030101010101"/>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EzYWYxYTY4NzQ3ZjAxZTg4Njg0OTUxNTYxM2Y5ZGQifQ=="/>
  </w:docVars>
  <w:rsids>
    <w:rsidRoot w:val="00C22DB5"/>
    <w:rsid w:val="00017A98"/>
    <w:rsid w:val="0006432A"/>
    <w:rsid w:val="00074018"/>
    <w:rsid w:val="0008569B"/>
    <w:rsid w:val="000F283A"/>
    <w:rsid w:val="00152467"/>
    <w:rsid w:val="00190DF2"/>
    <w:rsid w:val="0019108B"/>
    <w:rsid w:val="00243A6B"/>
    <w:rsid w:val="002A57C2"/>
    <w:rsid w:val="00323F65"/>
    <w:rsid w:val="00351638"/>
    <w:rsid w:val="003870DB"/>
    <w:rsid w:val="00407169"/>
    <w:rsid w:val="00446A91"/>
    <w:rsid w:val="00472D0A"/>
    <w:rsid w:val="00515032"/>
    <w:rsid w:val="00533ACC"/>
    <w:rsid w:val="005357D8"/>
    <w:rsid w:val="00541D36"/>
    <w:rsid w:val="00543D4C"/>
    <w:rsid w:val="00560EE2"/>
    <w:rsid w:val="005A4796"/>
    <w:rsid w:val="00614F15"/>
    <w:rsid w:val="006346E2"/>
    <w:rsid w:val="0064714F"/>
    <w:rsid w:val="006756B1"/>
    <w:rsid w:val="007F48F9"/>
    <w:rsid w:val="0082267A"/>
    <w:rsid w:val="008275FB"/>
    <w:rsid w:val="00840529"/>
    <w:rsid w:val="00841CF2"/>
    <w:rsid w:val="008F7E1A"/>
    <w:rsid w:val="009161C3"/>
    <w:rsid w:val="0093458A"/>
    <w:rsid w:val="00953BFC"/>
    <w:rsid w:val="00996769"/>
    <w:rsid w:val="009E15F6"/>
    <w:rsid w:val="00A13B5D"/>
    <w:rsid w:val="00A54EBD"/>
    <w:rsid w:val="00A75348"/>
    <w:rsid w:val="00AD439E"/>
    <w:rsid w:val="00AE6BE9"/>
    <w:rsid w:val="00B054D3"/>
    <w:rsid w:val="00B27697"/>
    <w:rsid w:val="00C16746"/>
    <w:rsid w:val="00C22DB5"/>
    <w:rsid w:val="00C45D69"/>
    <w:rsid w:val="00C72514"/>
    <w:rsid w:val="00C72F09"/>
    <w:rsid w:val="00C86B1A"/>
    <w:rsid w:val="00CD0C44"/>
    <w:rsid w:val="00CE27AF"/>
    <w:rsid w:val="00D516AF"/>
    <w:rsid w:val="00DC5567"/>
    <w:rsid w:val="00F14658"/>
    <w:rsid w:val="00F1653E"/>
    <w:rsid w:val="00F52341"/>
    <w:rsid w:val="08353BFD"/>
    <w:rsid w:val="56DC0C0E"/>
    <w:rsid w:val="786044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7">
    <w:name w:val="Strong"/>
    <w:basedOn w:val="6"/>
    <w:qFormat/>
    <w:uiPriority w:val="22"/>
    <w:rPr>
      <w:b/>
      <w:bCs/>
    </w:rPr>
  </w:style>
  <w:style w:type="character" w:customStyle="1" w:styleId="8">
    <w:name w:val="页眉 Char"/>
    <w:basedOn w:val="6"/>
    <w:link w:val="3"/>
    <w:qFormat/>
    <w:uiPriority w:val="99"/>
    <w:rPr>
      <w:sz w:val="18"/>
      <w:szCs w:val="18"/>
    </w:rPr>
  </w:style>
  <w:style w:type="character" w:customStyle="1" w:styleId="9">
    <w:name w:val="页脚 Char"/>
    <w:basedOn w:val="6"/>
    <w:link w:val="2"/>
    <w:qFormat/>
    <w:uiPriority w:val="99"/>
    <w:rPr>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8D8306E-362C-4E56-941B-412EB312289E}">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11</Pages>
  <Words>4462</Words>
  <Characters>5027</Characters>
  <Lines>37</Lines>
  <Paragraphs>10</Paragraphs>
  <TotalTime>96</TotalTime>
  <ScaleCrop>false</ScaleCrop>
  <LinksUpToDate>false</LinksUpToDate>
  <CharactersWithSpaces>5056</CharactersWithSpaces>
  <Application>WPS Office_11.1.0.12012_F1E327BC-269C-435d-A152-05C5408002CA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2022-08-28T00:28:00Z</dcterms:created>
  <dc:creator>重庆市綦江区永新小学</dc:creator>
  <cp:lastModifiedBy>陈列</cp:lastModifiedBy>
  <dcterms:modified xsi:type="dcterms:W3CDTF">2022-09-01T15:22:44Z</dcterms:modified>
  <cp:revision>61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2052-11.1.0.12012</vt:lpwstr>
  </property>
  <property fmtid="{D5CDD505-2E9C-101B-9397-08002B2CF9AE}" pid="3" name="ICV">
    <vt:lpwstr>0FB99848559045039A6AFD389E34948D</vt:lpwstr>
  </property>
  <property fmtid="{D5CDD505-2E9C-101B-9397-08002B2CF9AE}" pid="4" name="KSOSaveFontToCloudKey">
    <vt:lpwstr>248773679_embed</vt:lpwstr>
  </property>
</Properties>
</file>