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600" w:lineRule="exact"/>
        <w:jc w:val="center"/>
        <w:rPr>
          <w:rFonts w:ascii="方正小标宋_GBK" w:hAnsi="宋体" w:eastAsia="方正小标宋_GBK" w:cs="宋体"/>
          <w:kern w:val="0"/>
          <w:sz w:val="44"/>
          <w:szCs w:val="44"/>
        </w:rPr>
      </w:pPr>
      <w:r>
        <w:rPr>
          <w:rFonts w:hint="eastAsia" w:ascii="方正小标宋_GBK" w:hAnsi="宋体" w:eastAsia="方正小标宋_GBK" w:cs="宋体"/>
          <w:kern w:val="0"/>
          <w:sz w:val="44"/>
          <w:szCs w:val="44"/>
          <w:shd w:val="clear" w:color="auto" w:fill="FFFFFF"/>
        </w:rPr>
        <w:t>重庆市綦江区适中学校</w:t>
      </w:r>
    </w:p>
    <w:p>
      <w:pPr>
        <w:widowControl/>
        <w:snapToGrid w:val="0"/>
        <w:spacing w:line="600" w:lineRule="exact"/>
        <w:jc w:val="center"/>
        <w:rPr>
          <w:rFonts w:ascii="方正小标宋_GBK" w:hAnsi="宋体" w:eastAsia="方正小标宋_GBK" w:cs="宋体"/>
          <w:kern w:val="0"/>
          <w:sz w:val="44"/>
          <w:szCs w:val="44"/>
        </w:rPr>
      </w:pPr>
      <w:r>
        <w:rPr>
          <w:rFonts w:hint="eastAsia" w:ascii="方正小标宋_GBK" w:hAnsi="宋体" w:eastAsia="方正小标宋_GBK" w:cs="宋体"/>
          <w:kern w:val="0"/>
          <w:sz w:val="44"/>
          <w:szCs w:val="44"/>
          <w:shd w:val="clear" w:color="auto" w:fill="FFFFFF"/>
        </w:rPr>
        <w:t>2020年度部门决算情况说明</w:t>
      </w:r>
    </w:p>
    <w:p>
      <w:pPr>
        <w:widowControl/>
        <w:snapToGrid w:val="0"/>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shd w:val="clear" w:color="auto" w:fill="FFFFFF"/>
        </w:rPr>
        <w:t xml:space="preserve"> </w:t>
      </w:r>
    </w:p>
    <w:p>
      <w:pPr>
        <w:widowControl/>
        <w:snapToGrid w:val="0"/>
        <w:spacing w:line="600" w:lineRule="exact"/>
        <w:ind w:firstLine="640" w:firstLineChars="200"/>
        <w:jc w:val="left"/>
        <w:rPr>
          <w:rFonts w:ascii="方正黑体_GBK" w:hAnsi="宋体" w:eastAsia="方正黑体_GBK" w:cs="宋体"/>
          <w:b/>
          <w:kern w:val="0"/>
          <w:sz w:val="32"/>
          <w:szCs w:val="32"/>
        </w:rPr>
      </w:pPr>
      <w:r>
        <w:rPr>
          <w:rFonts w:hint="eastAsia" w:ascii="方正黑体_GBK" w:hAnsi="Times New Roman" w:eastAsia="方正黑体_GBK" w:cs="Times New Roman"/>
          <w:kern w:val="0"/>
          <w:sz w:val="32"/>
        </w:rPr>
        <w:t>一、部门基本情况</w:t>
      </w:r>
    </w:p>
    <w:p>
      <w:pPr>
        <w:widowControl/>
        <w:snapToGrid w:val="0"/>
        <w:spacing w:line="600" w:lineRule="exact"/>
        <w:ind w:firstLine="643" w:firstLineChars="200"/>
        <w:jc w:val="left"/>
        <w:rPr>
          <w:rFonts w:ascii="方正楷体_GBK" w:hAnsi="宋体" w:eastAsia="宋体" w:cs="Times New Roman"/>
          <w:b/>
          <w:kern w:val="0"/>
          <w:sz w:val="24"/>
          <w:szCs w:val="24"/>
          <w:shd w:val="clear" w:color="auto" w:fill="FFFFFF"/>
        </w:rPr>
      </w:pPr>
      <w:r>
        <w:rPr>
          <w:rFonts w:hint="eastAsia" w:ascii="方正楷体_GBK" w:hAnsi="Times New Roman" w:eastAsia="方正楷体_GBK" w:cs="Times New Roman"/>
          <w:b/>
          <w:kern w:val="0"/>
          <w:sz w:val="32"/>
        </w:rPr>
        <w:t xml:space="preserve">  </w:t>
      </w:r>
      <w:r>
        <w:rPr>
          <w:rFonts w:hint="eastAsia" w:ascii="方正楷体_GBK" w:hAnsi="Times New Roman" w:eastAsia="方正楷体_GBK" w:cs="Times New Roman"/>
          <w:kern w:val="0"/>
          <w:sz w:val="32"/>
        </w:rPr>
        <w:t>（一）职能职责</w:t>
      </w:r>
    </w:p>
    <w:p>
      <w:pPr>
        <w:widowControl/>
        <w:snapToGrid w:val="0"/>
        <w:spacing w:line="600" w:lineRule="exact"/>
        <w:ind w:firstLine="640" w:firstLineChars="200"/>
        <w:jc w:val="left"/>
        <w:rPr>
          <w:rFonts w:ascii="方正仿宋_GBK" w:hAnsi="宋体" w:eastAsia="方正仿宋_GBK" w:cs="宋体"/>
          <w:kern w:val="0"/>
          <w:sz w:val="32"/>
          <w:szCs w:val="32"/>
        </w:rPr>
      </w:pPr>
      <w:r>
        <w:rPr>
          <w:rFonts w:hint="eastAsia" w:ascii="方正仿宋_GBK" w:hAnsi="FangSong_GB2312" w:eastAsia="方正仿宋_GBK" w:cs="宋体"/>
          <w:kern w:val="0"/>
          <w:sz w:val="32"/>
          <w:szCs w:val="32"/>
        </w:rPr>
        <w:t>实施小学义务教育，促进基础教育发展。小学学历教育（相关社会服务）</w:t>
      </w:r>
    </w:p>
    <w:p>
      <w:pPr>
        <w:widowControl/>
        <w:snapToGrid w:val="0"/>
        <w:spacing w:line="600" w:lineRule="exact"/>
        <w:ind w:firstLine="643" w:firstLineChars="200"/>
        <w:jc w:val="left"/>
        <w:rPr>
          <w:rFonts w:ascii="方正楷体_GBK" w:hAnsi="宋体" w:eastAsia="方正楷体_GBK" w:cs="Times New Roman"/>
          <w:b/>
          <w:kern w:val="0"/>
          <w:sz w:val="24"/>
          <w:szCs w:val="24"/>
          <w:shd w:val="clear" w:color="auto" w:fill="FFFFFF"/>
        </w:rPr>
      </w:pPr>
      <w:r>
        <w:rPr>
          <w:rFonts w:hint="eastAsia" w:ascii="方正楷体_GBK" w:hAnsi="Times New Roman" w:eastAsia="方正楷体_GBK" w:cs="Times New Roman"/>
          <w:b/>
          <w:kern w:val="0"/>
          <w:sz w:val="32"/>
        </w:rPr>
        <w:t xml:space="preserve">  </w:t>
      </w:r>
      <w:r>
        <w:rPr>
          <w:rFonts w:hint="eastAsia" w:ascii="方正楷体_GBK" w:hAnsi="Times New Roman" w:eastAsia="方正楷体_GBK" w:cs="Times New Roman"/>
          <w:kern w:val="0"/>
          <w:sz w:val="32"/>
        </w:rPr>
        <w:t>（二）机构设置</w:t>
      </w:r>
    </w:p>
    <w:p>
      <w:pPr>
        <w:widowControl/>
        <w:snapToGrid w:val="0"/>
        <w:spacing w:line="600" w:lineRule="exact"/>
        <w:ind w:firstLine="540" w:firstLineChars="200"/>
        <w:jc w:val="left"/>
        <w:rPr>
          <w:rFonts w:ascii="FangSong_GB2312" w:hAnsi="宋体" w:eastAsia="宋体" w:cs="宋体"/>
          <w:kern w:val="0"/>
          <w:sz w:val="24"/>
          <w:szCs w:val="24"/>
        </w:rPr>
      </w:pPr>
      <w:r>
        <w:rPr>
          <w:rFonts w:hint="eastAsia" w:ascii="宋体" w:hAnsi="宋体" w:eastAsia="宋体" w:cs="宋体"/>
          <w:color w:val="FF0000"/>
          <w:kern w:val="0"/>
          <w:sz w:val="27"/>
          <w:szCs w:val="27"/>
          <w:shd w:val="clear" w:color="auto" w:fill="FFFFFF"/>
        </w:rPr>
        <w:t xml:space="preserve"> </w:t>
      </w:r>
      <w:r>
        <w:rPr>
          <w:rFonts w:hint="eastAsia" w:ascii="方正仿宋_GBK" w:hAnsi="FangSong_GB2312" w:eastAsia="方正仿宋_GBK" w:cs="宋体"/>
          <w:kern w:val="0"/>
          <w:sz w:val="32"/>
          <w:szCs w:val="32"/>
        </w:rPr>
        <w:t xml:space="preserve"> 根据《重庆市綦江区机构编制委员会办公室关于明确綦江区各学区和学校机构名称的复函》（綦编办〔2012〕21号）文件，更名为重庆市綦江区适中学校，属于全额拨款事业单位，编制21人。</w:t>
      </w:r>
    </w:p>
    <w:p>
      <w:pPr>
        <w:widowControl/>
        <w:snapToGrid w:val="0"/>
        <w:spacing w:line="600" w:lineRule="exact"/>
        <w:ind w:firstLine="643" w:firstLineChars="200"/>
        <w:jc w:val="left"/>
        <w:rPr>
          <w:rFonts w:ascii="方正楷体_GBK" w:hAnsi="宋体" w:eastAsia="方正楷体_GBK" w:cs="Times New Roman"/>
          <w:b/>
          <w:kern w:val="0"/>
          <w:sz w:val="24"/>
          <w:szCs w:val="24"/>
          <w:shd w:val="clear" w:color="auto" w:fill="FFFFFF"/>
        </w:rPr>
      </w:pPr>
      <w:r>
        <w:rPr>
          <w:rFonts w:hint="eastAsia" w:ascii="方正楷体_GBK" w:hAnsi="Times New Roman" w:eastAsia="方正楷体_GBK" w:cs="Times New Roman"/>
          <w:b/>
          <w:kern w:val="0"/>
          <w:sz w:val="32"/>
        </w:rPr>
        <w:t xml:space="preserve">  </w:t>
      </w:r>
      <w:r>
        <w:rPr>
          <w:rFonts w:hint="eastAsia" w:ascii="方正楷体_GBK" w:hAnsi="Times New Roman" w:eastAsia="方正楷体_GBK" w:cs="Times New Roman"/>
          <w:kern w:val="0"/>
          <w:sz w:val="32"/>
        </w:rPr>
        <w:t>（三）单位构成</w:t>
      </w:r>
    </w:p>
    <w:p>
      <w:pPr>
        <w:widowControl/>
        <w:snapToGrid w:val="0"/>
        <w:spacing w:line="600" w:lineRule="exact"/>
        <w:ind w:firstLine="542" w:firstLineChars="200"/>
        <w:jc w:val="left"/>
        <w:rPr>
          <w:rFonts w:ascii="Times New Roman" w:hAnsi="Times New Roman" w:eastAsia="宋体" w:cs="Times New Roman"/>
          <w:b/>
          <w:kern w:val="0"/>
          <w:sz w:val="27"/>
        </w:rPr>
      </w:pPr>
      <w:r>
        <w:rPr>
          <w:rFonts w:hint="eastAsia" w:ascii="Times New Roman" w:hAnsi="Times New Roman" w:eastAsia="宋体" w:cs="Times New Roman"/>
          <w:b/>
          <w:kern w:val="0"/>
          <w:sz w:val="27"/>
        </w:rPr>
        <w:t xml:space="preserve"> </w:t>
      </w:r>
      <w:r>
        <w:rPr>
          <w:rFonts w:hint="eastAsia" w:ascii="方正仿宋_GBK" w:hAnsi="FangSong_GB2312" w:eastAsia="方正仿宋_GBK" w:cs="宋体"/>
          <w:kern w:val="0"/>
          <w:sz w:val="32"/>
          <w:szCs w:val="32"/>
        </w:rPr>
        <w:t>重庆市綦江区适中学校，无下级单位</w:t>
      </w:r>
    </w:p>
    <w:p>
      <w:pPr>
        <w:widowControl/>
        <w:snapToGrid w:val="0"/>
        <w:spacing w:line="600" w:lineRule="exact"/>
        <w:ind w:firstLine="542" w:firstLineChars="200"/>
        <w:jc w:val="left"/>
        <w:rPr>
          <w:rFonts w:hint="eastAsia" w:ascii="方正仿宋_GBK" w:hAnsi="FangSong_GB2312" w:eastAsia="方正仿宋_GBK" w:cs="宋体"/>
          <w:kern w:val="0"/>
          <w:sz w:val="24"/>
          <w:szCs w:val="24"/>
        </w:rPr>
      </w:pPr>
      <w:r>
        <w:rPr>
          <w:rFonts w:hint="eastAsia" w:ascii="Times New Roman" w:hAnsi="Times New Roman" w:eastAsia="宋体" w:cs="Times New Roman"/>
          <w:b/>
          <w:kern w:val="0"/>
          <w:sz w:val="27"/>
        </w:rPr>
        <w:t xml:space="preserve"> </w:t>
      </w:r>
      <w:r>
        <w:rPr>
          <w:rFonts w:hint="eastAsia" w:ascii="方正仿宋_GBK" w:hAnsi="FangSong_GB2312" w:eastAsia="方正仿宋_GBK" w:cs="宋体"/>
          <w:kern w:val="0"/>
          <w:sz w:val="32"/>
          <w:szCs w:val="32"/>
        </w:rPr>
        <w:t>按照《重庆市綦江区机构编制委员会办公室关于调整教育系统各学校校级领导职数和内设机构设置的通知》（綦编办〔2013〕187号）文件，本单位属全额拨款事业单位，校级领导职数4个，内设机构数量2个，编制21人，分别为教务处、总务处，下设六个年级组。在职在编教职工28人，学生210人。</w:t>
      </w:r>
    </w:p>
    <w:p>
      <w:pPr>
        <w:widowControl/>
        <w:snapToGrid w:val="0"/>
        <w:spacing w:line="600" w:lineRule="exact"/>
        <w:ind w:firstLine="640" w:firstLineChars="200"/>
        <w:jc w:val="left"/>
        <w:rPr>
          <w:rFonts w:ascii="宋体" w:hAnsi="宋体" w:eastAsia="宋体" w:cs="宋体"/>
          <w:b/>
          <w:kern w:val="0"/>
          <w:sz w:val="24"/>
          <w:szCs w:val="24"/>
        </w:rPr>
      </w:pPr>
      <w:r>
        <w:rPr>
          <w:rFonts w:hint="eastAsia" w:ascii="方正黑体_GBK" w:hAnsi="Times New Roman" w:eastAsia="方正黑体_GBK" w:cs="Times New Roman"/>
          <w:kern w:val="0"/>
          <w:sz w:val="32"/>
        </w:rPr>
        <w:t>二、部门决算情况说明</w:t>
      </w:r>
    </w:p>
    <w:p>
      <w:pPr>
        <w:widowControl/>
        <w:snapToGrid w:val="0"/>
        <w:spacing w:line="600" w:lineRule="exact"/>
        <w:ind w:firstLine="640" w:firstLineChars="200"/>
        <w:jc w:val="left"/>
        <w:rPr>
          <w:rFonts w:ascii="方正楷体_GBK" w:hAnsi="宋体" w:eastAsia="方正楷体_GBK" w:cs="Times New Roman"/>
          <w:b/>
          <w:kern w:val="0"/>
          <w:sz w:val="32"/>
          <w:szCs w:val="32"/>
          <w:shd w:val="clear" w:color="auto" w:fill="FFFFFF"/>
        </w:rPr>
      </w:pPr>
      <w:r>
        <w:rPr>
          <w:rFonts w:hint="eastAsia" w:ascii="方正楷体_GBK" w:hAnsi="Times New Roman" w:eastAsia="方正楷体_GBK" w:cs="Times New Roman"/>
          <w:kern w:val="0"/>
          <w:sz w:val="32"/>
        </w:rPr>
        <w:t>（一）收入支出决算总体情况说明</w:t>
      </w:r>
    </w:p>
    <w:p>
      <w:pPr>
        <w:widowControl/>
        <w:snapToGrid w:val="0"/>
        <w:spacing w:line="600" w:lineRule="exact"/>
        <w:ind w:firstLine="643"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b/>
          <w:kern w:val="0"/>
          <w:sz w:val="32"/>
          <w:szCs w:val="32"/>
        </w:rPr>
        <w:t>1.总体情况</w:t>
      </w:r>
      <w:r>
        <w:rPr>
          <w:rFonts w:hint="eastAsia" w:ascii="方正仿宋_GBK" w:hAnsi="FangSong_GB2312" w:eastAsia="方正仿宋_GBK" w:cs="宋体"/>
          <w:kern w:val="0"/>
          <w:sz w:val="32"/>
          <w:szCs w:val="32"/>
        </w:rPr>
        <w:t>。2020年度收入总计1,049.78万元，支出总计1,049.78万元。收支较上年决算数减少64.79万元、 下降 5.8%，主要原因是：2020年9月初中部被赶水中学托管，因此工资福利支出、商品服务支出等均减少，其中工资福利支出减少10.36万元，商品服务支出减少3.36万元；退休教师死亡，因此对个人和家庭的补助增加1.16万元，学生宿舍架空层等工程项目在本年度完工并付款，因此其他资本性支出增加27.18万元，因学生宿舍架空层等工程项目在本年度完工付款，因此结转结余减少79.40万元。</w:t>
      </w:r>
    </w:p>
    <w:p>
      <w:pPr>
        <w:widowControl/>
        <w:snapToGrid w:val="0"/>
        <w:spacing w:line="600" w:lineRule="exact"/>
        <w:ind w:firstLine="643"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b/>
          <w:kern w:val="0"/>
          <w:sz w:val="32"/>
          <w:szCs w:val="32"/>
        </w:rPr>
        <w:t>2.收入情况。</w:t>
      </w:r>
      <w:r>
        <w:rPr>
          <w:rFonts w:hint="eastAsia" w:ascii="方正仿宋_GBK" w:hAnsi="FangSong_GB2312" w:eastAsia="方正仿宋_GBK" w:cs="宋体"/>
          <w:kern w:val="0"/>
          <w:sz w:val="32"/>
          <w:szCs w:val="32"/>
        </w:rPr>
        <w:t>2020年度收入合计864.54万元，较上年决算数减少56.26万元，下降6.1%，主要原因 是2020年初中部学生和教师均被赶水中学托管，学生和人员都减少，其中：教育支出减少40.09万元，人员减少而社会保障和就业支出减少4.57万元、卫生健康支出减少4.49万元、住房保障支出减少6.72万元。其中：财政拨款收入861.49万元，占99.6%；事业收入3.05万元，占0.4%；年初结转和结余185.24万元。</w:t>
      </w:r>
    </w:p>
    <w:p>
      <w:pPr>
        <w:widowControl/>
        <w:snapToGrid w:val="0"/>
        <w:spacing w:line="600" w:lineRule="exact"/>
        <w:ind w:firstLine="643"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b/>
          <w:kern w:val="0"/>
          <w:sz w:val="32"/>
          <w:szCs w:val="32"/>
        </w:rPr>
        <w:t>3.支出情况。</w:t>
      </w:r>
      <w:r>
        <w:rPr>
          <w:rFonts w:hint="eastAsia" w:ascii="方正仿宋_GBK" w:hAnsi="FangSong_GB2312" w:eastAsia="方正仿宋_GBK" w:cs="宋体"/>
          <w:kern w:val="0"/>
          <w:sz w:val="32"/>
          <w:szCs w:val="32"/>
        </w:rPr>
        <w:t>2020年度支出合计1,015.05万元，较上年决算数增加14.61万元，增长1.5%，主要原因是上年度工程项目款等当年做了收入在本年支出，因此决算数增加，主要有：教育支出减少5.75万元，社会保障和就业支出增加23.07万地，卫生健康支出减少2.82万元，住房保障支出减少4.61万元。其中：基本支出 873.22万元，占86%；项目支出141.83万元，占14%。</w:t>
      </w:r>
    </w:p>
    <w:p>
      <w:pPr>
        <w:widowControl/>
        <w:snapToGrid w:val="0"/>
        <w:spacing w:line="600" w:lineRule="exact"/>
        <w:ind w:firstLine="643" w:firstLineChars="200"/>
        <w:jc w:val="left"/>
        <w:rPr>
          <w:rFonts w:ascii="宋体" w:hAnsi="宋体" w:eastAsia="宋体" w:cs="宋体"/>
          <w:kern w:val="0"/>
          <w:sz w:val="24"/>
          <w:szCs w:val="24"/>
        </w:rPr>
      </w:pPr>
      <w:r>
        <w:rPr>
          <w:rFonts w:hint="eastAsia" w:ascii="方正仿宋_GBK" w:hAnsi="FangSong_GB2312" w:eastAsia="方正仿宋_GBK" w:cs="宋体"/>
          <w:b/>
          <w:kern w:val="0"/>
          <w:sz w:val="32"/>
          <w:szCs w:val="32"/>
        </w:rPr>
        <w:t>4.结转结余情况。</w:t>
      </w:r>
      <w:r>
        <w:rPr>
          <w:rFonts w:hint="eastAsia" w:ascii="方正仿宋_GBK" w:hAnsi="FangSong_GB2312" w:eastAsia="方正仿宋_GBK" w:cs="宋体"/>
          <w:kern w:val="0"/>
          <w:sz w:val="32"/>
          <w:szCs w:val="32"/>
        </w:rPr>
        <w:t>2020年度年末结转和结余34.73万元，较上年决算数减少79.40万元，下降69.6%，主要原因是人员经费中奖励绩效等、学生宿舍架空层等工程项目款在本年支出，其中教育支出减少71.80万元，社会保障和就业支出减少4.01万元，卫生健康支出1.59万元，住房保障支出减少2万元。</w:t>
      </w:r>
    </w:p>
    <w:p>
      <w:pPr>
        <w:widowControl/>
        <w:snapToGrid w:val="0"/>
        <w:spacing w:line="600" w:lineRule="exact"/>
        <w:ind w:firstLine="640" w:firstLineChars="200"/>
        <w:jc w:val="left"/>
        <w:rPr>
          <w:rFonts w:ascii="方正楷体_GBK" w:hAnsi="宋体" w:eastAsia="方正楷体_GBK" w:cs="Times New Roman"/>
          <w:b/>
          <w:kern w:val="0"/>
          <w:sz w:val="32"/>
          <w:szCs w:val="32"/>
          <w:shd w:val="clear" w:color="auto" w:fill="FFFFFF"/>
        </w:rPr>
      </w:pPr>
      <w:r>
        <w:rPr>
          <w:rFonts w:hint="eastAsia" w:ascii="方正楷体_GBK" w:hAnsi="Times New Roman" w:eastAsia="方正楷体_GBK" w:cs="Times New Roman"/>
          <w:kern w:val="0"/>
          <w:sz w:val="32"/>
        </w:rPr>
        <w:t>（二）财政拨款收入支出决算总体情况说明</w:t>
      </w:r>
    </w:p>
    <w:p>
      <w:pPr>
        <w:widowControl/>
        <w:snapToGrid w:val="0"/>
        <w:spacing w:line="600" w:lineRule="exact"/>
        <w:ind w:firstLine="540" w:firstLineChars="200"/>
        <w:jc w:val="left"/>
        <w:rPr>
          <w:rFonts w:hint="eastAsia" w:ascii="方正仿宋_GBK" w:hAnsi="FangSong_GB2312" w:eastAsia="方正仿宋_GBK" w:cs="宋体"/>
          <w:kern w:val="0"/>
          <w:sz w:val="24"/>
          <w:szCs w:val="24"/>
        </w:rPr>
      </w:pPr>
      <w:r>
        <w:rPr>
          <w:rFonts w:hint="eastAsia" w:ascii="宋体" w:hAnsi="宋体" w:eastAsia="宋体" w:cs="宋体"/>
          <w:kern w:val="0"/>
          <w:sz w:val="27"/>
          <w:szCs w:val="27"/>
          <w:shd w:val="clear" w:color="auto" w:fill="FFFFFF"/>
        </w:rPr>
        <w:t xml:space="preserve">  </w:t>
      </w:r>
      <w:r>
        <w:rPr>
          <w:rFonts w:hint="eastAsia" w:ascii="方正仿宋_GBK" w:hAnsi="FangSong_GB2312" w:eastAsia="方正仿宋_GBK" w:cs="宋体"/>
          <w:kern w:val="0"/>
          <w:sz w:val="32"/>
          <w:szCs w:val="32"/>
        </w:rPr>
        <w:t>2020年度财政拨款收、支总计1,046.73万元。与2019年相比，财政拨款收、支总计各减少62.06万 元，下降5.6%。主要原因是学生减少，教师减少及工程项目减少，其中：教育出去减少70.10万元，社会保障和就业支出增加19.07万元，卫生健康支出4.41万元，住房保障支出减少6.62万元。</w:t>
      </w:r>
    </w:p>
    <w:p>
      <w:pPr>
        <w:widowControl/>
        <w:snapToGrid w:val="0"/>
        <w:spacing w:line="600" w:lineRule="exact"/>
        <w:ind w:firstLine="640" w:firstLineChars="200"/>
        <w:jc w:val="left"/>
        <w:rPr>
          <w:rFonts w:ascii="方正楷体_GBK" w:hAnsi="宋体" w:eastAsia="方正楷体_GBK" w:cs="Times New Roman"/>
          <w:kern w:val="0"/>
          <w:sz w:val="24"/>
          <w:szCs w:val="24"/>
          <w:shd w:val="clear" w:color="auto" w:fill="FFFFFF"/>
        </w:rPr>
      </w:pPr>
      <w:r>
        <w:rPr>
          <w:rFonts w:hint="eastAsia" w:ascii="方正楷体_GBK" w:hAnsi="Times New Roman" w:eastAsia="方正楷体_GBK" w:cs="Times New Roman"/>
          <w:kern w:val="0"/>
          <w:sz w:val="32"/>
        </w:rPr>
        <w:t>（三）一般公共预算财政拨款支出决算情况说明</w:t>
      </w:r>
    </w:p>
    <w:p>
      <w:pPr>
        <w:widowControl/>
        <w:snapToGrid w:val="0"/>
        <w:spacing w:line="600" w:lineRule="exact"/>
        <w:ind w:firstLine="643"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b/>
          <w:kern w:val="0"/>
          <w:sz w:val="32"/>
          <w:szCs w:val="32"/>
        </w:rPr>
        <w:t>1.收入情况。</w:t>
      </w:r>
      <w:r>
        <w:rPr>
          <w:rFonts w:hint="eastAsia" w:ascii="方正仿宋_GBK" w:hAnsi="FangSong_GB2312" w:eastAsia="方正仿宋_GBK" w:cs="宋体"/>
          <w:kern w:val="0"/>
          <w:sz w:val="32"/>
          <w:szCs w:val="32"/>
        </w:rPr>
        <w:t>2020年度一般公共预算财政拨款收入861.49万元，较上年决算数减少53.54万元，下降5.9%。主要原因是2020年初中部学生和教师均被赶水中学托管，学生和人员都减少，其中：教育支出减少37.37万元，人员减少而社会保障和就业支出减少4.57万元、卫生健康支出减少4.49万元、住房保障支出减少6.72万元。较年初预算数增加97.74万元，增长12.8%。主要原因增加了教育支出等，其中教育支出增加102.32万元，人员调标等而社会保障和就业支出增加0.36万元、卫生健康支出减少3.41万元、住房保障支出减少1.53万元。此外，年初财政拨款结转和结余185.24万元。</w:t>
      </w:r>
    </w:p>
    <w:p>
      <w:pPr>
        <w:widowControl/>
        <w:snapToGrid w:val="0"/>
        <w:spacing w:line="600" w:lineRule="exact"/>
        <w:ind w:firstLine="643"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b/>
          <w:kern w:val="0"/>
          <w:sz w:val="32"/>
          <w:szCs w:val="32"/>
        </w:rPr>
        <w:t>2.支出情况。</w:t>
      </w:r>
      <w:r>
        <w:rPr>
          <w:rFonts w:hint="eastAsia" w:ascii="方正仿宋_GBK" w:hAnsi="FangSong_GB2312" w:eastAsia="方正仿宋_GBK" w:cs="宋体"/>
          <w:kern w:val="0"/>
          <w:sz w:val="32"/>
          <w:szCs w:val="32"/>
        </w:rPr>
        <w:t>2020年度一般公共预算财政拨款支出1,012.00万元，较上年决算数增加17.33万元，增长1.7%。主要原因是，社会保障和就业支出，具体为：教育支出减少1.03万元，社会保障和就业支出增加23.07万元，卫生健康支出减少2.82万元、住房保障支出减少1.89万元。较年初预算数增加134.13万 元，增长15.3%。主要原因是支出往年结转款项，如学生宿舍架空层工程款、人员经费奖励绩效以及社会保障和就业支出等</w:t>
      </w:r>
      <w:r>
        <w:rPr>
          <w:rFonts w:hint="eastAsia" w:ascii="方正仿宋_GBK" w:hAnsi="FangSong_GB2312" w:eastAsia="方正仿宋_GBK" w:cs="宋体"/>
          <w:kern w:val="0"/>
          <w:sz w:val="32"/>
          <w:szCs w:val="32"/>
          <w:lang w:eastAsia="zh-CN"/>
        </w:rPr>
        <w:t>，</w:t>
      </w:r>
    </w:p>
    <w:p>
      <w:pPr>
        <w:widowControl/>
        <w:snapToGrid w:val="0"/>
        <w:spacing w:line="600" w:lineRule="exact"/>
        <w:ind w:firstLine="643"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b/>
          <w:kern w:val="0"/>
          <w:sz w:val="32"/>
          <w:szCs w:val="32"/>
        </w:rPr>
        <w:t>3.结转结余情况。</w:t>
      </w:r>
      <w:r>
        <w:rPr>
          <w:rFonts w:hint="eastAsia" w:ascii="方正仿宋_GBK" w:hAnsi="FangSong_GB2312" w:eastAsia="方正仿宋_GBK" w:cs="宋体"/>
          <w:kern w:val="0"/>
          <w:sz w:val="32"/>
          <w:szCs w:val="32"/>
        </w:rPr>
        <w:t>2020年度年末一般公共预算财政拨款结转和结余34.73万元，较上年决算数减少79.40万元，下降69.6%，主要原因是支出往年结转款项，如学生宿舍架空层工程款、人员经费奖励绩效以及社会保障和就业支出等具体为：教育支出减少71.80万元，社会保障和就业支出减少4.01万元，卫生健康支出减少1.59万元、住房保障支出减少2万元。</w:t>
      </w:r>
    </w:p>
    <w:p>
      <w:pPr>
        <w:widowControl/>
        <w:snapToGrid w:val="0"/>
        <w:spacing w:line="600" w:lineRule="exact"/>
        <w:ind w:firstLine="643"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b/>
          <w:kern w:val="0"/>
          <w:sz w:val="32"/>
          <w:szCs w:val="32"/>
        </w:rPr>
        <w:t>4.比较情况</w:t>
      </w:r>
      <w:r>
        <w:rPr>
          <w:rFonts w:hint="eastAsia" w:ascii="方正仿宋_GBK" w:hAnsi="FangSong_GB2312" w:eastAsia="方正仿宋_GBK" w:cs="宋体"/>
          <w:kern w:val="0"/>
          <w:sz w:val="32"/>
          <w:szCs w:val="32"/>
        </w:rPr>
        <w:t>。本部门2020年度一般公共预算财政拨款支出主要用于以下几个方面</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kern w:val="0"/>
          <w:sz w:val="32"/>
          <w:szCs w:val="32"/>
        </w:rPr>
        <w:t>（1）教育支出782.32万元，占77.3%，较年初预算数增加114.63万 元，增长17.2%，主要原因是上年结转114.63万元于本年支出，如学生宿舍架空层工程款、奖励绩效等。</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kern w:val="0"/>
          <w:sz w:val="32"/>
          <w:szCs w:val="32"/>
        </w:rPr>
        <w:t>（2）社会保障与就业支出148.02万元，占14.6%，较年初预算数增加24.44万 元，增长19.8%，主要原因是上年结转24.44万元，于本年支出。</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kern w:val="0"/>
          <w:sz w:val="32"/>
          <w:szCs w:val="32"/>
        </w:rPr>
        <w:t>（3）卫生健康支出42.20万元，占4.2%，较年初预算数减少3.41万 元，下降7.5%，主要原因是人员减少</w:t>
      </w:r>
      <w:r>
        <w:rPr>
          <w:rFonts w:hint="eastAsia" w:ascii="方正仿宋_GBK" w:hAnsi="FangSong_GB2312" w:eastAsia="方正仿宋_GBK" w:cs="宋体"/>
          <w:kern w:val="0"/>
          <w:sz w:val="32"/>
          <w:szCs w:val="32"/>
          <w:lang w:eastAsia="zh-CN"/>
        </w:rPr>
        <w:t>作调整</w:t>
      </w:r>
      <w:r>
        <w:rPr>
          <w:rFonts w:hint="eastAsia" w:ascii="方正仿宋_GBK" w:hAnsi="FangSong_GB2312" w:eastAsia="方正仿宋_GBK" w:cs="宋体"/>
          <w:kern w:val="0"/>
          <w:sz w:val="32"/>
          <w:szCs w:val="32"/>
        </w:rPr>
        <w:t>预算，较年初数减少3.41万元。</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仿宋_GBK" w:hAnsi="FangSong_GB2312" w:eastAsia="方正仿宋_GBK" w:cs="宋体"/>
          <w:kern w:val="0"/>
          <w:sz w:val="32"/>
          <w:szCs w:val="32"/>
        </w:rPr>
        <w:t>（4）住房保障支出39.46万元，占3.9%，较年初预算数减少1.53万 元，下降3.7%，主要原因是人员减少</w:t>
      </w:r>
      <w:r>
        <w:rPr>
          <w:rFonts w:hint="eastAsia" w:ascii="方正仿宋_GBK" w:hAnsi="FangSong_GB2312" w:eastAsia="方正仿宋_GBK" w:cs="宋体"/>
          <w:kern w:val="0"/>
          <w:sz w:val="32"/>
          <w:szCs w:val="32"/>
          <w:lang w:eastAsia="zh-CN"/>
        </w:rPr>
        <w:t>作调整</w:t>
      </w:r>
      <w:r>
        <w:rPr>
          <w:rFonts w:hint="eastAsia" w:ascii="方正仿宋_GBK" w:hAnsi="FangSong_GB2312" w:eastAsia="方正仿宋_GBK" w:cs="宋体"/>
          <w:kern w:val="0"/>
          <w:sz w:val="32"/>
          <w:szCs w:val="32"/>
        </w:rPr>
        <w:t>预算，较年初数减少1.53万元。</w:t>
      </w:r>
    </w:p>
    <w:p>
      <w:pPr>
        <w:widowControl/>
        <w:snapToGrid w:val="0"/>
        <w:spacing w:line="600" w:lineRule="exact"/>
        <w:ind w:firstLine="640" w:firstLineChars="200"/>
        <w:jc w:val="left"/>
        <w:rPr>
          <w:rFonts w:ascii="方正楷体_GBK" w:hAnsi="宋体" w:eastAsia="方正楷体_GBK" w:cs="Times New Roman"/>
          <w:kern w:val="0"/>
          <w:sz w:val="32"/>
          <w:szCs w:val="32"/>
          <w:shd w:val="clear" w:color="auto" w:fill="FFFFFF"/>
        </w:rPr>
      </w:pPr>
      <w:r>
        <w:rPr>
          <w:rFonts w:hint="eastAsia" w:ascii="方正楷体_GBK" w:hAnsi="Times New Roman" w:eastAsia="方正楷体_GBK" w:cs="Times New Roman"/>
          <w:kern w:val="0"/>
          <w:sz w:val="32"/>
        </w:rPr>
        <w:t>（四）一般公共预算财政拨款基本支出决算情况说明</w:t>
      </w:r>
    </w:p>
    <w:p>
      <w:pPr>
        <w:widowControl/>
        <w:snapToGrid w:val="0"/>
        <w:spacing w:line="600" w:lineRule="exact"/>
        <w:ind w:firstLine="540" w:firstLineChars="200"/>
        <w:jc w:val="left"/>
        <w:rPr>
          <w:rFonts w:ascii="宋体" w:hAnsi="宋体" w:eastAsia="宋体" w:cs="宋体"/>
          <w:kern w:val="0"/>
          <w:sz w:val="24"/>
          <w:szCs w:val="24"/>
        </w:rPr>
      </w:pPr>
      <w:r>
        <w:rPr>
          <w:rFonts w:hint="eastAsia" w:ascii="宋体" w:hAnsi="宋体" w:eastAsia="宋体" w:cs="宋体"/>
          <w:kern w:val="0"/>
          <w:sz w:val="27"/>
          <w:szCs w:val="27"/>
          <w:shd w:val="clear" w:color="auto" w:fill="FFFFFF"/>
        </w:rPr>
        <w:t xml:space="preserve">  </w:t>
      </w:r>
      <w:r>
        <w:rPr>
          <w:rFonts w:hint="eastAsia" w:ascii="方正仿宋_GBK" w:hAnsi="FangSong_GB2312" w:eastAsia="方正仿宋_GBK" w:cs="宋体"/>
          <w:kern w:val="0"/>
          <w:sz w:val="32"/>
          <w:szCs w:val="32"/>
        </w:rPr>
        <w:t>2020年度一般公共财政拨款基本支出873.22万元。其中：人员经费826.18万元，较上年决算数增加3.34万 元，增长0.4%，主要原因是上年结转3.34万元，于本年支出。人员经费用途主要包括工资福利和对个人和家庭补助等。公用经费47.04万元，较上年决算数减少7.50万元，下降13.8%，主要原因是维修项目未设施而调剂出经费等。公用经费用途主要包括商品服务支出和其他资本性支出。</w:t>
      </w:r>
    </w:p>
    <w:p>
      <w:pPr>
        <w:widowControl/>
        <w:snapToGrid w:val="0"/>
        <w:spacing w:line="600" w:lineRule="exact"/>
        <w:ind w:firstLine="640" w:firstLineChars="200"/>
        <w:jc w:val="left"/>
        <w:rPr>
          <w:rFonts w:ascii="方正楷体_GBK" w:hAnsi="宋体" w:eastAsia="方正楷体_GBK" w:cs="Times New Roman"/>
          <w:b/>
          <w:kern w:val="0"/>
          <w:sz w:val="32"/>
          <w:szCs w:val="32"/>
          <w:shd w:val="clear" w:color="auto" w:fill="FFFFFF"/>
        </w:rPr>
      </w:pPr>
      <w:r>
        <w:rPr>
          <w:rFonts w:hint="eastAsia" w:ascii="方正楷体_GBK" w:hAnsi="Times New Roman" w:eastAsia="方正楷体_GBK" w:cs="Times New Roman"/>
          <w:kern w:val="0"/>
          <w:sz w:val="32"/>
        </w:rPr>
        <w:t>（五）政府性基金预算收支决算情况说明</w:t>
      </w:r>
    </w:p>
    <w:p>
      <w:pPr>
        <w:widowControl/>
        <w:snapToGrid w:val="0"/>
        <w:spacing w:line="600" w:lineRule="exact"/>
        <w:ind w:firstLine="540" w:firstLineChars="200"/>
        <w:jc w:val="left"/>
        <w:rPr>
          <w:rFonts w:hint="eastAsia" w:ascii="方正仿宋_GBK" w:hAnsi="FangSong_GB2312" w:eastAsia="方正仿宋_GBK" w:cs="宋体"/>
          <w:kern w:val="0"/>
          <w:sz w:val="24"/>
          <w:szCs w:val="24"/>
        </w:rPr>
      </w:pPr>
      <w:r>
        <w:rPr>
          <w:rFonts w:hint="eastAsia" w:ascii="宋体" w:hAnsi="宋体" w:eastAsia="宋体" w:cs="宋体"/>
          <w:kern w:val="0"/>
          <w:sz w:val="27"/>
          <w:szCs w:val="27"/>
          <w:shd w:val="clear" w:color="auto" w:fill="FFFFFF"/>
        </w:rPr>
        <w:t xml:space="preserve"> </w:t>
      </w:r>
      <w:r>
        <w:rPr>
          <w:rFonts w:hint="eastAsia" w:ascii="方正仿宋_GBK" w:hAnsi="FangSong_GB2312" w:eastAsia="方正仿宋_GBK" w:cs="宋体"/>
          <w:kern w:val="0"/>
          <w:sz w:val="32"/>
          <w:szCs w:val="32"/>
        </w:rPr>
        <w:t>本部门2020年度无政府性基金预算财政拨款收支。</w:t>
      </w:r>
    </w:p>
    <w:p>
      <w:pPr>
        <w:widowControl/>
        <w:snapToGrid w:val="0"/>
        <w:spacing w:line="600" w:lineRule="exact"/>
        <w:ind w:firstLine="640" w:firstLineChars="200"/>
        <w:jc w:val="left"/>
        <w:rPr>
          <w:rFonts w:ascii="方正楷体_GBK" w:hAnsi="宋体" w:eastAsia="方正楷体_GBK" w:cs="Times New Roman"/>
          <w:kern w:val="0"/>
          <w:sz w:val="24"/>
          <w:szCs w:val="24"/>
          <w:shd w:val="clear" w:color="auto" w:fill="FFFFFF"/>
        </w:rPr>
      </w:pPr>
      <w:r>
        <w:rPr>
          <w:rFonts w:hint="eastAsia" w:ascii="方正楷体_GBK" w:hAnsi="Times New Roman" w:eastAsia="方正楷体_GBK" w:cs="Times New Roman"/>
          <w:kern w:val="0"/>
          <w:sz w:val="32"/>
        </w:rPr>
        <w:t>（六）国有资本经营预算财政拨款</w:t>
      </w:r>
      <w:r>
        <w:rPr>
          <w:rFonts w:hint="eastAsia" w:ascii="方正楷体_GBK" w:hAnsi="Times New Roman" w:eastAsia="方正楷体_GBK" w:cs="Times New Roman"/>
          <w:kern w:val="0"/>
          <w:sz w:val="32"/>
          <w:lang w:eastAsia="zh-CN"/>
        </w:rPr>
        <w:t>支出</w:t>
      </w:r>
      <w:r>
        <w:rPr>
          <w:rFonts w:hint="eastAsia" w:ascii="方正楷体_GBK" w:hAnsi="Times New Roman" w:eastAsia="方正楷体_GBK" w:cs="Times New Roman"/>
          <w:kern w:val="0"/>
          <w:sz w:val="32"/>
        </w:rPr>
        <w:t>决算情况说明。</w:t>
      </w:r>
    </w:p>
    <w:p>
      <w:pPr>
        <w:widowControl/>
        <w:snapToGrid w:val="0"/>
        <w:spacing w:line="600" w:lineRule="exact"/>
        <w:ind w:firstLine="540" w:firstLineChars="200"/>
        <w:jc w:val="left"/>
        <w:rPr>
          <w:rFonts w:hint="eastAsia" w:ascii="方正仿宋_GBK" w:hAnsi="FangSong_GB2312" w:eastAsia="方正仿宋_GBK" w:cs="宋体"/>
          <w:kern w:val="0"/>
          <w:sz w:val="24"/>
          <w:szCs w:val="24"/>
        </w:rPr>
      </w:pPr>
      <w:r>
        <w:rPr>
          <w:rFonts w:hint="eastAsia" w:ascii="宋体" w:hAnsi="宋体" w:eastAsia="宋体" w:cs="宋体"/>
          <w:kern w:val="0"/>
          <w:sz w:val="27"/>
          <w:szCs w:val="27"/>
          <w:shd w:val="clear" w:color="auto" w:fill="FFFFFF"/>
        </w:rPr>
        <w:t xml:space="preserve">  </w:t>
      </w:r>
      <w:r>
        <w:rPr>
          <w:rFonts w:hint="eastAsia" w:ascii="方正仿宋_GBK" w:hAnsi="FangSong_GB2312" w:eastAsia="方正仿宋_GBK" w:cs="宋体"/>
          <w:kern w:val="0"/>
          <w:sz w:val="32"/>
          <w:szCs w:val="32"/>
        </w:rPr>
        <w:t>本部门2020年度无国有资本经营预算财政拨款支出。</w:t>
      </w:r>
    </w:p>
    <w:p>
      <w:pPr>
        <w:widowControl/>
        <w:snapToGrid w:val="0"/>
        <w:spacing w:line="600" w:lineRule="exact"/>
        <w:ind w:firstLine="640" w:firstLineChars="200"/>
        <w:jc w:val="left"/>
        <w:rPr>
          <w:rFonts w:ascii="方正黑体_GBK" w:hAnsi="宋体" w:eastAsia="方正黑体_GBK" w:cs="Times New Roman"/>
          <w:kern w:val="0"/>
          <w:sz w:val="24"/>
          <w:szCs w:val="24"/>
          <w:shd w:val="clear" w:color="auto" w:fill="FFFFFF"/>
        </w:rPr>
      </w:pPr>
      <w:r>
        <w:rPr>
          <w:rFonts w:hint="eastAsia" w:ascii="方正黑体_GBK" w:hAnsi="Times New Roman" w:eastAsia="方正黑体_GBK" w:cs="Times New Roman"/>
          <w:kern w:val="0"/>
          <w:sz w:val="32"/>
        </w:rPr>
        <w:t>三、“三公”经费情况说明</w:t>
      </w:r>
    </w:p>
    <w:p>
      <w:pPr>
        <w:widowControl/>
        <w:snapToGrid w:val="0"/>
        <w:spacing w:line="600" w:lineRule="exact"/>
        <w:ind w:firstLine="640" w:firstLineChars="200"/>
        <w:jc w:val="left"/>
        <w:rPr>
          <w:rFonts w:ascii="方正楷体_GBK" w:hAnsi="Times New Roman" w:eastAsia="方正楷体_GBK" w:cs="Times New Roman"/>
          <w:kern w:val="0"/>
          <w:sz w:val="32"/>
        </w:rPr>
      </w:pPr>
      <w:r>
        <w:rPr>
          <w:rFonts w:hint="eastAsia" w:ascii="方正楷体_GBK" w:hAnsi="Times New Roman" w:eastAsia="方正楷体_GBK" w:cs="Times New Roman"/>
          <w:kern w:val="0"/>
          <w:sz w:val="32"/>
        </w:rPr>
        <w:t>（一）“三公”经费支出总体情况说明</w:t>
      </w:r>
    </w:p>
    <w:p>
      <w:pPr>
        <w:widowControl/>
        <w:snapToGrid w:val="0"/>
        <w:spacing w:line="600" w:lineRule="exact"/>
        <w:ind w:firstLine="640"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kern w:val="0"/>
          <w:sz w:val="32"/>
          <w:szCs w:val="32"/>
        </w:rPr>
        <w:t>2020年度“三公”经费支出共计0万元，较年初预算数增加0万元，增长%，主要原因是本单位2020年度未发生因公出国（境）、公务用车及国内公务接待支出。较上年支出数增加0万 元，增长%，主要原因是本单位2020年度未发生因公出国（境）、公务用车及国内公务接待支出。</w:t>
      </w:r>
    </w:p>
    <w:p>
      <w:pPr>
        <w:widowControl/>
        <w:snapToGrid w:val="0"/>
        <w:spacing w:line="600" w:lineRule="exact"/>
        <w:ind w:firstLine="640" w:firstLineChars="200"/>
        <w:jc w:val="left"/>
        <w:rPr>
          <w:rFonts w:ascii="方正楷体_GBK" w:hAnsi="宋体" w:eastAsia="方正楷体_GBK" w:cs="Times New Roman"/>
          <w:kern w:val="0"/>
          <w:sz w:val="24"/>
          <w:szCs w:val="24"/>
          <w:shd w:val="clear" w:color="auto" w:fill="FFFFFF"/>
        </w:rPr>
      </w:pPr>
      <w:r>
        <w:rPr>
          <w:rFonts w:hint="eastAsia" w:ascii="方正楷体_GBK" w:hAnsi="Times New Roman" w:eastAsia="方正楷体_GBK" w:cs="Times New Roman"/>
          <w:kern w:val="0"/>
          <w:sz w:val="32"/>
        </w:rPr>
        <w:t>（二）“三公”经费分项支出情况</w:t>
      </w:r>
    </w:p>
    <w:p>
      <w:pPr>
        <w:widowControl/>
        <w:snapToGrid w:val="0"/>
        <w:spacing w:line="600" w:lineRule="exact"/>
        <w:ind w:firstLine="640"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kern w:val="0"/>
          <w:sz w:val="32"/>
          <w:szCs w:val="32"/>
        </w:rPr>
        <w:t>2020年度本部门因公出国（境）费用0万元。费用支出较年初预算数增加0万元，增长%，主要原因是本单位2020年度未发生因公出国（境）费用。较上年支出数增加0万元，增长%，主要原因是本单位2020年度未发生因公出国（境）费用。</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kern w:val="0"/>
          <w:sz w:val="32"/>
          <w:szCs w:val="32"/>
        </w:rPr>
        <w:t>公务车购置费0万元。费用支出较年初预算数增加0万元，增长%，主要原因是本单位2020年度未发生购置费。较上年支出数增加0万元，增长%，主要原因是本单位2020年度未发生购置费。</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kern w:val="0"/>
          <w:sz w:val="32"/>
          <w:szCs w:val="32"/>
        </w:rPr>
        <w:t>公务车运行维护费0万元。费用支出较年初预算数增加0万元，增长%，主要原因是本单位2020年度未发生公务车运行维护费用。较上年支出数增加0万元，增长%，主要原因是本单位2020年度未发生公务车运行维护费用。</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kern w:val="0"/>
          <w:sz w:val="32"/>
          <w:szCs w:val="32"/>
        </w:rPr>
        <w:t>公务接待费0万元，主要用于接待。费用支出较年初预算数增加0万元，增长%，主要原因是本单位2020年度未发生公务接待费用。较上年支出数增加0万元，增长%，主要原因是本单位2020年度未发生公务接待费用。</w:t>
      </w:r>
    </w:p>
    <w:p>
      <w:pPr>
        <w:widowControl/>
        <w:snapToGrid w:val="0"/>
        <w:spacing w:line="600" w:lineRule="exact"/>
        <w:ind w:firstLine="640" w:firstLineChars="200"/>
        <w:jc w:val="left"/>
        <w:rPr>
          <w:rFonts w:ascii="方正楷体_GBK" w:hAnsi="宋体" w:eastAsia="方正楷体_GBK" w:cs="Times New Roman"/>
          <w:kern w:val="0"/>
          <w:sz w:val="24"/>
          <w:szCs w:val="24"/>
          <w:shd w:val="clear" w:color="auto" w:fill="FFFFFF"/>
        </w:rPr>
      </w:pPr>
      <w:r>
        <w:rPr>
          <w:rFonts w:hint="eastAsia" w:ascii="方正楷体_GBK" w:hAnsi="Times New Roman" w:eastAsia="方正楷体_GBK" w:cs="Times New Roman"/>
          <w:kern w:val="0"/>
          <w:sz w:val="32"/>
        </w:rPr>
        <w:t>（三）“三公”经费实物量情况</w:t>
      </w:r>
    </w:p>
    <w:p>
      <w:pPr>
        <w:widowControl/>
        <w:snapToGrid w:val="0"/>
        <w:spacing w:line="600" w:lineRule="exact"/>
        <w:ind w:firstLine="640"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kern w:val="0"/>
          <w:sz w:val="32"/>
          <w:szCs w:val="32"/>
        </w:rPr>
        <w:t>本单位2020年度未发生“三公”经费实物量情况</w:t>
      </w:r>
    </w:p>
    <w:p>
      <w:pPr>
        <w:widowControl/>
        <w:snapToGrid w:val="0"/>
        <w:spacing w:line="600" w:lineRule="exact"/>
        <w:ind w:firstLine="640" w:firstLineChars="200"/>
        <w:jc w:val="left"/>
        <w:rPr>
          <w:rFonts w:ascii="方正黑体_GBK" w:hAnsi="宋体" w:eastAsia="方正黑体_GBK" w:cs="Times New Roman"/>
          <w:kern w:val="0"/>
          <w:sz w:val="24"/>
          <w:szCs w:val="24"/>
          <w:shd w:val="clear" w:color="auto" w:fill="FFFFFF"/>
        </w:rPr>
      </w:pPr>
      <w:r>
        <w:rPr>
          <w:rFonts w:hint="eastAsia" w:ascii="方正黑体_GBK" w:hAnsi="Times New Roman" w:eastAsia="方正黑体_GBK" w:cs="Times New Roman"/>
          <w:kern w:val="0"/>
          <w:sz w:val="32"/>
        </w:rPr>
        <w:t>四、其他需要说明的事项</w:t>
      </w:r>
    </w:p>
    <w:p>
      <w:pPr>
        <w:widowControl/>
        <w:snapToGrid w:val="0"/>
        <w:spacing w:line="600" w:lineRule="exact"/>
        <w:ind w:firstLine="640" w:firstLineChars="200"/>
        <w:jc w:val="left"/>
        <w:rPr>
          <w:rFonts w:ascii="方正楷体_GBK" w:hAnsi="Times New Roman" w:eastAsia="方正楷体_GBK" w:cs="Times New Roman"/>
          <w:kern w:val="0"/>
          <w:sz w:val="32"/>
        </w:rPr>
      </w:pPr>
      <w:r>
        <w:rPr>
          <w:rFonts w:hint="eastAsia" w:ascii="方正楷体_GBK" w:hAnsi="Times New Roman" w:eastAsia="方正楷体_GBK" w:cs="Times New Roman"/>
          <w:kern w:val="0"/>
          <w:sz w:val="32"/>
        </w:rPr>
        <w:t>（一）机关运行经费情况说明</w:t>
      </w:r>
    </w:p>
    <w:p>
      <w:pPr>
        <w:widowControl/>
        <w:snapToGrid w:val="0"/>
        <w:spacing w:line="600" w:lineRule="exact"/>
        <w:ind w:firstLine="640"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kern w:val="0"/>
          <w:sz w:val="32"/>
          <w:szCs w:val="32"/>
        </w:rPr>
        <w:t>2020年度本部门机关运行经费支出0万元，机关运行经费主要用于开支。机关运行经费较上年决算数增加0万元，增长%，主要原因是按照部门决算列报口径，我单位不在机关运行经费统计范围之内。</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kern w:val="0"/>
          <w:sz w:val="32"/>
          <w:szCs w:val="32"/>
        </w:rPr>
        <w:t>本年度会议费支出0.11万元，较上年决算数减少0.12万元，下降52.2%，</w:t>
      </w:r>
      <w:r>
        <w:rPr>
          <w:rFonts w:hint="eastAsia" w:ascii="方正仿宋_GBK" w:hAnsi="FangSong_GB2312" w:eastAsia="方正仿宋_GBK" w:cs="宋体"/>
          <w:kern w:val="0"/>
          <w:sz w:val="32"/>
          <w:szCs w:val="32"/>
          <w:lang w:eastAsia="zh-CN"/>
        </w:rPr>
        <w:t>主要原因是</w:t>
      </w:r>
      <w:r>
        <w:rPr>
          <w:rFonts w:hint="eastAsia" w:ascii="方正仿宋_GBK" w:hAnsi="FangSong_GB2312" w:eastAsia="方正仿宋_GBK" w:cs="宋体"/>
          <w:kern w:val="0"/>
          <w:sz w:val="32"/>
          <w:szCs w:val="32"/>
        </w:rPr>
        <w:t>调情原因集体会议减少，因此会议费用也减少0.12万元。本年度培训费支出 4.81万元，较上年决算数增加1.93万元，增长67%，主要原因是各级各类培训增加，因此培训费有增加1.93万元。</w:t>
      </w:r>
    </w:p>
    <w:p>
      <w:pPr>
        <w:widowControl/>
        <w:snapToGrid w:val="0"/>
        <w:spacing w:line="600" w:lineRule="exact"/>
        <w:ind w:firstLine="640" w:firstLineChars="200"/>
        <w:jc w:val="left"/>
        <w:rPr>
          <w:rFonts w:ascii="方正楷体_GBK" w:hAnsi="宋体" w:eastAsia="方正楷体_GBK" w:cs="Times New Roman"/>
          <w:kern w:val="0"/>
          <w:sz w:val="24"/>
          <w:szCs w:val="24"/>
          <w:shd w:val="clear" w:color="auto" w:fill="FFFFFF"/>
        </w:rPr>
      </w:pPr>
      <w:r>
        <w:rPr>
          <w:rFonts w:hint="eastAsia" w:ascii="方正楷体_GBK" w:hAnsi="Times New Roman" w:eastAsia="方正楷体_GBK" w:cs="Times New Roman"/>
          <w:kern w:val="0"/>
          <w:sz w:val="32"/>
        </w:rPr>
        <w:t>（二）国有资产占用情况说明</w:t>
      </w:r>
    </w:p>
    <w:p>
      <w:pPr>
        <w:widowControl/>
        <w:snapToGrid w:val="0"/>
        <w:spacing w:line="600" w:lineRule="exact"/>
        <w:ind w:firstLine="640"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kern w:val="0"/>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widowControl/>
        <w:snapToGrid w:val="0"/>
        <w:spacing w:line="600" w:lineRule="exact"/>
        <w:ind w:firstLine="640" w:firstLineChars="200"/>
        <w:jc w:val="left"/>
        <w:rPr>
          <w:rFonts w:ascii="方正楷体_GBK" w:hAnsi="宋体" w:eastAsia="方正楷体_GBK" w:cs="Times New Roman"/>
          <w:b/>
          <w:kern w:val="0"/>
          <w:sz w:val="24"/>
          <w:szCs w:val="24"/>
          <w:shd w:val="clear" w:color="auto" w:fill="FFFFFF"/>
        </w:rPr>
      </w:pPr>
      <w:r>
        <w:rPr>
          <w:rFonts w:hint="eastAsia" w:ascii="方正楷体_GBK" w:hAnsi="Times New Roman" w:eastAsia="方正楷体_GBK" w:cs="Times New Roman"/>
          <w:kern w:val="0"/>
          <w:sz w:val="32"/>
        </w:rPr>
        <w:t>（三）政府采购支出情况说明</w:t>
      </w:r>
    </w:p>
    <w:p>
      <w:pPr>
        <w:widowControl/>
        <w:snapToGrid w:val="0"/>
        <w:spacing w:line="600" w:lineRule="exact"/>
        <w:ind w:firstLine="640"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kern w:val="0"/>
          <w:sz w:val="32"/>
          <w:szCs w:val="32"/>
        </w:rPr>
        <w:t>2020年度本部门政府采购支出总额2.99万元，其中：政府采购货物支出2.99万元、政府采购工程支出0万元、政府采购服务支出0万元。授予中小企业合同金额2.99万元，占政府采购支出总额的100%，其合同金额 2.99万元，占政府采购支出总额的100%。主要用于采购办公电脑采购。</w:t>
      </w:r>
    </w:p>
    <w:p>
      <w:pPr>
        <w:widowControl/>
        <w:snapToGrid w:val="0"/>
        <w:spacing w:line="600" w:lineRule="exact"/>
        <w:ind w:firstLine="640" w:firstLineChars="200"/>
        <w:jc w:val="left"/>
        <w:rPr>
          <w:rFonts w:ascii="方正黑体_GBK" w:hAnsi="宋体" w:eastAsia="方正黑体_GBK" w:cs="Times New Roman"/>
          <w:kern w:val="0"/>
          <w:sz w:val="24"/>
          <w:szCs w:val="24"/>
          <w:shd w:val="clear" w:color="auto" w:fill="FFFFFF"/>
        </w:rPr>
      </w:pPr>
      <w:r>
        <w:rPr>
          <w:rFonts w:hint="eastAsia" w:ascii="方正黑体_GBK" w:hAnsi="Times New Roman" w:eastAsia="方正黑体_GBK" w:cs="Times New Roman"/>
          <w:kern w:val="0"/>
          <w:sz w:val="32"/>
        </w:rPr>
        <w:t>五、预算绩效管理情况说明</w:t>
      </w:r>
    </w:p>
    <w:p>
      <w:pPr>
        <w:widowControl/>
        <w:snapToGrid w:val="0"/>
        <w:spacing w:line="600" w:lineRule="exact"/>
        <w:ind w:firstLine="640" w:firstLineChars="200"/>
        <w:jc w:val="left"/>
        <w:rPr>
          <w:rFonts w:ascii="方正楷体_GBK" w:hAnsi="Times New Roman" w:eastAsia="方正楷体_GBK" w:cs="Times New Roman"/>
          <w:kern w:val="0"/>
          <w:sz w:val="32"/>
        </w:rPr>
      </w:pPr>
      <w:r>
        <w:rPr>
          <w:rFonts w:hint="eastAsia" w:ascii="方正楷体_GBK" w:hAnsi="Times New Roman" w:eastAsia="方正楷体_GBK" w:cs="Times New Roman"/>
          <w:kern w:val="0"/>
          <w:sz w:val="32"/>
        </w:rPr>
        <w:t>（一）预算绩效管理工作开展情况</w:t>
      </w:r>
    </w:p>
    <w:p>
      <w:pPr>
        <w:widowControl/>
        <w:snapToGrid w:val="0"/>
        <w:spacing w:line="600" w:lineRule="exact"/>
        <w:ind w:firstLine="640"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kern w:val="0"/>
          <w:sz w:val="32"/>
          <w:szCs w:val="32"/>
        </w:rPr>
        <w:t>根据预算绩效管理要求，本部门对24个项目开展了绩效自评，其中，以填报目标自评表形式开展自评24项，涉及资金152.93万元；成立以校长为组长的预算绩效管理工作领导小组，认真开展项目评价，24个项目有22个项目全部近期完成，效果优秀，照明网络监控线路规范整改工程正在施工中，乡村教师岗位生活补助第四季度未发放。</w:t>
      </w:r>
    </w:p>
    <w:p>
      <w:pPr>
        <w:widowControl/>
        <w:snapToGrid w:val="0"/>
        <w:spacing w:line="600" w:lineRule="exact"/>
        <w:ind w:firstLine="640" w:firstLineChars="200"/>
        <w:jc w:val="left"/>
        <w:rPr>
          <w:rFonts w:ascii="方正楷体_GBK" w:hAnsi="宋体" w:eastAsia="方正楷体_GBK" w:cs="Times New Roman"/>
          <w:kern w:val="0"/>
          <w:sz w:val="24"/>
          <w:szCs w:val="24"/>
          <w:shd w:val="clear" w:color="auto" w:fill="FFFFFF"/>
        </w:rPr>
      </w:pPr>
      <w:r>
        <w:rPr>
          <w:rFonts w:hint="eastAsia" w:ascii="方正楷体_GBK" w:hAnsi="Times New Roman" w:eastAsia="方正楷体_GBK" w:cs="Times New Roman"/>
          <w:kern w:val="0"/>
          <w:sz w:val="32"/>
        </w:rPr>
        <w:t>（二）绩效自评结果</w:t>
      </w:r>
    </w:p>
    <w:p>
      <w:pPr>
        <w:widowControl/>
        <w:snapToGrid w:val="0"/>
        <w:spacing w:line="600" w:lineRule="exact"/>
        <w:ind w:firstLine="643"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b/>
          <w:kern w:val="0"/>
          <w:sz w:val="32"/>
          <w:szCs w:val="32"/>
        </w:rPr>
        <w:t>1.绩效自评表</w:t>
      </w:r>
    </w:p>
    <w:tbl>
      <w:tblPr>
        <w:tblStyle w:val="4"/>
        <w:tblW w:w="10410" w:type="dxa"/>
        <w:tblInd w:w="93" w:type="dxa"/>
        <w:tblLayout w:type="fixed"/>
        <w:tblCellMar>
          <w:top w:w="0" w:type="dxa"/>
          <w:left w:w="108" w:type="dxa"/>
          <w:bottom w:w="0" w:type="dxa"/>
          <w:right w:w="108" w:type="dxa"/>
        </w:tblCellMar>
      </w:tblPr>
      <w:tblGrid>
        <w:gridCol w:w="520"/>
        <w:gridCol w:w="1314"/>
        <w:gridCol w:w="1030"/>
        <w:gridCol w:w="1869"/>
        <w:gridCol w:w="816"/>
        <w:gridCol w:w="1016"/>
        <w:gridCol w:w="916"/>
        <w:gridCol w:w="684"/>
        <w:gridCol w:w="816"/>
        <w:gridCol w:w="616"/>
        <w:gridCol w:w="813"/>
      </w:tblGrid>
      <w:tr>
        <w:tblPrEx>
          <w:tblCellMar>
            <w:top w:w="0" w:type="dxa"/>
            <w:left w:w="108" w:type="dxa"/>
            <w:bottom w:w="0" w:type="dxa"/>
            <w:right w:w="108" w:type="dxa"/>
          </w:tblCellMar>
        </w:tblPrEx>
        <w:trPr>
          <w:trHeight w:val="285" w:hRule="atLeast"/>
        </w:trPr>
        <w:tc>
          <w:tcPr>
            <w:tcW w:w="521"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序号</w:t>
            </w:r>
          </w:p>
        </w:tc>
        <w:tc>
          <w:tcPr>
            <w:tcW w:w="1315" w:type="dxa"/>
            <w:vMerge w:val="restart"/>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指标管理科室</w:t>
            </w:r>
          </w:p>
        </w:tc>
        <w:tc>
          <w:tcPr>
            <w:tcW w:w="1030" w:type="dxa"/>
            <w:vMerge w:val="restart"/>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预算单位</w:t>
            </w:r>
          </w:p>
        </w:tc>
        <w:tc>
          <w:tcPr>
            <w:tcW w:w="1870" w:type="dxa"/>
            <w:vMerge w:val="restart"/>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3432" w:type="dxa"/>
            <w:gridSpan w:val="4"/>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资金总量（万元）</w:t>
            </w:r>
          </w:p>
        </w:tc>
        <w:tc>
          <w:tcPr>
            <w:tcW w:w="816" w:type="dxa"/>
            <w:vMerge w:val="restart"/>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自评得分</w:t>
            </w:r>
          </w:p>
        </w:tc>
        <w:tc>
          <w:tcPr>
            <w:tcW w:w="616" w:type="dxa"/>
            <w:vMerge w:val="restart"/>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自评等级</w:t>
            </w:r>
          </w:p>
        </w:tc>
        <w:tc>
          <w:tcPr>
            <w:tcW w:w="813" w:type="dxa"/>
            <w:vMerge w:val="restart"/>
            <w:tcBorders>
              <w:top w:val="single" w:color="000000" w:sz="4" w:space="0"/>
              <w:left w:val="nil"/>
              <w:bottom w:val="single" w:color="000000" w:sz="4" w:space="0"/>
              <w:right w:val="single" w:color="000000" w:sz="4" w:space="0"/>
            </w:tcBorders>
            <w:noWrap/>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备注</w:t>
            </w:r>
          </w:p>
        </w:tc>
      </w:tr>
      <w:tr>
        <w:tblPrEx>
          <w:tblCellMar>
            <w:top w:w="0" w:type="dxa"/>
            <w:left w:w="108" w:type="dxa"/>
            <w:bottom w:w="0" w:type="dxa"/>
            <w:right w:w="108" w:type="dxa"/>
          </w:tblCellMar>
        </w:tblPrEx>
        <w:trPr>
          <w:trHeight w:val="480" w:hRule="atLeast"/>
        </w:trPr>
        <w:tc>
          <w:tcPr>
            <w:tcW w:w="1836"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315" w:type="dxa"/>
            <w:vMerge w:val="continue"/>
            <w:tcBorders>
              <w:top w:val="single" w:color="000000" w:sz="4" w:space="0"/>
              <w:left w:val="nil"/>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3716" w:type="dxa"/>
            <w:vMerge w:val="continue"/>
            <w:tcBorders>
              <w:top w:val="single" w:color="000000" w:sz="4" w:space="0"/>
              <w:left w:val="nil"/>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870" w:type="dxa"/>
            <w:vMerge w:val="continue"/>
            <w:tcBorders>
              <w:top w:val="single" w:color="000000" w:sz="4" w:space="0"/>
              <w:left w:val="nil"/>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中央资金</w:t>
            </w:r>
          </w:p>
        </w:tc>
        <w:tc>
          <w:tcPr>
            <w:tcW w:w="1016"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市级资金</w:t>
            </w:r>
          </w:p>
        </w:tc>
        <w:tc>
          <w:tcPr>
            <w:tcW w:w="916"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区级资金</w:t>
            </w:r>
          </w:p>
        </w:tc>
        <w:tc>
          <w:tcPr>
            <w:tcW w:w="684"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其他资金</w:t>
            </w:r>
          </w:p>
        </w:tc>
        <w:tc>
          <w:tcPr>
            <w:tcW w:w="816" w:type="dxa"/>
            <w:vMerge w:val="continue"/>
            <w:tcBorders>
              <w:top w:val="single" w:color="000000" w:sz="4" w:space="0"/>
              <w:left w:val="nil"/>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616" w:type="dxa"/>
            <w:vMerge w:val="continue"/>
            <w:tcBorders>
              <w:top w:val="single" w:color="000000" w:sz="4" w:space="0"/>
              <w:left w:val="nil"/>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813" w:type="dxa"/>
            <w:vMerge w:val="continue"/>
            <w:tcBorders>
              <w:top w:val="single" w:color="000000" w:sz="4" w:space="0"/>
              <w:left w:val="nil"/>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学生营养资金</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12.69</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学生营养资金运行费</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2.05</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学校食堂临聘人员疫情防控期间生活费</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1.15</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幼儿园及操场改造工程</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4.50</w:t>
            </w: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4.50</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25.00</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解决房屋围墙多处漏水及建应急水池</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22.00</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围墙改扩建</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7.00</w:t>
            </w: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照明网络监控线路规范整改工程</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4.00</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未评</w:t>
            </w:r>
          </w:p>
        </w:tc>
        <w:tc>
          <w:tcPr>
            <w:tcW w:w="813"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正在施工</w:t>
            </w: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改造盐河村小厕所</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4.00</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初中部操场扩建工程</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8.50</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食堂分餐间维修工程</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2.50</w:t>
            </w: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vMerge w:val="restart"/>
            <w:tcBorders>
              <w:top w:val="nil"/>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两项合并指标7万元</w:t>
            </w: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11</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附设幼儿园教具学具玩具等设备设施采购</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4.50</w:t>
            </w: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vMerge w:val="continue"/>
            <w:tcBorders>
              <w:top w:val="nil"/>
              <w:left w:val="nil"/>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12</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幼儿园监控系统升级改造设备采购</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2.00</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盐河村小监控及明厨亮灶改造设备采购</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2.40</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年级组办公电脑采购</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2.99</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办公桌椅等办公设备购置费</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4.83</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乡村教师岗位补助（2020年1-3季度）</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14.76</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98.46</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乡村教师岗位补助（2019年4季度）</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4.80</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18</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非寄宿生生活补助</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0.48</w:t>
            </w: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1.67</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19</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寄宿生生活补助</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4.48</w:t>
            </w: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3.45</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非寄宿生生活补助</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0.48</w:t>
            </w: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0.42</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21</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学前教育家庭经济困难幼儿资助</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0.32</w:t>
            </w: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0.06</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2020年普惠幼儿园生均公用经费财政补助专项资金</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4"/>
                <w:szCs w:val="24"/>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4"/>
                <w:szCs w:val="24"/>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2.35</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4"/>
                <w:szCs w:val="24"/>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23</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2020年教育系统预算内非税收入用于补助公用经费</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4.55</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78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24</w:t>
            </w: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适中学校</w:t>
            </w: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公办园疫情期间临聘人员费用补助</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0.50</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优</w:t>
            </w: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600" w:hRule="atLeast"/>
        </w:trPr>
        <w:tc>
          <w:tcPr>
            <w:tcW w:w="521"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315" w:type="dxa"/>
            <w:tcBorders>
              <w:top w:val="single" w:color="000000" w:sz="4" w:space="0"/>
              <w:left w:val="nil"/>
              <w:bottom w:val="single" w:color="000000" w:sz="4" w:space="0"/>
              <w:right w:val="single" w:color="000000" w:sz="4" w:space="0"/>
            </w:tcBorders>
            <w:noWrap/>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1030"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1870" w:type="dxa"/>
            <w:tcBorders>
              <w:top w:val="single" w:color="000000" w:sz="4" w:space="0"/>
              <w:left w:val="nil"/>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24.26</w:t>
            </w:r>
          </w:p>
        </w:tc>
        <w:tc>
          <w:tcPr>
            <w:tcW w:w="10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64.56</w:t>
            </w:r>
          </w:p>
        </w:tc>
        <w:tc>
          <w:tcPr>
            <w:tcW w:w="916"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59.56</w:t>
            </w:r>
          </w:p>
        </w:tc>
        <w:tc>
          <w:tcPr>
            <w:tcW w:w="684" w:type="dxa"/>
            <w:tcBorders>
              <w:top w:val="single" w:color="000000" w:sz="4" w:space="0"/>
              <w:left w:val="nil"/>
              <w:bottom w:val="single" w:color="000000" w:sz="4" w:space="0"/>
              <w:right w:val="single" w:color="000000" w:sz="4" w:space="0"/>
            </w:tcBorders>
            <w:noWrap/>
            <w:vAlign w:val="center"/>
          </w:tcPr>
          <w:p>
            <w:pPr>
              <w:widowControl/>
              <w:spacing w:line="240" w:lineRule="exact"/>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4.55</w:t>
            </w:r>
          </w:p>
        </w:tc>
        <w:tc>
          <w:tcPr>
            <w:tcW w:w="8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616"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0"/>
                <w:szCs w:val="20"/>
              </w:rPr>
            </w:pPr>
          </w:p>
        </w:tc>
        <w:tc>
          <w:tcPr>
            <w:tcW w:w="813" w:type="dxa"/>
            <w:tcBorders>
              <w:top w:val="single" w:color="000000" w:sz="4" w:space="0"/>
              <w:left w:val="nil"/>
              <w:bottom w:val="single" w:color="000000" w:sz="4" w:space="0"/>
              <w:right w:val="single" w:color="000000" w:sz="4" w:space="0"/>
            </w:tcBorders>
            <w:noWrap/>
            <w:vAlign w:val="center"/>
          </w:tcPr>
          <w:p>
            <w:pPr>
              <w:widowControl/>
              <w:spacing w:line="240" w:lineRule="exact"/>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520" w:hRule="atLeast"/>
        </w:trPr>
        <w:tc>
          <w:tcPr>
            <w:tcW w:w="1836" w:type="dxa"/>
            <w:gridSpan w:val="2"/>
            <w:tcBorders>
              <w:top w:val="single" w:color="000000" w:sz="4" w:space="0"/>
              <w:left w:val="nil"/>
              <w:bottom w:val="nil"/>
              <w:right w:val="nil"/>
            </w:tcBorders>
            <w:vAlign w:val="center"/>
          </w:tcPr>
          <w:p>
            <w:pPr>
              <w:widowControl/>
              <w:jc w:val="left"/>
              <w:rPr>
                <w:rFonts w:ascii="宋体" w:hAnsi="宋体" w:eastAsia="宋体" w:cs="宋体"/>
                <w:kern w:val="0"/>
                <w:sz w:val="24"/>
                <w:szCs w:val="24"/>
              </w:rPr>
            </w:pPr>
          </w:p>
        </w:tc>
        <w:tc>
          <w:tcPr>
            <w:tcW w:w="3716" w:type="dxa"/>
            <w:gridSpan w:val="3"/>
            <w:tcBorders>
              <w:top w:val="single" w:color="000000" w:sz="4" w:space="0"/>
              <w:left w:val="nil"/>
              <w:bottom w:val="nil"/>
              <w:right w:val="nil"/>
            </w:tcBorders>
            <w:vAlign w:val="center"/>
          </w:tcPr>
          <w:p>
            <w:pPr>
              <w:widowControl/>
              <w:jc w:val="left"/>
              <w:rPr>
                <w:rFonts w:ascii="宋体" w:hAnsi="宋体" w:eastAsia="宋体" w:cs="宋体"/>
                <w:kern w:val="0"/>
                <w:sz w:val="24"/>
                <w:szCs w:val="24"/>
              </w:rPr>
            </w:pPr>
          </w:p>
        </w:tc>
        <w:tc>
          <w:tcPr>
            <w:tcW w:w="2616" w:type="dxa"/>
            <w:gridSpan w:val="3"/>
            <w:tcBorders>
              <w:top w:val="single" w:color="000000" w:sz="4" w:space="0"/>
              <w:left w:val="nil"/>
              <w:bottom w:val="nil"/>
              <w:right w:val="nil"/>
            </w:tcBorders>
            <w:vAlign w:val="center"/>
          </w:tcPr>
          <w:p>
            <w:pPr>
              <w:widowControl/>
              <w:jc w:val="left"/>
              <w:rPr>
                <w:rFonts w:ascii="宋体" w:hAnsi="宋体" w:eastAsia="宋体" w:cs="宋体"/>
                <w:kern w:val="0"/>
                <w:sz w:val="24"/>
                <w:szCs w:val="24"/>
              </w:rPr>
            </w:pPr>
          </w:p>
        </w:tc>
        <w:tc>
          <w:tcPr>
            <w:tcW w:w="816" w:type="dxa"/>
            <w:tcBorders>
              <w:top w:val="single" w:color="000000" w:sz="4" w:space="0"/>
              <w:left w:val="nil"/>
              <w:bottom w:val="nil"/>
              <w:right w:val="nil"/>
            </w:tcBorders>
            <w:noWrap/>
            <w:vAlign w:val="center"/>
          </w:tcPr>
          <w:p>
            <w:pPr>
              <w:widowControl/>
              <w:jc w:val="left"/>
              <w:rPr>
                <w:rFonts w:ascii="宋体" w:hAnsi="宋体" w:eastAsia="宋体" w:cs="宋体"/>
                <w:kern w:val="0"/>
                <w:sz w:val="24"/>
                <w:szCs w:val="24"/>
              </w:rPr>
            </w:pPr>
          </w:p>
        </w:tc>
        <w:tc>
          <w:tcPr>
            <w:tcW w:w="616" w:type="dxa"/>
            <w:tcBorders>
              <w:top w:val="single" w:color="000000" w:sz="4" w:space="0"/>
              <w:left w:val="nil"/>
              <w:bottom w:val="nil"/>
              <w:right w:val="nil"/>
            </w:tcBorders>
            <w:noWrap/>
            <w:vAlign w:val="center"/>
          </w:tcPr>
          <w:p>
            <w:pPr>
              <w:widowControl/>
              <w:jc w:val="left"/>
              <w:rPr>
                <w:rFonts w:ascii="宋体" w:hAnsi="宋体" w:eastAsia="宋体" w:cs="宋体"/>
                <w:color w:val="000000"/>
                <w:kern w:val="0"/>
                <w:sz w:val="20"/>
                <w:szCs w:val="20"/>
              </w:rPr>
            </w:pPr>
          </w:p>
        </w:tc>
        <w:tc>
          <w:tcPr>
            <w:tcW w:w="813" w:type="dxa"/>
            <w:tcBorders>
              <w:top w:val="single" w:color="000000" w:sz="4" w:space="0"/>
              <w:left w:val="nil"/>
              <w:bottom w:val="nil"/>
              <w:right w:val="nil"/>
            </w:tcBorders>
            <w:noWrap/>
            <w:vAlign w:val="center"/>
          </w:tcPr>
          <w:p>
            <w:pPr>
              <w:widowControl/>
              <w:jc w:val="left"/>
              <w:rPr>
                <w:rFonts w:ascii="宋体" w:hAnsi="宋体" w:eastAsia="宋体" w:cs="宋体"/>
                <w:color w:val="000000"/>
                <w:kern w:val="0"/>
                <w:sz w:val="24"/>
                <w:szCs w:val="24"/>
              </w:rPr>
            </w:pPr>
          </w:p>
        </w:tc>
      </w:tr>
    </w:tbl>
    <w:p>
      <w:pPr>
        <w:widowControl/>
        <w:snapToGrid w:val="0"/>
        <w:spacing w:after="100" w:afterAutospacing="1"/>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b/>
          <w:kern w:val="0"/>
          <w:sz w:val="32"/>
          <w:szCs w:val="32"/>
        </w:rPr>
        <w:t>2.绩效自评报告或案例</w:t>
      </w:r>
    </w:p>
    <w:tbl>
      <w:tblPr>
        <w:tblStyle w:val="4"/>
        <w:tblW w:w="10221" w:type="dxa"/>
        <w:tblInd w:w="93" w:type="dxa"/>
        <w:tblLayout w:type="autofit"/>
        <w:tblCellMar>
          <w:top w:w="0" w:type="dxa"/>
          <w:left w:w="108" w:type="dxa"/>
          <w:bottom w:w="0" w:type="dxa"/>
          <w:right w:w="108" w:type="dxa"/>
        </w:tblCellMar>
      </w:tblPr>
      <w:tblGrid>
        <w:gridCol w:w="1576"/>
        <w:gridCol w:w="1563"/>
        <w:gridCol w:w="414"/>
        <w:gridCol w:w="1282"/>
        <w:gridCol w:w="549"/>
        <w:gridCol w:w="1023"/>
        <w:gridCol w:w="337"/>
        <w:gridCol w:w="830"/>
        <w:gridCol w:w="573"/>
        <w:gridCol w:w="373"/>
        <w:gridCol w:w="1701"/>
      </w:tblGrid>
      <w:tr>
        <w:tblPrEx>
          <w:tblCellMar>
            <w:top w:w="0" w:type="dxa"/>
            <w:left w:w="108" w:type="dxa"/>
            <w:bottom w:w="0" w:type="dxa"/>
            <w:right w:w="108" w:type="dxa"/>
          </w:tblCellMar>
        </w:tblPrEx>
        <w:trPr>
          <w:trHeight w:val="645" w:hRule="atLeast"/>
        </w:trPr>
        <w:tc>
          <w:tcPr>
            <w:tcW w:w="15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3808" w:type="dxa"/>
            <w:gridSpan w:val="4"/>
            <w:tcBorders>
              <w:top w:val="single" w:color="000000" w:sz="4" w:space="0"/>
              <w:left w:val="nil"/>
              <w:bottom w:val="single" w:color="000000" w:sz="4" w:space="0"/>
              <w:right w:val="nil"/>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解决房屋围墙多处漏水及建应急水池</w:t>
            </w:r>
          </w:p>
        </w:tc>
        <w:tc>
          <w:tcPr>
            <w:tcW w:w="13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自评总分</w:t>
            </w:r>
          </w:p>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p>
        </w:tc>
        <w:tc>
          <w:tcPr>
            <w:tcW w:w="3477" w:type="dxa"/>
            <w:gridSpan w:val="4"/>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r>
      <w:tr>
        <w:tblPrEx>
          <w:tblCellMar>
            <w:top w:w="0" w:type="dxa"/>
            <w:left w:w="108" w:type="dxa"/>
            <w:bottom w:w="0" w:type="dxa"/>
            <w:right w:w="108" w:type="dxa"/>
          </w:tblCellMar>
        </w:tblPrEx>
        <w:trPr>
          <w:trHeight w:val="645" w:hRule="atLeast"/>
        </w:trPr>
        <w:tc>
          <w:tcPr>
            <w:tcW w:w="15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3808" w:type="dxa"/>
            <w:gridSpan w:val="4"/>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重庆市綦江区教育委员会</w:t>
            </w:r>
          </w:p>
        </w:tc>
        <w:tc>
          <w:tcPr>
            <w:tcW w:w="1360"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联系人</w:t>
            </w:r>
          </w:p>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及电话</w:t>
            </w:r>
          </w:p>
        </w:tc>
        <w:tc>
          <w:tcPr>
            <w:tcW w:w="3477" w:type="dxa"/>
            <w:gridSpan w:val="4"/>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马应伏：15922686614</w:t>
            </w:r>
          </w:p>
        </w:tc>
      </w:tr>
      <w:tr>
        <w:tblPrEx>
          <w:tblCellMar>
            <w:top w:w="0" w:type="dxa"/>
            <w:left w:w="108" w:type="dxa"/>
            <w:bottom w:w="0" w:type="dxa"/>
            <w:right w:w="108" w:type="dxa"/>
          </w:tblCellMar>
        </w:tblPrEx>
        <w:trPr>
          <w:trHeight w:val="360" w:hRule="atLeast"/>
        </w:trPr>
        <w:tc>
          <w:tcPr>
            <w:tcW w:w="1576"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977" w:type="dxa"/>
            <w:gridSpan w:val="2"/>
            <w:tcBorders>
              <w:top w:val="single" w:color="000000" w:sz="4" w:space="0"/>
              <w:left w:val="nil"/>
              <w:bottom w:val="single" w:color="000000" w:sz="4" w:space="0"/>
              <w:right w:val="nil"/>
            </w:tcBorders>
            <w:vAlign w:val="center"/>
          </w:tcPr>
          <w:p>
            <w:pPr>
              <w:widowControl/>
              <w:spacing w:line="240" w:lineRule="exact"/>
              <w:jc w:val="left"/>
              <w:rPr>
                <w:rFonts w:ascii="宋体" w:hAnsi="宋体" w:eastAsia="宋体" w:cs="宋体"/>
                <w:color w:val="000000"/>
                <w:kern w:val="0"/>
                <w:sz w:val="20"/>
                <w:szCs w:val="20"/>
              </w:rPr>
            </w:pPr>
          </w:p>
        </w:tc>
        <w:tc>
          <w:tcPr>
            <w:tcW w:w="1831" w:type="dxa"/>
            <w:gridSpan w:val="2"/>
            <w:tcBorders>
              <w:top w:val="single" w:color="000000" w:sz="4" w:space="0"/>
              <w:left w:val="single" w:color="000000" w:sz="4" w:space="0"/>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13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1403"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2074"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tblPrEx>
          <w:tblCellMar>
            <w:top w:w="0" w:type="dxa"/>
            <w:left w:w="108" w:type="dxa"/>
            <w:bottom w:w="0" w:type="dxa"/>
            <w:right w:w="108" w:type="dxa"/>
          </w:tblCellMar>
        </w:tblPrEx>
        <w:trPr>
          <w:trHeight w:val="36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97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1831" w:type="dxa"/>
            <w:gridSpan w:val="2"/>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3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403"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074"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36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97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1831" w:type="dxa"/>
            <w:gridSpan w:val="2"/>
            <w:tcBorders>
              <w:top w:val="single" w:color="000000" w:sz="4" w:space="0"/>
              <w:left w:val="nil"/>
              <w:bottom w:val="single" w:color="000000" w:sz="4" w:space="0"/>
              <w:right w:val="nil"/>
            </w:tcBorders>
            <w:vAlign w:val="center"/>
          </w:tcPr>
          <w:p>
            <w:pPr>
              <w:widowControl/>
              <w:spacing w:line="240" w:lineRule="exact"/>
              <w:jc w:val="center"/>
              <w:rPr>
                <w:rFonts w:ascii="宋体" w:hAnsi="宋体" w:eastAsia="宋体" w:cs="宋体"/>
                <w:color w:val="000000"/>
                <w:kern w:val="0"/>
                <w:sz w:val="20"/>
                <w:szCs w:val="20"/>
              </w:rPr>
            </w:pPr>
          </w:p>
        </w:tc>
        <w:tc>
          <w:tcPr>
            <w:tcW w:w="13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eastAsia="宋体" w:cs="宋体"/>
                <w:color w:val="000000"/>
                <w:kern w:val="0"/>
                <w:sz w:val="20"/>
                <w:szCs w:val="20"/>
              </w:rPr>
            </w:pPr>
          </w:p>
        </w:tc>
        <w:tc>
          <w:tcPr>
            <w:tcW w:w="1403"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宋体" w:hAnsi="宋体" w:eastAsia="宋体" w:cs="宋体"/>
                <w:color w:val="000000"/>
                <w:kern w:val="0"/>
                <w:sz w:val="20"/>
                <w:szCs w:val="20"/>
              </w:rPr>
            </w:pPr>
          </w:p>
        </w:tc>
        <w:tc>
          <w:tcPr>
            <w:tcW w:w="2074"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75"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97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市级补助</w:t>
            </w:r>
          </w:p>
        </w:tc>
        <w:tc>
          <w:tcPr>
            <w:tcW w:w="1831" w:type="dxa"/>
            <w:gridSpan w:val="2"/>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3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22</w:t>
            </w:r>
          </w:p>
        </w:tc>
        <w:tc>
          <w:tcPr>
            <w:tcW w:w="1403"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074"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42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97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区级资金</w:t>
            </w:r>
          </w:p>
        </w:tc>
        <w:tc>
          <w:tcPr>
            <w:tcW w:w="1831" w:type="dxa"/>
            <w:gridSpan w:val="2"/>
            <w:tcBorders>
              <w:top w:val="single" w:color="000000" w:sz="4" w:space="0"/>
              <w:left w:val="nil"/>
              <w:bottom w:val="single" w:color="000000" w:sz="4" w:space="0"/>
              <w:right w:val="nil"/>
            </w:tcBorders>
            <w:vAlign w:val="center"/>
          </w:tcPr>
          <w:p>
            <w:pPr>
              <w:widowControl/>
              <w:spacing w:line="240" w:lineRule="exact"/>
              <w:jc w:val="center"/>
              <w:rPr>
                <w:rFonts w:ascii="宋体" w:hAnsi="宋体" w:eastAsia="宋体" w:cs="宋体"/>
                <w:color w:val="000000"/>
                <w:kern w:val="0"/>
                <w:sz w:val="20"/>
                <w:szCs w:val="20"/>
              </w:rPr>
            </w:pPr>
          </w:p>
        </w:tc>
        <w:tc>
          <w:tcPr>
            <w:tcW w:w="13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eastAsia="宋体" w:cs="宋体"/>
                <w:color w:val="000000"/>
                <w:kern w:val="0"/>
                <w:sz w:val="20"/>
                <w:szCs w:val="20"/>
              </w:rPr>
            </w:pPr>
          </w:p>
        </w:tc>
        <w:tc>
          <w:tcPr>
            <w:tcW w:w="1403"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宋体" w:hAnsi="宋体" w:eastAsia="宋体" w:cs="宋体"/>
                <w:color w:val="000000"/>
                <w:kern w:val="0"/>
                <w:sz w:val="20"/>
                <w:szCs w:val="20"/>
              </w:rPr>
            </w:pPr>
          </w:p>
        </w:tc>
        <w:tc>
          <w:tcPr>
            <w:tcW w:w="2074"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3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97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其他资金</w:t>
            </w:r>
          </w:p>
        </w:tc>
        <w:tc>
          <w:tcPr>
            <w:tcW w:w="1831" w:type="dxa"/>
            <w:gridSpan w:val="2"/>
            <w:tcBorders>
              <w:top w:val="single" w:color="000000" w:sz="4" w:space="0"/>
              <w:left w:val="nil"/>
              <w:bottom w:val="single" w:color="000000" w:sz="4" w:space="0"/>
              <w:right w:val="nil"/>
            </w:tcBorders>
            <w:vAlign w:val="center"/>
          </w:tcPr>
          <w:p>
            <w:pPr>
              <w:widowControl/>
              <w:spacing w:line="240" w:lineRule="exact"/>
              <w:jc w:val="center"/>
              <w:rPr>
                <w:rFonts w:ascii="宋体" w:hAnsi="宋体" w:eastAsia="宋体" w:cs="宋体"/>
                <w:color w:val="000000"/>
                <w:kern w:val="0"/>
                <w:sz w:val="20"/>
                <w:szCs w:val="20"/>
              </w:rPr>
            </w:pPr>
          </w:p>
        </w:tc>
        <w:tc>
          <w:tcPr>
            <w:tcW w:w="136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宋体" w:hAnsi="宋体" w:eastAsia="宋体" w:cs="宋体"/>
                <w:color w:val="000000"/>
                <w:kern w:val="0"/>
                <w:sz w:val="20"/>
                <w:szCs w:val="20"/>
              </w:rPr>
            </w:pPr>
          </w:p>
        </w:tc>
        <w:tc>
          <w:tcPr>
            <w:tcW w:w="1403"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宋体" w:hAnsi="宋体" w:eastAsia="宋体" w:cs="宋体"/>
                <w:color w:val="000000"/>
                <w:kern w:val="0"/>
                <w:sz w:val="20"/>
                <w:szCs w:val="20"/>
              </w:rPr>
            </w:pPr>
          </w:p>
        </w:tc>
        <w:tc>
          <w:tcPr>
            <w:tcW w:w="2074"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420" w:hRule="atLeast"/>
        </w:trPr>
        <w:tc>
          <w:tcPr>
            <w:tcW w:w="1576"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3808" w:type="dxa"/>
            <w:gridSpan w:val="4"/>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4837" w:type="dxa"/>
            <w:gridSpan w:val="6"/>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tblPrEx>
          <w:tblCellMar>
            <w:top w:w="0" w:type="dxa"/>
            <w:left w:w="108" w:type="dxa"/>
            <w:bottom w:w="0" w:type="dxa"/>
            <w:right w:w="108" w:type="dxa"/>
          </w:tblCellMar>
        </w:tblPrEx>
        <w:trPr>
          <w:trHeight w:val="1665"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3808" w:type="dxa"/>
            <w:gridSpan w:val="4"/>
            <w:tcBorders>
              <w:top w:val="single" w:color="000000" w:sz="4" w:space="0"/>
              <w:left w:val="nil"/>
              <w:bottom w:val="single" w:color="000000" w:sz="4" w:space="0"/>
              <w:right w:val="nil"/>
            </w:tcBorders>
            <w:vAlign w:val="center"/>
          </w:tcPr>
          <w:p>
            <w:pPr>
              <w:widowControl/>
              <w:spacing w:line="240" w:lineRule="exact"/>
              <w:jc w:val="left"/>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为了将旧教学楼房顶约500平方米漏水问题进行处理，将约130米长的围墙高度不达标进行拆除、修建、刷漆、素筒瓦压顶及防水处理，受踩空影响，修建应急容积80立方米的蓄水池一个，学校经区教委和财政局同意，争取到了市级资金22万元进行修缮。修建后，师生的生活学习环境得到改善，生命安全得到保障。</w:t>
            </w:r>
          </w:p>
        </w:tc>
        <w:tc>
          <w:tcPr>
            <w:tcW w:w="4837" w:type="dxa"/>
            <w:gridSpan w:val="6"/>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该项目按照年度总体目标要求完成了施工、验收并完成支付工作，得到了社会、家长、师生的好评。</w:t>
            </w:r>
          </w:p>
        </w:tc>
      </w:tr>
      <w:tr>
        <w:tblPrEx>
          <w:tblCellMar>
            <w:top w:w="0" w:type="dxa"/>
            <w:left w:w="108" w:type="dxa"/>
            <w:bottom w:w="0" w:type="dxa"/>
            <w:right w:w="108" w:type="dxa"/>
          </w:tblCellMar>
        </w:tblPrEx>
        <w:trPr>
          <w:trHeight w:val="525" w:hRule="atLeast"/>
        </w:trPr>
        <w:tc>
          <w:tcPr>
            <w:tcW w:w="1576"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563"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指标名称</w:t>
            </w:r>
          </w:p>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（三级指标）</w:t>
            </w:r>
          </w:p>
        </w:tc>
        <w:tc>
          <w:tcPr>
            <w:tcW w:w="1696" w:type="dxa"/>
            <w:gridSpan w:val="2"/>
            <w:tcBorders>
              <w:top w:val="single" w:color="000000" w:sz="4" w:space="0"/>
              <w:left w:val="nil"/>
              <w:bottom w:val="single" w:color="000000" w:sz="4" w:space="0"/>
              <w:right w:val="single" w:color="000000" w:sz="4" w:space="0"/>
            </w:tcBorders>
            <w:noWrap/>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549" w:type="dxa"/>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指标权重</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116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94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1701"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指标得分</w:t>
            </w:r>
          </w:p>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p>
        </w:tc>
      </w:tr>
      <w:tr>
        <w:tblPrEx>
          <w:tblCellMar>
            <w:top w:w="0" w:type="dxa"/>
            <w:left w:w="108" w:type="dxa"/>
            <w:bottom w:w="0" w:type="dxa"/>
            <w:right w:w="108" w:type="dxa"/>
          </w:tblCellMar>
        </w:tblPrEx>
        <w:trPr>
          <w:trHeight w:val="48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563"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改造维修面积</w:t>
            </w:r>
          </w:p>
        </w:tc>
        <w:tc>
          <w:tcPr>
            <w:tcW w:w="169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平方米</w:t>
            </w:r>
          </w:p>
        </w:tc>
        <w:tc>
          <w:tcPr>
            <w:tcW w:w="549" w:type="dxa"/>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1500</w:t>
            </w:r>
          </w:p>
        </w:tc>
        <w:tc>
          <w:tcPr>
            <w:tcW w:w="116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150000%</w:t>
            </w:r>
          </w:p>
        </w:tc>
        <w:tc>
          <w:tcPr>
            <w:tcW w:w="94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701"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48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563"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工程验收合格率</w:t>
            </w:r>
          </w:p>
        </w:tc>
        <w:tc>
          <w:tcPr>
            <w:tcW w:w="169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549" w:type="dxa"/>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023" w:type="dxa"/>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16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94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701"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r>
      <w:tr>
        <w:tblPrEx>
          <w:tblCellMar>
            <w:top w:w="0" w:type="dxa"/>
            <w:left w:w="108" w:type="dxa"/>
            <w:bottom w:w="0" w:type="dxa"/>
            <w:right w:w="108" w:type="dxa"/>
          </w:tblCellMar>
        </w:tblPrEx>
        <w:trPr>
          <w:trHeight w:val="48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563"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工程完成率</w:t>
            </w:r>
          </w:p>
        </w:tc>
        <w:tc>
          <w:tcPr>
            <w:tcW w:w="169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549" w:type="dxa"/>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16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94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701"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48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563"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维修成本</w:t>
            </w:r>
          </w:p>
        </w:tc>
        <w:tc>
          <w:tcPr>
            <w:tcW w:w="169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元/平方</w:t>
            </w:r>
          </w:p>
        </w:tc>
        <w:tc>
          <w:tcPr>
            <w:tcW w:w="549" w:type="dxa"/>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147</w:t>
            </w:r>
          </w:p>
        </w:tc>
        <w:tc>
          <w:tcPr>
            <w:tcW w:w="116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14700%</w:t>
            </w:r>
          </w:p>
        </w:tc>
        <w:tc>
          <w:tcPr>
            <w:tcW w:w="94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701"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48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563"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受益师生</w:t>
            </w:r>
          </w:p>
        </w:tc>
        <w:tc>
          <w:tcPr>
            <w:tcW w:w="169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549" w:type="dxa"/>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326</w:t>
            </w:r>
          </w:p>
        </w:tc>
        <w:tc>
          <w:tcPr>
            <w:tcW w:w="116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326</w:t>
            </w:r>
          </w:p>
        </w:tc>
        <w:tc>
          <w:tcPr>
            <w:tcW w:w="94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701"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48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563"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师生满意率</w:t>
            </w:r>
          </w:p>
        </w:tc>
        <w:tc>
          <w:tcPr>
            <w:tcW w:w="169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549" w:type="dxa"/>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16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94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701"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CellMar>
            <w:top w:w="0" w:type="dxa"/>
            <w:left w:w="108" w:type="dxa"/>
            <w:bottom w:w="0" w:type="dxa"/>
            <w:right w:w="108" w:type="dxa"/>
          </w:tblCellMar>
        </w:tblPrEx>
        <w:trPr>
          <w:trHeight w:val="480" w:hRule="atLeast"/>
        </w:trPr>
        <w:tc>
          <w:tcPr>
            <w:tcW w:w="1576"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宋体" w:hAnsi="宋体" w:eastAsia="宋体" w:cs="宋体"/>
                <w:color w:val="000000"/>
                <w:kern w:val="0"/>
                <w:sz w:val="20"/>
                <w:szCs w:val="20"/>
              </w:rPr>
            </w:pPr>
          </w:p>
        </w:tc>
        <w:tc>
          <w:tcPr>
            <w:tcW w:w="1563"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社会满意率</w:t>
            </w:r>
          </w:p>
        </w:tc>
        <w:tc>
          <w:tcPr>
            <w:tcW w:w="169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bookmarkStart w:id="0" w:name="_GoBack"/>
            <w:bookmarkEnd w:id="0"/>
          </w:p>
        </w:tc>
        <w:tc>
          <w:tcPr>
            <w:tcW w:w="549" w:type="dxa"/>
            <w:tcBorders>
              <w:top w:val="single" w:color="000000" w:sz="4" w:space="0"/>
              <w:left w:val="nil"/>
              <w:bottom w:val="single" w:color="000000" w:sz="4" w:space="0"/>
              <w:right w:val="nil"/>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167"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946" w:type="dxa"/>
            <w:gridSpan w:val="2"/>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701" w:type="dxa"/>
            <w:tcBorders>
              <w:top w:val="single" w:color="000000" w:sz="4" w:space="0"/>
              <w:left w:val="nil"/>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CellMar>
            <w:top w:w="0" w:type="dxa"/>
            <w:left w:w="108" w:type="dxa"/>
            <w:bottom w:w="0" w:type="dxa"/>
            <w:right w:w="108" w:type="dxa"/>
          </w:tblCellMar>
        </w:tblPrEx>
        <w:trPr>
          <w:trHeight w:val="1860" w:hRule="atLeast"/>
        </w:trPr>
        <w:tc>
          <w:tcPr>
            <w:tcW w:w="1576"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8645" w:type="dxa"/>
            <w:gridSpan w:val="10"/>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270" w:hRule="atLeast"/>
        </w:trPr>
        <w:tc>
          <w:tcPr>
            <w:tcW w:w="1576" w:type="dxa"/>
            <w:noWrap/>
            <w:vAlign w:val="center"/>
          </w:tcPr>
          <w:p>
            <w:pPr>
              <w:widowControl/>
              <w:jc w:val="left"/>
              <w:rPr>
                <w:rFonts w:ascii="宋体" w:hAnsi="宋体" w:eastAsia="宋体" w:cs="宋体"/>
                <w:color w:val="000000"/>
                <w:kern w:val="0"/>
                <w:sz w:val="22"/>
              </w:rPr>
            </w:pPr>
          </w:p>
        </w:tc>
        <w:tc>
          <w:tcPr>
            <w:tcW w:w="1563" w:type="dxa"/>
            <w:noWrap/>
            <w:vAlign w:val="center"/>
          </w:tcPr>
          <w:p>
            <w:pPr>
              <w:widowControl/>
              <w:jc w:val="left"/>
              <w:rPr>
                <w:rFonts w:ascii="宋体" w:hAnsi="宋体" w:eastAsia="宋体" w:cs="宋体"/>
                <w:color w:val="000000"/>
                <w:kern w:val="0"/>
                <w:sz w:val="22"/>
              </w:rPr>
            </w:pPr>
          </w:p>
        </w:tc>
        <w:tc>
          <w:tcPr>
            <w:tcW w:w="0" w:type="auto"/>
            <w:gridSpan w:val="2"/>
            <w:noWrap/>
            <w:vAlign w:val="center"/>
          </w:tcPr>
          <w:p>
            <w:pPr>
              <w:widowControl/>
              <w:jc w:val="left"/>
              <w:rPr>
                <w:rFonts w:ascii="宋体" w:hAnsi="宋体" w:eastAsia="宋体" w:cs="宋体"/>
                <w:color w:val="000000"/>
                <w:kern w:val="0"/>
                <w:sz w:val="22"/>
              </w:rPr>
            </w:pPr>
          </w:p>
        </w:tc>
        <w:tc>
          <w:tcPr>
            <w:tcW w:w="0" w:type="auto"/>
            <w:noWrap/>
            <w:vAlign w:val="center"/>
          </w:tcPr>
          <w:p>
            <w:pPr>
              <w:widowControl/>
              <w:jc w:val="left"/>
              <w:rPr>
                <w:rFonts w:ascii="宋体" w:hAnsi="宋体" w:eastAsia="宋体" w:cs="宋体"/>
                <w:color w:val="000000"/>
                <w:kern w:val="0"/>
                <w:sz w:val="22"/>
              </w:rPr>
            </w:pPr>
          </w:p>
        </w:tc>
        <w:tc>
          <w:tcPr>
            <w:tcW w:w="0" w:type="auto"/>
            <w:noWrap/>
            <w:vAlign w:val="center"/>
          </w:tcPr>
          <w:p>
            <w:pPr>
              <w:widowControl/>
              <w:jc w:val="left"/>
              <w:rPr>
                <w:rFonts w:ascii="宋体" w:hAnsi="宋体" w:eastAsia="宋体" w:cs="宋体"/>
                <w:color w:val="000000"/>
                <w:kern w:val="0"/>
                <w:sz w:val="22"/>
              </w:rPr>
            </w:pPr>
          </w:p>
        </w:tc>
        <w:tc>
          <w:tcPr>
            <w:tcW w:w="0" w:type="auto"/>
            <w:gridSpan w:val="2"/>
            <w:noWrap/>
            <w:vAlign w:val="center"/>
          </w:tcPr>
          <w:p>
            <w:pPr>
              <w:widowControl/>
              <w:jc w:val="left"/>
              <w:rPr>
                <w:rFonts w:ascii="宋体" w:hAnsi="宋体" w:eastAsia="宋体" w:cs="宋体"/>
                <w:color w:val="000000"/>
                <w:kern w:val="0"/>
                <w:sz w:val="22"/>
              </w:rPr>
            </w:pPr>
          </w:p>
        </w:tc>
        <w:tc>
          <w:tcPr>
            <w:tcW w:w="0" w:type="auto"/>
            <w:gridSpan w:val="2"/>
            <w:noWrap/>
            <w:vAlign w:val="center"/>
          </w:tcPr>
          <w:p>
            <w:pPr>
              <w:widowControl/>
              <w:jc w:val="left"/>
              <w:rPr>
                <w:rFonts w:ascii="宋体" w:hAnsi="宋体" w:eastAsia="宋体" w:cs="宋体"/>
                <w:color w:val="000000"/>
                <w:kern w:val="0"/>
                <w:sz w:val="22"/>
              </w:rPr>
            </w:pPr>
          </w:p>
        </w:tc>
        <w:tc>
          <w:tcPr>
            <w:tcW w:w="1701" w:type="dxa"/>
            <w:noWrap/>
            <w:vAlign w:val="center"/>
          </w:tcPr>
          <w:p>
            <w:pPr>
              <w:widowControl/>
              <w:jc w:val="left"/>
              <w:rPr>
                <w:rFonts w:ascii="宋体" w:hAnsi="宋体" w:eastAsia="宋体" w:cs="宋体"/>
                <w:color w:val="000000"/>
                <w:kern w:val="0"/>
                <w:sz w:val="22"/>
              </w:rPr>
            </w:pPr>
          </w:p>
        </w:tc>
      </w:tr>
    </w:tbl>
    <w:p>
      <w:pPr>
        <w:widowControl/>
        <w:snapToGrid w:val="0"/>
        <w:spacing w:line="600" w:lineRule="exact"/>
        <w:ind w:firstLine="640" w:firstLineChars="200"/>
        <w:jc w:val="left"/>
        <w:rPr>
          <w:rFonts w:ascii="方正楷体_GBK" w:hAnsi="宋体" w:eastAsia="方正楷体_GBK" w:cs="Times New Roman"/>
          <w:kern w:val="0"/>
          <w:sz w:val="32"/>
          <w:szCs w:val="32"/>
          <w:shd w:val="clear" w:color="auto" w:fill="FFFFFF"/>
        </w:rPr>
      </w:pPr>
      <w:r>
        <w:rPr>
          <w:rFonts w:hint="eastAsia" w:ascii="方正楷体_GBK" w:hAnsi="Times New Roman" w:eastAsia="方正楷体_GBK" w:cs="Times New Roman"/>
          <w:kern w:val="0"/>
          <w:sz w:val="32"/>
        </w:rPr>
        <w:t>（三）重点绩效评价结果</w:t>
      </w:r>
    </w:p>
    <w:p>
      <w:pPr>
        <w:widowControl/>
        <w:shd w:val="clear" w:color="auto" w:fill="FFFFFF"/>
        <w:snapToGrid w:val="0"/>
        <w:spacing w:line="600" w:lineRule="exact"/>
        <w:ind w:firstLine="640"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kern w:val="0"/>
          <w:sz w:val="32"/>
          <w:szCs w:val="32"/>
        </w:rPr>
        <w:t>本单位本年度未委托第三方对部门政策或项目开展重点绩效评价。</w:t>
      </w:r>
    </w:p>
    <w:p>
      <w:pPr>
        <w:widowControl/>
        <w:snapToGrid w:val="0"/>
        <w:spacing w:line="600" w:lineRule="exact"/>
        <w:ind w:firstLine="640" w:firstLineChars="200"/>
        <w:jc w:val="left"/>
        <w:rPr>
          <w:rFonts w:ascii="方正黑体_GBK" w:hAnsi="宋体" w:eastAsia="方正黑体_GBK" w:cs="Times New Roman"/>
          <w:kern w:val="0"/>
          <w:sz w:val="24"/>
          <w:szCs w:val="24"/>
          <w:shd w:val="clear" w:color="auto" w:fill="FFFFFF"/>
        </w:rPr>
      </w:pPr>
      <w:r>
        <w:rPr>
          <w:rFonts w:hint="eastAsia" w:ascii="方正黑体_GBK" w:hAnsi="Times New Roman" w:eastAsia="方正黑体_GBK" w:cs="Times New Roman"/>
          <w:kern w:val="0"/>
          <w:sz w:val="32"/>
        </w:rPr>
        <w:t>六、专业名词解释</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（一）财政拨款收入：</w:t>
      </w:r>
      <w:r>
        <w:rPr>
          <w:rFonts w:hint="eastAsia" w:ascii="方正仿宋_GBK" w:hAnsi="FangSong_GB2312" w:eastAsia="方正仿宋_GBK" w:cs="宋体"/>
          <w:kern w:val="0"/>
          <w:sz w:val="32"/>
          <w:szCs w:val="32"/>
        </w:rPr>
        <w:t>指本年度从本级财政部门取得的财政拨款，包括一般公共预算财政拨款和政府性基金预算财政拨款。</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（二）事业收入：</w:t>
      </w:r>
      <w:r>
        <w:rPr>
          <w:rFonts w:hint="eastAsia" w:ascii="方正仿宋_GBK" w:hAnsi="FangSong_GB2312" w:eastAsia="方正仿宋_GBK" w:cs="宋体"/>
          <w:kern w:val="0"/>
          <w:sz w:val="32"/>
          <w:szCs w:val="32"/>
        </w:rPr>
        <w:t>指事业单位开展专业业务活动及其辅助活动取得的现金流入；事业单位收到的财政专户实际核拨的教育收费等资金在此反映。</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（三）经营收入：</w:t>
      </w:r>
      <w:r>
        <w:rPr>
          <w:rFonts w:hint="eastAsia" w:ascii="方正仿宋_GBK" w:hAnsi="FangSong_GB2312" w:eastAsia="方正仿宋_GBK" w:cs="宋体"/>
          <w:kern w:val="0"/>
          <w:sz w:val="32"/>
          <w:szCs w:val="32"/>
        </w:rPr>
        <w:t>指事业单位在专业业务活动及其辅助活动之外开展非独立核算经营活动取得的现金流入。</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（四）其他收入：</w:t>
      </w:r>
      <w:r>
        <w:rPr>
          <w:rFonts w:hint="eastAsia" w:ascii="方正仿宋_GBK" w:hAnsi="FangSong_GB2312" w:eastAsia="方正仿宋_GBK" w:cs="宋体"/>
          <w:kern w:val="0"/>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（五）使用非财政拨款结余：</w:t>
      </w:r>
      <w:r>
        <w:rPr>
          <w:rFonts w:hint="eastAsia" w:ascii="方正仿宋_GBK" w:hAnsi="FangSong_GB2312" w:eastAsia="方正仿宋_GBK" w:cs="宋体"/>
          <w:kern w:val="0"/>
          <w:sz w:val="32"/>
          <w:szCs w:val="32"/>
        </w:rPr>
        <w:t>指单位在当年的“财政拨款收入”、“事业收入”、“经营收入”、“其他收入”等不足以安排当年支出的情况下，使用以前年度积累的非财政拨款结余弥补本年度收支缺口的资金。</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楷体_GBK" w:hAnsi="Times New Roman" w:eastAsia="方正楷体_GBK" w:cs="Times New Roman"/>
          <w:kern w:val="0"/>
          <w:sz w:val="32"/>
        </w:rPr>
        <w:t>（六）年初结转和结余：</w:t>
      </w:r>
      <w:r>
        <w:rPr>
          <w:rFonts w:hint="eastAsia" w:ascii="方正仿宋_GBK" w:hAnsi="FangSong_GB2312" w:eastAsia="方正仿宋_GBK" w:cs="宋体"/>
          <w:kern w:val="0"/>
          <w:sz w:val="32"/>
          <w:szCs w:val="32"/>
        </w:rPr>
        <w:t>指单位上年结转本年使用的基本支出结转、项目支出结转和结余、经营结余。</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（七）结余分配：</w:t>
      </w:r>
      <w:r>
        <w:rPr>
          <w:rFonts w:hint="eastAsia" w:ascii="方正仿宋_GBK" w:hAnsi="FangSong_GB2312" w:eastAsia="方正仿宋_GBK" w:cs="宋体"/>
          <w:kern w:val="0"/>
          <w:sz w:val="32"/>
          <w:szCs w:val="32"/>
        </w:rPr>
        <w:t>指单位按照国家有关规定，缴纳所得税、提取专用基金、转入非财政拨款结余等当年结余的分配情况。</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楷体_GBK" w:hAnsi="Times New Roman" w:eastAsia="方正楷体_GBK" w:cs="Times New Roman"/>
          <w:kern w:val="0"/>
          <w:sz w:val="32"/>
        </w:rPr>
        <w:t>（八）年末结转和结余：</w:t>
      </w:r>
      <w:r>
        <w:rPr>
          <w:rFonts w:hint="eastAsia" w:ascii="方正仿宋_GBK" w:hAnsi="FangSong_GB2312" w:eastAsia="方正仿宋_GBK" w:cs="宋体"/>
          <w:kern w:val="0"/>
          <w:sz w:val="32"/>
          <w:szCs w:val="32"/>
        </w:rPr>
        <w:t>指单位结转下年的基本支出结转、项目支出结转和结余、经营结余。</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楷体_GBK" w:hAnsi="Times New Roman" w:eastAsia="方正楷体_GBK" w:cs="Times New Roman"/>
          <w:kern w:val="0"/>
          <w:sz w:val="32"/>
        </w:rPr>
        <w:t>（九）基本支出：</w:t>
      </w:r>
      <w:r>
        <w:rPr>
          <w:rFonts w:hint="eastAsia" w:ascii="方正仿宋_GBK" w:hAnsi="FangSong_GB2312" w:eastAsia="方正仿宋_GBK" w:cs="宋体"/>
          <w:kern w:val="0"/>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楷体_GBK" w:hAnsi="Times New Roman" w:eastAsia="方正楷体_GBK" w:cs="Times New Roman"/>
          <w:kern w:val="0"/>
          <w:sz w:val="32"/>
        </w:rPr>
        <w:t>（十）项目支出：</w:t>
      </w:r>
      <w:r>
        <w:rPr>
          <w:rFonts w:hint="eastAsia" w:ascii="宋体" w:hAnsi="宋体" w:eastAsia="宋体" w:cs="宋体"/>
          <w:kern w:val="0"/>
          <w:sz w:val="27"/>
          <w:szCs w:val="27"/>
          <w:shd w:val="clear" w:color="auto" w:fill="FFFFFF"/>
        </w:rPr>
        <w:t>指</w:t>
      </w:r>
      <w:r>
        <w:rPr>
          <w:rFonts w:hint="eastAsia" w:ascii="方正仿宋_GBK" w:hAnsi="FangSong_GB2312" w:eastAsia="方正仿宋_GBK" w:cs="宋体"/>
          <w:kern w:val="0"/>
          <w:sz w:val="32"/>
          <w:szCs w:val="32"/>
        </w:rPr>
        <w:t>在基本支出之外为完成特定行政任务和事业发展目标所发生的支出。</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楷体_GBK" w:hAnsi="Times New Roman" w:eastAsia="方正楷体_GBK" w:cs="Times New Roman"/>
          <w:kern w:val="0"/>
          <w:sz w:val="32"/>
        </w:rPr>
        <w:t>（十一）经营支出：</w:t>
      </w:r>
      <w:r>
        <w:rPr>
          <w:rFonts w:hint="eastAsia" w:ascii="方正仿宋_GBK" w:hAnsi="FangSong_GB2312" w:eastAsia="方正仿宋_GBK" w:cs="宋体"/>
          <w:kern w:val="0"/>
          <w:sz w:val="32"/>
          <w:szCs w:val="32"/>
        </w:rPr>
        <w:t>指事业单位在专业业务活动及其辅助活动之外开展非独立核算经营活动发生的支出。</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（十二）“三公”经费：</w:t>
      </w:r>
      <w:r>
        <w:rPr>
          <w:rFonts w:hint="eastAsia" w:ascii="方正仿宋_GBK" w:hAnsi="FangSong_GB2312" w:eastAsia="方正仿宋_GBK" w:cs="宋体"/>
          <w:kern w:val="0"/>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（十三）机关运行经费</w:t>
      </w:r>
      <w:r>
        <w:rPr>
          <w:rFonts w:hint="eastAsia" w:ascii="方正楷体_GBK" w:hAnsi="Times New Roman" w:eastAsia="方正楷体_GBK" w:cs="Times New Roman"/>
          <w:b/>
          <w:kern w:val="0"/>
          <w:sz w:val="32"/>
        </w:rPr>
        <w:t>：</w:t>
      </w:r>
      <w:r>
        <w:rPr>
          <w:rFonts w:hint="eastAsia" w:ascii="方正仿宋_GBK" w:hAnsi="FangSong_GB2312" w:eastAsia="方正仿宋_GBK" w:cs="宋体"/>
          <w:kern w:val="0"/>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（十四）工资福利支出（支出经济分类科目类级）：</w:t>
      </w:r>
      <w:r>
        <w:rPr>
          <w:rFonts w:hint="eastAsia" w:ascii="方正仿宋_GBK" w:hAnsi="FangSong_GB2312" w:eastAsia="方正仿宋_GBK" w:cs="宋体"/>
          <w:kern w:val="0"/>
          <w:sz w:val="32"/>
          <w:szCs w:val="32"/>
        </w:rPr>
        <w:t>反映单位开支的在职职工和编制外长期聘用人员的各类劳动报酬，以及为上述人员缴纳的各项社会保险费等。</w:t>
      </w:r>
    </w:p>
    <w:p>
      <w:pPr>
        <w:widowControl/>
        <w:snapToGrid w:val="0"/>
        <w:spacing w:line="600" w:lineRule="exact"/>
        <w:ind w:firstLine="640" w:firstLineChars="200"/>
        <w:jc w:val="left"/>
        <w:rPr>
          <w:rFonts w:ascii="宋体" w:hAnsi="宋体" w:eastAsia="宋体" w:cs="宋体"/>
          <w:kern w:val="0"/>
          <w:sz w:val="24"/>
          <w:szCs w:val="24"/>
        </w:rPr>
      </w:pPr>
      <w:r>
        <w:rPr>
          <w:rFonts w:hint="eastAsia" w:ascii="方正楷体_GBK" w:hAnsi="Times New Roman" w:eastAsia="方正楷体_GBK" w:cs="Times New Roman"/>
          <w:kern w:val="0"/>
          <w:sz w:val="32"/>
        </w:rPr>
        <w:t>（十五）商品和服务支出（支出经济分类科目类级）：</w:t>
      </w:r>
      <w:r>
        <w:rPr>
          <w:rFonts w:hint="eastAsia" w:ascii="方正仿宋_GBK" w:hAnsi="FangSong_GB2312" w:eastAsia="方正仿宋_GBK" w:cs="宋体"/>
          <w:kern w:val="0"/>
          <w:sz w:val="32"/>
          <w:szCs w:val="32"/>
        </w:rPr>
        <w:t>反映单位购买商品和服务的支出（不包括用于购置固定资产的支出、战略性和应急储备支出）。</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楷体_GBK" w:hAnsi="Times New Roman" w:eastAsia="方正楷体_GBK" w:cs="Times New Roman"/>
          <w:kern w:val="0"/>
          <w:sz w:val="32"/>
        </w:rPr>
        <w:t>（十六）对个人和家庭的补助（支出经济分类科目类级）</w:t>
      </w:r>
      <w:r>
        <w:rPr>
          <w:rFonts w:hint="eastAsia" w:ascii="宋体" w:hAnsi="宋体" w:eastAsia="宋体" w:cs="宋体"/>
          <w:b/>
          <w:kern w:val="0"/>
          <w:sz w:val="27"/>
          <w:szCs w:val="27"/>
          <w:shd w:val="clear" w:color="auto" w:fill="FFFFFF"/>
        </w:rPr>
        <w:t>：</w:t>
      </w:r>
      <w:r>
        <w:rPr>
          <w:rFonts w:hint="eastAsia" w:ascii="方正仿宋_GBK" w:hAnsi="FangSong_GB2312" w:eastAsia="方正仿宋_GBK" w:cs="宋体"/>
          <w:kern w:val="0"/>
          <w:sz w:val="32"/>
          <w:szCs w:val="32"/>
        </w:rPr>
        <w:t>反映用于对个人和家庭的补助支出。</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楷体_GBK" w:hAnsi="Times New Roman" w:eastAsia="方正楷体_GBK" w:cs="Times New Roman"/>
          <w:kern w:val="0"/>
          <w:sz w:val="32"/>
        </w:rPr>
        <w:t>（十七）其他资本性支出（支出经济分类科目类级）：</w:t>
      </w:r>
      <w:r>
        <w:rPr>
          <w:rFonts w:hint="eastAsia" w:ascii="方正仿宋_GBK" w:hAnsi="FangSong_GB2312" w:eastAsia="方正仿宋_GBK" w:cs="宋体"/>
          <w:kern w:val="0"/>
          <w:sz w:val="32"/>
          <w:szCs w:val="32"/>
        </w:rPr>
        <w:t>反映非各级发展与改革部门集中安排的用于购置固定资产、战略性和应急性储备、土地和无形资产，以及构建基础设施、大型修缮和财政支持企业更新改造所发生的支出。</w:t>
      </w:r>
    </w:p>
    <w:p>
      <w:pPr>
        <w:widowControl/>
        <w:snapToGrid w:val="0"/>
        <w:spacing w:line="600" w:lineRule="exact"/>
        <w:ind w:firstLine="640" w:firstLineChars="200"/>
        <w:jc w:val="left"/>
        <w:rPr>
          <w:rFonts w:ascii="方正黑体_GBK" w:hAnsi="宋体" w:eastAsia="方正黑体_GBK" w:cs="Times New Roman"/>
          <w:kern w:val="0"/>
          <w:sz w:val="24"/>
          <w:szCs w:val="24"/>
          <w:shd w:val="clear" w:color="auto" w:fill="FFFFFF"/>
        </w:rPr>
      </w:pPr>
      <w:r>
        <w:rPr>
          <w:rFonts w:hint="eastAsia" w:ascii="方正黑体_GBK" w:hAnsi="Times New Roman" w:eastAsia="方正黑体_GBK" w:cs="Times New Roman"/>
          <w:kern w:val="0"/>
          <w:sz w:val="32"/>
        </w:rPr>
        <w:t>七、决算公开联系方式及信息反馈渠道</w:t>
      </w:r>
    </w:p>
    <w:p>
      <w:pPr>
        <w:widowControl/>
        <w:snapToGrid w:val="0"/>
        <w:spacing w:line="600" w:lineRule="exact"/>
        <w:ind w:firstLine="640" w:firstLineChars="200"/>
        <w:jc w:val="left"/>
        <w:rPr>
          <w:rFonts w:hint="eastAsia" w:ascii="方正仿宋_GBK" w:hAnsi="FangSong_GB2312" w:eastAsia="方正仿宋_GBK" w:cs="宋体"/>
          <w:kern w:val="0"/>
          <w:sz w:val="24"/>
          <w:szCs w:val="24"/>
        </w:rPr>
      </w:pPr>
      <w:r>
        <w:rPr>
          <w:rFonts w:hint="eastAsia" w:ascii="方正仿宋_GBK" w:hAnsi="FangSong_GB2312" w:eastAsia="方正仿宋_GBK" w:cs="宋体"/>
          <w:kern w:val="0"/>
          <w:sz w:val="32"/>
          <w:szCs w:val="32"/>
        </w:rPr>
        <w:t>本单位决算公开信息反馈和联系方式</w:t>
      </w:r>
    </w:p>
    <w:p>
      <w:pPr>
        <w:widowControl/>
        <w:snapToGrid w:val="0"/>
        <w:spacing w:line="600" w:lineRule="exact"/>
        <w:ind w:firstLine="640" w:firstLineChars="200"/>
        <w:jc w:val="left"/>
        <w:rPr>
          <w:rFonts w:hint="eastAsia" w:ascii="方正仿宋_GBK" w:hAnsi="FangSong_GB2312" w:eastAsia="方正仿宋_GBK" w:cs="宋体"/>
          <w:kern w:val="0"/>
          <w:sz w:val="32"/>
          <w:szCs w:val="32"/>
        </w:rPr>
      </w:pPr>
      <w:r>
        <w:rPr>
          <w:rFonts w:hint="eastAsia" w:ascii="方正仿宋_GBK" w:hAnsi="FangSong_GB2312" w:eastAsia="方正仿宋_GBK" w:cs="宋体"/>
          <w:kern w:val="0"/>
          <w:sz w:val="32"/>
          <w:szCs w:val="32"/>
        </w:rPr>
        <w:t>联系人：冯弟梅          联系电话：023-48778085</w:t>
      </w: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FangSong_GB2312">
    <w:altName w:val="仿宋"/>
    <w:panose1 w:val="02010609060101010101"/>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EzYWYxYTY4NzQ3ZjAxZTg4Njg0OTUxNTYxM2Y5ZGQifQ=="/>
  </w:docVars>
  <w:rsids>
    <w:rsidRoot w:val="00EC18F5"/>
    <w:rsid w:val="00003965"/>
    <w:rsid w:val="000A73EA"/>
    <w:rsid w:val="001B14D1"/>
    <w:rsid w:val="001F088E"/>
    <w:rsid w:val="002908B1"/>
    <w:rsid w:val="003A5F22"/>
    <w:rsid w:val="004A3B47"/>
    <w:rsid w:val="00525518"/>
    <w:rsid w:val="006D0CFE"/>
    <w:rsid w:val="007723B9"/>
    <w:rsid w:val="007E56E5"/>
    <w:rsid w:val="007F4369"/>
    <w:rsid w:val="00C8008A"/>
    <w:rsid w:val="00E96FCB"/>
    <w:rsid w:val="00EC18F5"/>
    <w:rsid w:val="00EC4485"/>
    <w:rsid w:val="00F43D74"/>
    <w:rsid w:val="0E3E3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普通(网站) Char"/>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7">
    <w:name w:val="15"/>
    <w:basedOn w:val="5"/>
    <w:uiPriority w:val="0"/>
    <w:rPr>
      <w:rFonts w:hint="default" w:ascii="Times New Roman" w:hAnsi="Times New Roman" w:cs="Times New Roman"/>
      <w:b/>
    </w:rPr>
  </w:style>
  <w:style w:type="character" w:customStyle="1" w:styleId="8">
    <w:name w:val="页眉 Char"/>
    <w:basedOn w:val="5"/>
    <w:link w:val="3"/>
    <w:semiHidden/>
    <w:uiPriority w:val="99"/>
    <w:rPr>
      <w:sz w:val="18"/>
      <w:szCs w:val="18"/>
    </w:rPr>
  </w:style>
  <w:style w:type="character" w:customStyle="1" w:styleId="9">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Company>
  <Pages>11</Pages>
  <Words>6170</Words>
  <Characters>7037</Characters>
  <Lines>54</Lines>
  <Paragraphs>15</Paragraphs>
  <TotalTime>27</TotalTime>
  <ScaleCrop>false</ScaleCrop>
  <LinksUpToDate>false</LinksUpToDate>
  <CharactersWithSpaces>7094</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2022-08-31T09:55:00Z</dcterms:created>
  <dc:creator>15TL9</dc:creator>
  <cp:lastModifiedBy>陈列</cp:lastModifiedBy>
  <dcterms:modified xsi:type="dcterms:W3CDTF">2022-09-01T14:43:26Z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80C40E179221441F9BE078C88999BCDC</vt:lpwstr>
  </property>
</Properties>
</file>