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ind w:firstLine="880" w:firstLineChars="200"/>
        <w:jc w:val="center"/>
        <w:rPr>
          <w:rFonts w:hint="eastAsia" w:ascii="方正小标宋_GBK" w:hAnsi="宋体" w:eastAsia="方正小标宋_GBK" w:cs="宋体"/>
          <w:kern w:val="0"/>
          <w:sz w:val="44"/>
          <w:szCs w:val="44"/>
        </w:rPr>
      </w:pPr>
      <w:r>
        <w:rPr>
          <w:rFonts w:hint="eastAsia" w:ascii="方正小标宋_GBK" w:hAnsi="宋体" w:eastAsia="方正小标宋_GBK" w:cs="宋体"/>
          <w:kern w:val="0"/>
          <w:sz w:val="44"/>
          <w:szCs w:val="44"/>
        </w:rPr>
        <w:t>重庆市綦江区</w:t>
      </w:r>
      <w:r>
        <w:rPr>
          <w:rFonts w:hint="eastAsia" w:ascii="方正小标宋_GBK" w:hAnsi="宋体" w:eastAsia="方正小标宋_GBK" w:cs="宋体"/>
          <w:kern w:val="0"/>
          <w:sz w:val="44"/>
          <w:szCs w:val="44"/>
          <w:lang w:val="en-US" w:eastAsia="zh-CN"/>
        </w:rPr>
        <w:t>永城小</w:t>
      </w:r>
      <w:r>
        <w:rPr>
          <w:rFonts w:hint="eastAsia" w:ascii="方正小标宋_GBK" w:hAnsi="宋体" w:eastAsia="方正小标宋_GBK" w:cs="宋体"/>
          <w:kern w:val="0"/>
          <w:sz w:val="44"/>
          <w:szCs w:val="44"/>
        </w:rPr>
        <w:t>学</w:t>
      </w:r>
    </w:p>
    <w:p>
      <w:pPr>
        <w:widowControl/>
        <w:shd w:val="clear" w:color="auto" w:fill="FFFFFF"/>
        <w:spacing w:line="600" w:lineRule="exact"/>
        <w:ind w:firstLine="880" w:firstLineChars="200"/>
        <w:jc w:val="center"/>
        <w:rPr>
          <w:rFonts w:hint="eastAsia" w:ascii="方正小标宋_GBK" w:hAnsi="宋体" w:eastAsia="方正小标宋_GBK" w:cs="宋体"/>
          <w:kern w:val="0"/>
          <w:sz w:val="44"/>
          <w:szCs w:val="44"/>
        </w:rPr>
      </w:pPr>
      <w:r>
        <w:rPr>
          <w:rFonts w:hint="eastAsia" w:ascii="方正小标宋_GBK" w:hAnsi="宋体" w:eastAsia="方正小标宋_GBK" w:cs="宋体"/>
          <w:kern w:val="0"/>
          <w:sz w:val="44"/>
          <w:szCs w:val="44"/>
        </w:rPr>
        <w:t>2020年度部门决算情况说明</w:t>
      </w:r>
    </w:p>
    <w:p>
      <w:pPr>
        <w:widowControl/>
        <w:shd w:val="clear" w:color="auto" w:fill="FFFFFF"/>
        <w:spacing w:before="100" w:beforeAutospacing="1" w:after="100" w:afterAutospacing="1"/>
        <w:ind w:firstLine="360" w:firstLineChars="200"/>
        <w:jc w:val="left"/>
        <w:rPr>
          <w:rFonts w:ascii="宋体" w:hAnsi="宋体" w:eastAsia="宋体" w:cs="宋体"/>
          <w:kern w:val="0"/>
          <w:sz w:val="18"/>
          <w:szCs w:val="18"/>
        </w:rPr>
      </w:pPr>
      <w:r>
        <w:rPr>
          <w:rFonts w:hint="eastAsia" w:ascii="宋体" w:hAnsi="宋体" w:eastAsia="宋体" w:cs="宋体"/>
          <w:kern w:val="0"/>
          <w:sz w:val="18"/>
          <w:szCs w:val="18"/>
        </w:rPr>
        <w:t> </w:t>
      </w:r>
    </w:p>
    <w:p>
      <w:pPr>
        <w:widowControl/>
        <w:shd w:val="clear" w:color="auto" w:fill="FFFFFF"/>
        <w:spacing w:line="600" w:lineRule="exact"/>
        <w:ind w:firstLine="643" w:firstLineChars="200"/>
        <w:jc w:val="left"/>
        <w:rPr>
          <w:rFonts w:hint="eastAsia" w:ascii="方正黑体_GBK" w:hAnsi="宋体" w:eastAsia="方正黑体_GBK" w:cs="宋体"/>
          <w:kern w:val="0"/>
          <w:sz w:val="32"/>
          <w:szCs w:val="32"/>
        </w:rPr>
      </w:pPr>
      <w:r>
        <w:rPr>
          <w:rFonts w:hint="eastAsia" w:ascii="方正黑体_GBK" w:hAnsi="宋体" w:eastAsia="方正黑体_GBK" w:cs="宋体"/>
          <w:b/>
          <w:bCs/>
          <w:kern w:val="0"/>
          <w:sz w:val="32"/>
          <w:szCs w:val="32"/>
        </w:rPr>
        <w:t>一、部门基本情况</w:t>
      </w:r>
    </w:p>
    <w:p>
      <w:pPr>
        <w:widowControl/>
        <w:shd w:val="clear" w:color="auto" w:fill="FFFFFF"/>
        <w:spacing w:line="600" w:lineRule="exact"/>
        <w:ind w:firstLine="640" w:firstLineChars="200"/>
        <w:jc w:val="left"/>
        <w:rPr>
          <w:rFonts w:hint="eastAsia" w:ascii="方正仿宋_GBK" w:eastAsia="方正仿宋_GBK"/>
          <w:color w:val="000000"/>
          <w:sz w:val="32"/>
          <w:szCs w:val="32"/>
          <w:shd w:val="clear" w:color="auto" w:fill="FFFFFF"/>
        </w:rPr>
      </w:pPr>
      <w:r>
        <w:rPr>
          <w:rFonts w:hint="eastAsia" w:ascii="方正仿宋_GBK" w:hAnsi="仿宋" w:eastAsia="方正仿宋_GBK"/>
          <w:sz w:val="32"/>
          <w:szCs w:val="32"/>
        </w:rPr>
        <w:t>本单位是全额拨款事业单位。</w:t>
      </w:r>
      <w:r>
        <w:rPr>
          <w:rFonts w:hint="eastAsia" w:ascii="方正仿宋_GBK" w:eastAsia="方正仿宋_GBK"/>
          <w:color w:val="000000"/>
          <w:sz w:val="32"/>
          <w:szCs w:val="32"/>
          <w:shd w:val="clear" w:color="auto" w:fill="FFFFFF"/>
        </w:rPr>
        <w:t>本校为实施</w:t>
      </w:r>
      <w:r>
        <w:rPr>
          <w:rFonts w:hint="eastAsia" w:ascii="方正仿宋_GBK" w:eastAsia="方正仿宋_GBK"/>
          <w:color w:val="000000"/>
          <w:sz w:val="32"/>
          <w:szCs w:val="32"/>
          <w:shd w:val="clear" w:color="auto" w:fill="FFFFFF"/>
          <w:lang w:val="en-US" w:eastAsia="zh-CN"/>
        </w:rPr>
        <w:t>小学</w:t>
      </w:r>
      <w:r>
        <w:rPr>
          <w:rFonts w:hint="eastAsia" w:ascii="方正仿宋_GBK" w:eastAsia="方正仿宋_GBK"/>
          <w:color w:val="000000"/>
          <w:sz w:val="32"/>
          <w:szCs w:val="32"/>
          <w:shd w:val="clear" w:color="auto" w:fill="FFFFFF"/>
        </w:rPr>
        <w:t>义务教育的全日制公办教育机构，具有法人资格，独立承担民事责任。学校面向镇教育行政部门规定的区域范围进行招生，招生对象为辖区内健康适龄学生，主要职责是实施</w:t>
      </w:r>
      <w:r>
        <w:rPr>
          <w:rFonts w:hint="eastAsia" w:ascii="方正仿宋_GBK" w:eastAsia="方正仿宋_GBK"/>
          <w:color w:val="000000"/>
          <w:sz w:val="32"/>
          <w:szCs w:val="32"/>
          <w:shd w:val="clear" w:color="auto" w:fill="FFFFFF"/>
          <w:lang w:val="en-US" w:eastAsia="zh-CN"/>
        </w:rPr>
        <w:t>小学</w:t>
      </w:r>
      <w:r>
        <w:rPr>
          <w:rFonts w:hint="eastAsia" w:ascii="方正仿宋_GBK" w:eastAsia="方正仿宋_GBK"/>
          <w:color w:val="000000"/>
          <w:sz w:val="32"/>
          <w:szCs w:val="32"/>
          <w:shd w:val="clear" w:color="auto" w:fill="FFFFFF"/>
        </w:rPr>
        <w:t>义务教育，促进基础教育发展，</w:t>
      </w:r>
      <w:r>
        <w:rPr>
          <w:rFonts w:hint="eastAsia" w:ascii="方正仿宋_GBK" w:eastAsia="方正仿宋_GBK"/>
          <w:color w:val="000000"/>
          <w:sz w:val="32"/>
          <w:szCs w:val="32"/>
          <w:shd w:val="clear" w:color="auto" w:fill="FFFFFF"/>
          <w:lang w:val="en-US" w:eastAsia="zh-CN"/>
        </w:rPr>
        <w:t>小学</w:t>
      </w:r>
      <w:r>
        <w:rPr>
          <w:rFonts w:hint="eastAsia" w:ascii="方正仿宋_GBK" w:eastAsia="方正仿宋_GBK"/>
          <w:color w:val="000000"/>
          <w:sz w:val="32"/>
          <w:szCs w:val="32"/>
          <w:shd w:val="clear" w:color="auto" w:fill="FFFFFF"/>
        </w:rPr>
        <w:t>义务教育，教育人，培养人，使其个性全面发展。</w:t>
      </w:r>
    </w:p>
    <w:p>
      <w:pPr>
        <w:widowControl/>
        <w:shd w:val="clear" w:color="auto" w:fill="FFFFFF"/>
        <w:spacing w:line="600" w:lineRule="exact"/>
        <w:ind w:firstLine="480" w:firstLineChars="150"/>
        <w:jc w:val="left"/>
        <w:rPr>
          <w:rFonts w:hint="eastAsia" w:ascii="方正楷体_GBK" w:hAnsi="宋体" w:eastAsia="方正楷体_GBK" w:cs="宋体"/>
          <w:kern w:val="0"/>
          <w:sz w:val="32"/>
          <w:szCs w:val="32"/>
        </w:rPr>
      </w:pPr>
      <w:r>
        <w:rPr>
          <w:rFonts w:hint="eastAsia" w:ascii="方正仿宋_GBK" w:hAnsi="宋体" w:eastAsia="方正仿宋_GBK" w:cs="宋体"/>
          <w:kern w:val="0"/>
          <w:sz w:val="32"/>
          <w:szCs w:val="32"/>
        </w:rPr>
        <w:t xml:space="preserve"> </w:t>
      </w:r>
      <w:r>
        <w:rPr>
          <w:rFonts w:hint="eastAsia" w:ascii="方正楷体_GBK" w:hAnsi="宋体" w:eastAsia="方正楷体_GBK" w:cs="宋体"/>
          <w:b/>
          <w:bCs/>
          <w:kern w:val="0"/>
          <w:sz w:val="32"/>
          <w:szCs w:val="32"/>
        </w:rPr>
        <w:t>（一）职能职责</w:t>
      </w:r>
    </w:p>
    <w:p>
      <w:pPr>
        <w:widowControl/>
        <w:shd w:val="clear" w:color="auto" w:fill="FFFFFF"/>
        <w:spacing w:line="600" w:lineRule="exact"/>
        <w:ind w:firstLine="640" w:firstLineChars="200"/>
        <w:jc w:val="left"/>
        <w:rPr>
          <w:rFonts w:hint="eastAsia"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1.以校本培训为核心，以小班化教学为抓手，以提高教育教学质量为根本，建设特色校园文化，使学校办学水平上一个新台阶。</w:t>
      </w:r>
    </w:p>
    <w:p>
      <w:pPr>
        <w:widowControl/>
        <w:shd w:val="clear" w:color="auto" w:fill="FFFFFF"/>
        <w:spacing w:line="600" w:lineRule="exact"/>
        <w:ind w:firstLine="640" w:firstLineChars="200"/>
        <w:jc w:val="left"/>
        <w:rPr>
          <w:rFonts w:hint="eastAsia"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2.注重校园基础设施的建设，打造舒适的育人环境。</w:t>
      </w:r>
    </w:p>
    <w:p>
      <w:pPr>
        <w:widowControl/>
        <w:shd w:val="clear" w:color="auto" w:fill="FFFFFF"/>
        <w:spacing w:line="600" w:lineRule="exact"/>
        <w:ind w:firstLine="640" w:firstLineChars="200"/>
        <w:jc w:val="left"/>
        <w:rPr>
          <w:rFonts w:hint="eastAsia"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3.做实校本培训、确保全员参训、落实培训经费。主要是让教师全员参与国培、市培、区培和校级培训活动，覆盖率达到100%，合格率达100%。</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eastAsia="方正仿宋_GBK"/>
          <w:color w:val="000000"/>
          <w:sz w:val="32"/>
          <w:szCs w:val="32"/>
          <w:shd w:val="clear" w:color="auto" w:fill="FFFFFF"/>
        </w:rPr>
        <w:t>4.建立健全学校章程、管理制度，使学校的管理有法可依，让学校真正走上依法治校的轨迹。</w:t>
      </w:r>
      <w:r>
        <w:rPr>
          <w:rFonts w:hint="eastAsia" w:ascii="宋体" w:hAnsi="宋体" w:eastAsia="方正仿宋_GBK" w:cs="宋体"/>
          <w:kern w:val="0"/>
          <w:sz w:val="32"/>
          <w:szCs w:val="32"/>
        </w:rPr>
        <w:t> </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 xml:space="preserve"> （二）机构设置</w:t>
      </w:r>
    </w:p>
    <w:p>
      <w:pPr>
        <w:spacing w:line="600" w:lineRule="exact"/>
        <w:ind w:firstLine="640" w:firstLineChars="200"/>
        <w:jc w:val="left"/>
        <w:rPr>
          <w:rFonts w:hint="eastAsia"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 2020年，区教委确定</w:t>
      </w:r>
      <w:r>
        <w:rPr>
          <w:rFonts w:hint="eastAsia" w:ascii="方正仿宋_GBK" w:eastAsia="方正仿宋_GBK"/>
          <w:color w:val="000000"/>
          <w:sz w:val="32"/>
          <w:szCs w:val="32"/>
          <w:shd w:val="clear" w:color="auto" w:fill="FFFFFF"/>
          <w:lang w:val="en-US" w:eastAsia="zh-CN"/>
        </w:rPr>
        <w:t>永城小学</w:t>
      </w:r>
      <w:r>
        <w:rPr>
          <w:rFonts w:hint="eastAsia" w:ascii="方正仿宋_GBK" w:eastAsia="方正仿宋_GBK"/>
          <w:color w:val="000000"/>
          <w:sz w:val="32"/>
          <w:szCs w:val="32"/>
          <w:shd w:val="clear" w:color="auto" w:fill="FFFFFF"/>
        </w:rPr>
        <w:t>内设机构4个，中层干部职数</w:t>
      </w:r>
      <w:r>
        <w:rPr>
          <w:rFonts w:hint="eastAsia" w:ascii="方正仿宋_GBK" w:eastAsia="方正仿宋_GBK"/>
          <w:color w:val="000000"/>
          <w:sz w:val="32"/>
          <w:szCs w:val="32"/>
          <w:shd w:val="clear" w:color="auto" w:fill="FFFFFF"/>
          <w:lang w:val="en-US" w:eastAsia="zh-CN"/>
        </w:rPr>
        <w:t>5</w:t>
      </w:r>
      <w:r>
        <w:rPr>
          <w:rFonts w:hint="eastAsia" w:ascii="方正仿宋_GBK" w:eastAsia="方正仿宋_GBK"/>
          <w:color w:val="000000"/>
          <w:sz w:val="32"/>
          <w:szCs w:val="32"/>
          <w:shd w:val="clear" w:color="auto" w:fill="FFFFFF"/>
        </w:rPr>
        <w:t>人，202</w:t>
      </w:r>
      <w:r>
        <w:rPr>
          <w:rFonts w:hint="eastAsia" w:ascii="方正仿宋_GBK" w:eastAsia="方正仿宋_GBK"/>
          <w:color w:val="000000"/>
          <w:sz w:val="32"/>
          <w:szCs w:val="32"/>
          <w:shd w:val="clear" w:color="auto" w:fill="FFFFFF"/>
          <w:lang w:val="en-US" w:eastAsia="zh-CN"/>
        </w:rPr>
        <w:t>0</w:t>
      </w:r>
      <w:r>
        <w:rPr>
          <w:rFonts w:hint="eastAsia" w:ascii="方正仿宋_GBK" w:eastAsia="方正仿宋_GBK"/>
          <w:color w:val="000000"/>
          <w:sz w:val="32"/>
          <w:szCs w:val="32"/>
          <w:shd w:val="clear" w:color="auto" w:fill="FFFFFF"/>
        </w:rPr>
        <w:t>年末该校实设内设机构</w:t>
      </w:r>
      <w:r>
        <w:rPr>
          <w:rFonts w:hint="eastAsia" w:ascii="方正仿宋_GBK" w:eastAsia="方正仿宋_GBK"/>
          <w:color w:val="000000"/>
          <w:sz w:val="32"/>
          <w:szCs w:val="32"/>
          <w:shd w:val="clear" w:color="auto" w:fill="FFFFFF"/>
          <w:lang w:val="en-US" w:eastAsia="zh-CN"/>
        </w:rPr>
        <w:t>5</w:t>
      </w:r>
      <w:r>
        <w:rPr>
          <w:rFonts w:hint="eastAsia" w:ascii="方正仿宋_GBK" w:eastAsia="方正仿宋_GBK"/>
          <w:color w:val="000000"/>
          <w:sz w:val="32"/>
          <w:szCs w:val="32"/>
          <w:shd w:val="clear" w:color="auto" w:fill="FFFFFF"/>
        </w:rPr>
        <w:t>个（教务处、总务处、德育处、安保处），实有中层干部</w:t>
      </w:r>
      <w:r>
        <w:rPr>
          <w:rFonts w:hint="eastAsia" w:ascii="方正仿宋_GBK" w:eastAsia="方正仿宋_GBK"/>
          <w:color w:val="000000"/>
          <w:sz w:val="32"/>
          <w:szCs w:val="32"/>
          <w:shd w:val="clear" w:color="auto" w:fill="FFFFFF"/>
          <w:lang w:val="en-US" w:eastAsia="zh-CN"/>
        </w:rPr>
        <w:t>5</w:t>
      </w:r>
      <w:r>
        <w:rPr>
          <w:rFonts w:hint="eastAsia" w:ascii="方正仿宋_GBK" w:eastAsia="方正仿宋_GBK"/>
          <w:color w:val="000000"/>
          <w:sz w:val="32"/>
          <w:szCs w:val="32"/>
          <w:shd w:val="clear" w:color="auto" w:fill="FFFFFF"/>
        </w:rPr>
        <w:t>人。</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  （三）单位构成</w:t>
      </w:r>
    </w:p>
    <w:p>
      <w:pPr>
        <w:widowControl/>
        <w:shd w:val="clear" w:color="auto" w:fill="FFFFFF"/>
        <w:spacing w:line="600" w:lineRule="exact"/>
        <w:ind w:firstLine="640" w:firstLineChars="200"/>
        <w:jc w:val="left"/>
        <w:rPr>
          <w:rFonts w:hint="eastAsia" w:ascii="方正仿宋_GBK" w:eastAsia="方正仿宋_GBK"/>
          <w:color w:val="000000"/>
          <w:sz w:val="32"/>
          <w:szCs w:val="32"/>
          <w:shd w:val="clear" w:color="auto" w:fill="FFFFFF"/>
        </w:rPr>
      </w:pPr>
      <w:r>
        <w:rPr>
          <w:rFonts w:hint="eastAsia" w:ascii="方正仿宋_GBK" w:eastAsia="方正仿宋_GBK"/>
          <w:color w:val="000000"/>
          <w:sz w:val="32"/>
          <w:szCs w:val="32"/>
          <w:shd w:val="clear" w:color="auto" w:fill="FFFFFF"/>
        </w:rPr>
        <w:t> 本单位是全额拨款事业单位，现有教职工</w:t>
      </w:r>
      <w:r>
        <w:rPr>
          <w:rFonts w:hint="eastAsia" w:ascii="方正仿宋_GBK" w:eastAsia="方正仿宋_GBK"/>
          <w:color w:val="000000"/>
          <w:sz w:val="32"/>
          <w:szCs w:val="32"/>
          <w:shd w:val="clear" w:color="auto" w:fill="FFFFFF"/>
          <w:lang w:val="en-US" w:eastAsia="zh-CN"/>
        </w:rPr>
        <w:t>60</w:t>
      </w:r>
      <w:r>
        <w:rPr>
          <w:rFonts w:hint="eastAsia" w:ascii="方正仿宋_GBK" w:eastAsia="方正仿宋_GBK"/>
          <w:color w:val="000000"/>
          <w:sz w:val="32"/>
          <w:szCs w:val="32"/>
          <w:shd w:val="clear" w:color="auto" w:fill="FFFFFF"/>
        </w:rPr>
        <w:t>人。学生</w:t>
      </w:r>
      <w:r>
        <w:rPr>
          <w:rFonts w:hint="eastAsia" w:ascii="方正仿宋_GBK" w:eastAsia="方正仿宋_GBK"/>
          <w:color w:val="000000"/>
          <w:sz w:val="32"/>
          <w:szCs w:val="32"/>
          <w:shd w:val="clear" w:color="auto" w:fill="FFFFFF"/>
          <w:lang w:val="en-US" w:eastAsia="zh-CN"/>
        </w:rPr>
        <w:t>482</w:t>
      </w:r>
      <w:r>
        <w:rPr>
          <w:rFonts w:hint="eastAsia" w:ascii="方正仿宋_GBK" w:eastAsia="方正仿宋_GBK"/>
          <w:color w:val="000000"/>
          <w:sz w:val="32"/>
          <w:szCs w:val="32"/>
          <w:shd w:val="clear" w:color="auto" w:fill="FFFFFF"/>
        </w:rPr>
        <w:t>人。本单位为二级预算单位，无下级预算单位。</w:t>
      </w:r>
    </w:p>
    <w:p>
      <w:pPr>
        <w:widowControl/>
        <w:shd w:val="clear" w:color="auto" w:fill="FFFFFF"/>
        <w:spacing w:line="600" w:lineRule="exact"/>
        <w:ind w:firstLine="643" w:firstLineChars="200"/>
        <w:jc w:val="left"/>
        <w:rPr>
          <w:rFonts w:hint="eastAsia"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二、部门决算情况说明</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（一）收入支出决算总体情况说明</w:t>
      </w:r>
    </w:p>
    <w:p>
      <w:pPr>
        <w:widowControl/>
        <w:shd w:val="clear" w:color="auto" w:fill="FFFFFF"/>
        <w:spacing w:line="600" w:lineRule="exact"/>
        <w:ind w:firstLine="643"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b/>
          <w:bCs/>
          <w:kern w:val="0"/>
          <w:sz w:val="32"/>
          <w:szCs w:val="32"/>
        </w:rPr>
        <w:t>1.总体情况</w:t>
      </w:r>
      <w:r>
        <w:rPr>
          <w:rFonts w:hint="eastAsia" w:ascii="方正仿宋_GBK" w:hAnsi="宋体" w:eastAsia="方正仿宋_GBK" w:cs="宋体"/>
          <w:kern w:val="0"/>
          <w:sz w:val="32"/>
          <w:szCs w:val="32"/>
        </w:rPr>
        <w:t>。</w:t>
      </w:r>
      <w:r>
        <w:rPr>
          <w:rFonts w:hint="eastAsia" w:ascii="方正仿宋_GBK" w:hAnsi="宋体" w:eastAsia="方正仿宋_GBK" w:cs="宋体"/>
          <w:kern w:val="0"/>
          <w:sz w:val="32"/>
          <w:szCs w:val="32"/>
          <w:lang w:eastAsia="zh-Hans"/>
        </w:rPr>
        <w:t>2020年度收入总计1,617.30万元，支出总计1,617.30万元。收支较上年决算数 增加73.22万元、 增长 4.7%，</w:t>
      </w:r>
      <w:r>
        <w:rPr>
          <w:rFonts w:hint="eastAsia" w:ascii="方正仿宋_GBK" w:hAnsi="宋体" w:eastAsia="方正仿宋_GBK" w:cs="宋体"/>
          <w:kern w:val="0"/>
          <w:sz w:val="32"/>
          <w:szCs w:val="32"/>
        </w:rPr>
        <w:t>主要原因是本年</w:t>
      </w:r>
      <w:r>
        <w:rPr>
          <w:rFonts w:hint="eastAsia" w:ascii="方正仿宋_GBK" w:hAnsi="宋体" w:eastAsia="方正仿宋_GBK" w:cs="宋体"/>
          <w:kern w:val="0"/>
          <w:sz w:val="32"/>
          <w:szCs w:val="32"/>
          <w:lang w:val="en-US" w:eastAsia="zh-CN"/>
        </w:rPr>
        <w:t>教职工编制增加</w:t>
      </w:r>
      <w:r>
        <w:rPr>
          <w:rFonts w:hint="eastAsia" w:ascii="方正仿宋_GBK" w:hAnsi="宋体" w:eastAsia="方正仿宋_GBK" w:cs="宋体"/>
          <w:kern w:val="0"/>
          <w:sz w:val="32"/>
          <w:szCs w:val="32"/>
        </w:rPr>
        <w:t>，相关费用支出</w:t>
      </w:r>
      <w:r>
        <w:rPr>
          <w:rFonts w:hint="eastAsia" w:ascii="方正仿宋_GBK" w:hAnsi="宋体" w:eastAsia="方正仿宋_GBK" w:cs="宋体"/>
          <w:kern w:val="0"/>
          <w:sz w:val="32"/>
          <w:szCs w:val="32"/>
          <w:lang w:val="en-US" w:eastAsia="zh-CN"/>
        </w:rPr>
        <w:t>增加</w:t>
      </w:r>
      <w:r>
        <w:rPr>
          <w:rFonts w:hint="eastAsia" w:ascii="方正仿宋_GBK" w:hAnsi="宋体" w:eastAsia="方正仿宋_GBK" w:cs="宋体"/>
          <w:kern w:val="0"/>
          <w:sz w:val="32"/>
          <w:szCs w:val="32"/>
        </w:rPr>
        <w:t>。</w:t>
      </w:r>
    </w:p>
    <w:p>
      <w:pPr>
        <w:widowControl/>
        <w:shd w:val="clear" w:color="auto" w:fill="FFFFFF"/>
        <w:spacing w:line="600" w:lineRule="exact"/>
        <w:ind w:firstLine="640" w:firstLineChars="200"/>
        <w:jc w:val="left"/>
        <w:rPr>
          <w:rFonts w:hint="eastAsia" w:ascii="方正仿宋_GBK" w:hAnsi="宋体" w:eastAsia="方正仿宋_GBK" w:cs="宋体"/>
          <w:color w:val="FF0000"/>
          <w:kern w:val="0"/>
          <w:sz w:val="32"/>
          <w:szCs w:val="32"/>
          <w:shd w:val="clear" w:color="auto" w:fill="FFFF00"/>
        </w:rPr>
      </w:pPr>
      <w:r>
        <w:rPr>
          <w:rFonts w:hint="eastAsia" w:ascii="方正仿宋_GBK" w:hAnsi="宋体" w:eastAsia="方正仿宋_GBK" w:cs="宋体"/>
          <w:kern w:val="0"/>
          <w:sz w:val="32"/>
          <w:szCs w:val="32"/>
          <w:lang w:eastAsia="zh-Hans"/>
        </w:rPr>
        <w:t>2.收入情况。2020年度收入合计1,338.24万元，较上年决算数增加0.30万元，增长0%，主要原因是</w:t>
      </w:r>
      <w:r>
        <w:rPr>
          <w:rFonts w:hint="eastAsia" w:ascii="方正仿宋_GBK" w:hAnsi="宋体" w:eastAsia="方正仿宋_GBK" w:cs="宋体"/>
          <w:kern w:val="0"/>
          <w:sz w:val="32"/>
          <w:szCs w:val="32"/>
        </w:rPr>
        <w:t>本年</w:t>
      </w:r>
      <w:r>
        <w:rPr>
          <w:rFonts w:hint="eastAsia" w:ascii="方正仿宋_GBK" w:hAnsi="宋体" w:eastAsia="方正仿宋_GBK" w:cs="宋体"/>
          <w:kern w:val="0"/>
          <w:sz w:val="32"/>
          <w:szCs w:val="32"/>
          <w:lang w:val="en-US" w:eastAsia="zh-CN"/>
        </w:rPr>
        <w:t>教职工编制增加</w:t>
      </w:r>
      <w:r>
        <w:rPr>
          <w:rFonts w:hint="eastAsia" w:ascii="方正仿宋_GBK" w:hAnsi="宋体" w:eastAsia="方正仿宋_GBK" w:cs="宋体"/>
          <w:kern w:val="0"/>
          <w:sz w:val="32"/>
          <w:szCs w:val="32"/>
        </w:rPr>
        <w:t>，相关费用支出</w:t>
      </w:r>
      <w:r>
        <w:rPr>
          <w:rFonts w:hint="eastAsia" w:ascii="方正仿宋_GBK" w:hAnsi="宋体" w:eastAsia="方正仿宋_GBK" w:cs="宋体"/>
          <w:kern w:val="0"/>
          <w:sz w:val="32"/>
          <w:szCs w:val="32"/>
          <w:lang w:val="en-US" w:eastAsia="zh-CN"/>
        </w:rPr>
        <w:t>增加</w:t>
      </w:r>
      <w:r>
        <w:rPr>
          <w:rFonts w:hint="eastAsia" w:ascii="方正仿宋_GBK" w:hAnsi="宋体" w:eastAsia="方正仿宋_GBK" w:cs="宋体"/>
          <w:kern w:val="0"/>
          <w:sz w:val="32"/>
          <w:szCs w:val="32"/>
          <w:lang w:eastAsia="zh-Hans"/>
        </w:rPr>
        <w:t>。其中：财政拨款收入1,322.84万元，占98.8%；事业收入15.40万元，占1.2%；经营收入0.00万元，占0%；其他收入0.00万元，占0%。此外，使用非财政拨款结余0.00万元，年初结转和结余279.06万元。</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lang w:eastAsia="zh-Hans"/>
        </w:rPr>
        <w:t>3.支出情况。2020年度支出合计1,509.70万元，较上年决算数增加134.26万元，增长9.8%，主要原因是</w:t>
      </w:r>
      <w:r>
        <w:rPr>
          <w:rFonts w:hint="eastAsia" w:ascii="方正仿宋_GBK" w:hAnsi="宋体" w:eastAsia="方正仿宋_GBK" w:cs="宋体"/>
          <w:kern w:val="0"/>
          <w:sz w:val="32"/>
          <w:szCs w:val="32"/>
        </w:rPr>
        <w:t>本年</w:t>
      </w:r>
      <w:r>
        <w:rPr>
          <w:rFonts w:hint="eastAsia" w:ascii="方正仿宋_GBK" w:hAnsi="宋体" w:eastAsia="方正仿宋_GBK" w:cs="宋体"/>
          <w:kern w:val="0"/>
          <w:sz w:val="32"/>
          <w:szCs w:val="32"/>
          <w:lang w:val="en-US" w:eastAsia="zh-CN"/>
        </w:rPr>
        <w:t>教职工编制以及工程项目增多</w:t>
      </w:r>
      <w:r>
        <w:rPr>
          <w:rFonts w:hint="eastAsia" w:ascii="方正仿宋_GBK" w:hAnsi="宋体" w:eastAsia="方正仿宋_GBK" w:cs="宋体"/>
          <w:kern w:val="0"/>
          <w:sz w:val="32"/>
          <w:szCs w:val="32"/>
        </w:rPr>
        <w:t>，相关费用支出</w:t>
      </w:r>
      <w:r>
        <w:rPr>
          <w:rFonts w:hint="eastAsia" w:ascii="方正仿宋_GBK" w:hAnsi="宋体" w:eastAsia="方正仿宋_GBK" w:cs="宋体"/>
          <w:kern w:val="0"/>
          <w:sz w:val="32"/>
          <w:szCs w:val="32"/>
          <w:lang w:val="en-US" w:eastAsia="zh-CN"/>
        </w:rPr>
        <w:t>增加</w:t>
      </w:r>
      <w:r>
        <w:rPr>
          <w:rFonts w:hint="eastAsia" w:ascii="方正仿宋_GBK" w:hAnsi="宋体" w:eastAsia="方正仿宋_GBK" w:cs="宋体"/>
          <w:kern w:val="0"/>
          <w:sz w:val="32"/>
          <w:szCs w:val="32"/>
        </w:rPr>
        <w:t>。</w:t>
      </w:r>
      <w:r>
        <w:rPr>
          <w:rFonts w:hint="eastAsia" w:ascii="方正仿宋_GBK" w:hAnsi="宋体" w:eastAsia="方正仿宋_GBK" w:cs="宋体"/>
          <w:kern w:val="0"/>
          <w:sz w:val="32"/>
          <w:szCs w:val="32"/>
          <w:lang w:eastAsia="zh-Hans"/>
        </w:rPr>
        <w:t>其中：基本支出 1,385.49万元，占91.8%；项目支出124.22万元，占8.2%；经营支出0.00万元，占0%。此外，结余分配0.00万元。</w:t>
      </w:r>
    </w:p>
    <w:p>
      <w:pPr>
        <w:widowControl/>
        <w:shd w:val="clear" w:color="auto" w:fill="FFFFFF"/>
        <w:spacing w:line="600" w:lineRule="exact"/>
        <w:ind w:firstLine="643"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b/>
          <w:bCs/>
          <w:kern w:val="0"/>
          <w:sz w:val="32"/>
          <w:szCs w:val="32"/>
        </w:rPr>
        <w:t>4.结转结余情况。</w:t>
      </w:r>
      <w:r>
        <w:rPr>
          <w:rFonts w:hint="eastAsia" w:ascii="方正仿宋_GBK" w:hAnsi="宋体" w:eastAsia="方正仿宋_GBK" w:cs="宋体"/>
          <w:kern w:val="0"/>
          <w:sz w:val="32"/>
          <w:szCs w:val="32"/>
          <w:lang w:eastAsia="zh-Hans"/>
        </w:rPr>
        <w:t>2020年度年末结转和结余107.59万元，较上年决算数减少61.05万元，下降36.2%，主要原因</w:t>
      </w:r>
      <w:r>
        <w:rPr>
          <w:rFonts w:hint="eastAsia" w:ascii="方正仿宋_GBK" w:hAnsi="宋体" w:eastAsia="方正仿宋_GBK" w:cs="宋体"/>
          <w:kern w:val="0"/>
          <w:sz w:val="32"/>
          <w:szCs w:val="32"/>
        </w:rPr>
        <w:t>是学生人数减少，财政投入减少。</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（二）财政拨款收入支出决算总体情况说明</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宋体" w:hAnsi="宋体" w:eastAsia="方正仿宋_GBK" w:cs="宋体"/>
          <w:kern w:val="0"/>
          <w:sz w:val="32"/>
          <w:szCs w:val="32"/>
        </w:rPr>
        <w:t> </w:t>
      </w:r>
      <w:r>
        <w:rPr>
          <w:rFonts w:hint="eastAsia" w:ascii="方正仿宋_GBK" w:hAnsi="宋体" w:eastAsia="方正仿宋_GBK" w:cs="宋体"/>
          <w:kern w:val="0"/>
          <w:sz w:val="32"/>
          <w:szCs w:val="32"/>
        </w:rPr>
        <w:t xml:space="preserve"> </w:t>
      </w:r>
      <w:r>
        <w:rPr>
          <w:rFonts w:hint="eastAsia" w:ascii="方正仿宋_GBK" w:hAnsi="宋体" w:eastAsia="方正仿宋_GBK" w:cs="宋体"/>
          <w:kern w:val="0"/>
          <w:sz w:val="32"/>
          <w:szCs w:val="32"/>
          <w:lang w:eastAsia="zh-Hans"/>
        </w:rPr>
        <w:t>2020年度财政拨款收、支总计1,601.90万元。与2019年相比，财政拨款收、支总计各增加73.63万 元，增长4.8%。主要原因</w:t>
      </w:r>
      <w:r>
        <w:rPr>
          <w:rFonts w:hint="eastAsia" w:ascii="方正仿宋_GBK" w:hAnsi="宋体" w:eastAsia="方正仿宋_GBK" w:cs="宋体"/>
          <w:kern w:val="0"/>
          <w:sz w:val="32"/>
          <w:szCs w:val="32"/>
        </w:rPr>
        <w:t>是</w:t>
      </w:r>
      <w:r>
        <w:rPr>
          <w:rFonts w:hint="eastAsia" w:ascii="方正仿宋_GBK" w:hAnsi="宋体" w:eastAsia="方正仿宋_GBK" w:cs="宋体"/>
          <w:kern w:val="0"/>
          <w:sz w:val="32"/>
          <w:szCs w:val="32"/>
          <w:lang w:val="en-US" w:eastAsia="zh-CN"/>
        </w:rPr>
        <w:t>教职工人数增加</w:t>
      </w:r>
      <w:r>
        <w:rPr>
          <w:rFonts w:hint="eastAsia" w:ascii="方正仿宋_GBK" w:hAnsi="宋体" w:eastAsia="方正仿宋_GBK" w:cs="宋体"/>
          <w:kern w:val="0"/>
          <w:sz w:val="32"/>
          <w:szCs w:val="32"/>
        </w:rPr>
        <w:t>，财政投入</w:t>
      </w:r>
      <w:r>
        <w:rPr>
          <w:rFonts w:hint="eastAsia" w:ascii="方正仿宋_GBK" w:hAnsi="宋体" w:eastAsia="方正仿宋_GBK" w:cs="宋体"/>
          <w:kern w:val="0"/>
          <w:sz w:val="32"/>
          <w:szCs w:val="32"/>
          <w:lang w:val="en-US" w:eastAsia="zh-CN"/>
        </w:rPr>
        <w:t>增加</w:t>
      </w:r>
      <w:r>
        <w:rPr>
          <w:rFonts w:hint="eastAsia" w:ascii="方正仿宋_GBK" w:hAnsi="宋体" w:eastAsia="方正仿宋_GBK" w:cs="宋体"/>
          <w:kern w:val="0"/>
          <w:sz w:val="32"/>
          <w:szCs w:val="32"/>
        </w:rPr>
        <w:t>。</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（三）一般公共预算财政拨款支出决算情况说明</w:t>
      </w:r>
    </w:p>
    <w:p>
      <w:pPr>
        <w:pStyle w:val="4"/>
        <w:shd w:val="clear" w:color="auto" w:fill="FFFFFF"/>
        <w:rPr>
          <w:rFonts w:hint="eastAsia" w:ascii="方正仿宋_GBK" w:hAnsi="宋体" w:eastAsia="方正仿宋_GBK" w:cs="宋体"/>
          <w:kern w:val="0"/>
          <w:sz w:val="32"/>
          <w:szCs w:val="32"/>
          <w:lang w:eastAsia="zh-Hans"/>
        </w:rPr>
      </w:pPr>
      <w:r>
        <w:rPr>
          <w:rFonts w:hint="eastAsia" w:ascii="方正仿宋_GBK" w:hAnsi="宋体" w:eastAsia="方正仿宋_GBK" w:cs="宋体"/>
          <w:b/>
          <w:bCs/>
          <w:kern w:val="0"/>
          <w:sz w:val="32"/>
          <w:szCs w:val="32"/>
        </w:rPr>
        <w:t>1.收入情况。</w:t>
      </w:r>
      <w:r>
        <w:rPr>
          <w:rFonts w:hint="eastAsia" w:ascii="方正仿宋_GBK" w:hAnsi="宋体" w:eastAsia="方正仿宋_GBK" w:cs="宋体"/>
          <w:kern w:val="0"/>
          <w:sz w:val="32"/>
          <w:szCs w:val="32"/>
          <w:lang w:eastAsia="zh-Hans"/>
        </w:rPr>
        <w:t>2020年度一般公共预算财政拨款收入1,322.84万元，较上年决算数增加0.71万元，增长0.1%。主要原因是</w:t>
      </w:r>
      <w:r>
        <w:rPr>
          <w:rFonts w:hint="eastAsia" w:ascii="方正仿宋_GBK" w:eastAsia="方正仿宋_GBK" w:cs="宋体"/>
          <w:kern w:val="0"/>
          <w:sz w:val="32"/>
          <w:szCs w:val="32"/>
          <w:lang w:val="en-US" w:eastAsia="zh-CN"/>
        </w:rPr>
        <w:t>本年</w:t>
      </w:r>
      <w:r>
        <w:rPr>
          <w:rFonts w:hint="eastAsia" w:ascii="方正仿宋_GBK" w:hAnsi="宋体" w:eastAsia="方正仿宋_GBK" w:cs="宋体"/>
          <w:kern w:val="0"/>
          <w:sz w:val="32"/>
          <w:szCs w:val="32"/>
          <w:lang w:val="en-US" w:eastAsia="zh-CN"/>
        </w:rPr>
        <w:t>教</w:t>
      </w:r>
      <w:r>
        <w:rPr>
          <w:rFonts w:hint="eastAsia" w:ascii="方正仿宋_GBK" w:eastAsia="方正仿宋_GBK" w:cs="宋体"/>
          <w:kern w:val="0"/>
          <w:sz w:val="32"/>
          <w:szCs w:val="32"/>
          <w:lang w:val="en-US" w:eastAsia="zh-CN"/>
        </w:rPr>
        <w:t>职工</w:t>
      </w:r>
      <w:r>
        <w:rPr>
          <w:rFonts w:hint="eastAsia" w:ascii="方正仿宋_GBK" w:hAnsi="宋体" w:eastAsia="方正仿宋_GBK" w:cs="宋体"/>
          <w:kern w:val="0"/>
          <w:sz w:val="32"/>
          <w:szCs w:val="32"/>
          <w:lang w:val="en-US" w:eastAsia="zh-CN"/>
        </w:rPr>
        <w:t>编制增加</w:t>
      </w:r>
      <w:r>
        <w:rPr>
          <w:rFonts w:hint="eastAsia" w:ascii="方正仿宋_GBK" w:hAnsi="宋体" w:eastAsia="方正仿宋_GBK" w:cs="宋体"/>
          <w:kern w:val="0"/>
          <w:sz w:val="32"/>
          <w:szCs w:val="32"/>
        </w:rPr>
        <w:t>，财政投入</w:t>
      </w:r>
      <w:r>
        <w:rPr>
          <w:rFonts w:hint="eastAsia" w:ascii="方正仿宋_GBK" w:hAnsi="宋体" w:eastAsia="方正仿宋_GBK" w:cs="宋体"/>
          <w:kern w:val="0"/>
          <w:sz w:val="32"/>
          <w:szCs w:val="32"/>
          <w:lang w:val="en-US" w:eastAsia="zh-CN"/>
        </w:rPr>
        <w:t>增加</w:t>
      </w:r>
      <w:r>
        <w:rPr>
          <w:rFonts w:hint="eastAsia" w:ascii="方正仿宋_GBK" w:hAnsi="宋体" w:eastAsia="方正仿宋_GBK" w:cs="宋体"/>
          <w:kern w:val="0"/>
          <w:sz w:val="32"/>
          <w:szCs w:val="32"/>
          <w:lang w:eastAsia="zh-Hans"/>
        </w:rPr>
        <w:t>。较年初预算数增</w:t>
      </w:r>
      <w:r>
        <w:rPr>
          <w:rFonts w:hint="eastAsia" w:ascii="方正仿宋_GBK" w:eastAsia="方正仿宋_GBK" w:cs="宋体"/>
          <w:kern w:val="0"/>
          <w:sz w:val="32"/>
          <w:szCs w:val="32"/>
          <w:lang w:val="en-US" w:eastAsia="zh-CN"/>
        </w:rPr>
        <w:t>加</w:t>
      </w:r>
      <w:r>
        <w:rPr>
          <w:rFonts w:hint="eastAsia" w:ascii="方正仿宋_GBK" w:hAnsi="宋体" w:eastAsia="方正仿宋_GBK" w:cs="宋体"/>
          <w:kern w:val="0"/>
          <w:sz w:val="32"/>
          <w:szCs w:val="32"/>
          <w:lang w:eastAsia="zh-Hans"/>
        </w:rPr>
        <w:t>128.47万元，增长10.8%。主要原因是</w:t>
      </w:r>
      <w:r>
        <w:rPr>
          <w:rFonts w:hint="eastAsia" w:ascii="方正仿宋_GBK" w:hAnsi="宋体" w:eastAsia="方正仿宋_GBK" w:cs="宋体"/>
          <w:kern w:val="0"/>
          <w:sz w:val="32"/>
          <w:szCs w:val="32"/>
        </w:rPr>
        <w:t>学校加大办学经费投入</w:t>
      </w:r>
      <w:r>
        <w:rPr>
          <w:rFonts w:hint="eastAsia" w:ascii="方正仿宋_GBK" w:eastAsia="方正仿宋_GBK" w:cs="宋体"/>
          <w:kern w:val="0"/>
          <w:sz w:val="32"/>
          <w:szCs w:val="32"/>
          <w:lang w:eastAsia="zh-CN"/>
        </w:rPr>
        <w:t>。</w:t>
      </w:r>
      <w:r>
        <w:rPr>
          <w:rFonts w:hint="eastAsia" w:ascii="方正仿宋_GBK" w:hAnsi="宋体" w:eastAsia="方正仿宋_GBK" w:cs="宋体"/>
          <w:kern w:val="0"/>
          <w:sz w:val="32"/>
          <w:szCs w:val="32"/>
          <w:lang w:eastAsia="zh-Hans"/>
        </w:rPr>
        <w:t>此外，年初财政拨款结转和结余279.06万元。</w:t>
      </w:r>
    </w:p>
    <w:p>
      <w:pPr>
        <w:pStyle w:val="4"/>
        <w:shd w:val="clear" w:color="auto" w:fill="FFFFFF"/>
        <w:rPr>
          <w:rFonts w:hint="eastAsia" w:ascii="方正仿宋_GBK" w:hAnsi="宋体" w:eastAsia="方正仿宋_GBK" w:cs="宋体"/>
          <w:kern w:val="0"/>
          <w:sz w:val="32"/>
          <w:szCs w:val="32"/>
        </w:rPr>
      </w:pPr>
      <w:r>
        <w:rPr>
          <w:rFonts w:hint="eastAsia" w:ascii="方正仿宋_GBK" w:hAnsi="宋体" w:eastAsia="方正仿宋_GBK" w:cs="宋体"/>
          <w:b/>
          <w:bCs/>
          <w:kern w:val="0"/>
          <w:sz w:val="32"/>
          <w:szCs w:val="32"/>
        </w:rPr>
        <w:t>2.支出情况</w:t>
      </w:r>
      <w:r>
        <w:rPr>
          <w:rFonts w:hint="eastAsia" w:ascii="方正仿宋_GBK" w:hAnsi="宋体" w:eastAsia="方正仿宋_GBK" w:cs="宋体"/>
          <w:kern w:val="0"/>
          <w:sz w:val="32"/>
          <w:szCs w:val="32"/>
        </w:rPr>
        <w:t>。</w:t>
      </w:r>
      <w:r>
        <w:rPr>
          <w:rFonts w:hint="eastAsia" w:ascii="方正仿宋_GBK" w:hAnsi="宋体" w:eastAsia="方正仿宋_GBK" w:cs="宋体"/>
          <w:kern w:val="0"/>
          <w:sz w:val="32"/>
          <w:szCs w:val="32"/>
          <w:lang w:eastAsia="zh-Hans"/>
        </w:rPr>
        <w:t>2020年度一般公共预算财政拨款支出1,494.30万元，较上年决算数增加134.67万元，增长9.9%。主要原因</w:t>
      </w:r>
      <w:r>
        <w:rPr>
          <w:rFonts w:hint="eastAsia" w:ascii="方正仿宋_GBK" w:hAnsi="宋体" w:eastAsia="方正仿宋_GBK" w:cs="宋体"/>
          <w:kern w:val="0"/>
          <w:sz w:val="32"/>
          <w:szCs w:val="32"/>
        </w:rPr>
        <w:t>是加大办学经费投入。</w:t>
      </w:r>
      <w:r>
        <w:rPr>
          <w:rFonts w:hint="eastAsia" w:ascii="方正仿宋_GBK" w:hAnsi="宋体" w:eastAsia="方正仿宋_GBK" w:cs="宋体"/>
          <w:kern w:val="0"/>
          <w:sz w:val="32"/>
          <w:szCs w:val="32"/>
          <w:lang w:eastAsia="zh-Hans"/>
        </w:rPr>
        <w:t>较年初预算数 增加131.29万 元，增长9.6%。主要原因</w:t>
      </w:r>
      <w:r>
        <w:rPr>
          <w:rFonts w:hint="eastAsia" w:ascii="方正仿宋_GBK" w:hAnsi="宋体" w:eastAsia="方正仿宋_GBK" w:cs="宋体"/>
          <w:kern w:val="0"/>
          <w:sz w:val="32"/>
          <w:szCs w:val="32"/>
        </w:rPr>
        <w:t>是加大办学经费投入。</w:t>
      </w:r>
    </w:p>
    <w:p>
      <w:pPr>
        <w:widowControl/>
        <w:shd w:val="clear" w:color="auto" w:fill="FFFFFF"/>
        <w:spacing w:line="600" w:lineRule="exact"/>
        <w:jc w:val="left"/>
        <w:rPr>
          <w:rFonts w:hint="eastAsia" w:ascii="方正仿宋_GBK" w:hAnsi="宋体" w:eastAsia="方正仿宋_GBK" w:cs="宋体"/>
          <w:kern w:val="0"/>
          <w:sz w:val="32"/>
          <w:szCs w:val="32"/>
        </w:rPr>
      </w:pPr>
      <w:r>
        <w:rPr>
          <w:rFonts w:hint="eastAsia" w:ascii="方正仿宋_GBK" w:hAnsi="宋体" w:eastAsia="方正仿宋_GBK" w:cs="宋体"/>
          <w:b/>
          <w:bCs/>
          <w:kern w:val="0"/>
          <w:sz w:val="32"/>
          <w:szCs w:val="32"/>
        </w:rPr>
        <w:t>3.结转结余情况。</w:t>
      </w:r>
      <w:r>
        <w:rPr>
          <w:rFonts w:hint="eastAsia" w:ascii="方正仿宋_GBK" w:hAnsi="宋体" w:eastAsia="方正仿宋_GBK" w:cs="宋体"/>
          <w:kern w:val="0"/>
          <w:sz w:val="32"/>
          <w:szCs w:val="32"/>
          <w:lang w:eastAsia="zh-Hans"/>
        </w:rPr>
        <w:t>2020年度年末一般公共预算财政拨款结转和结余107.59万元，较上年决算数减少61.05万元，下降36.2%，主要原因是</w:t>
      </w:r>
      <w:r>
        <w:rPr>
          <w:rFonts w:hint="eastAsia" w:ascii="方正仿宋_GBK" w:hAnsi="宋体" w:eastAsia="方正仿宋_GBK" w:cs="宋体"/>
          <w:kern w:val="0"/>
          <w:sz w:val="32"/>
          <w:szCs w:val="32"/>
        </w:rPr>
        <w:t>学生人数减少，财政投入减少。</w:t>
      </w:r>
    </w:p>
    <w:p>
      <w:pPr>
        <w:widowControl/>
        <w:shd w:val="clear" w:color="auto" w:fill="FFFFFF"/>
        <w:spacing w:line="600" w:lineRule="exact"/>
        <w:jc w:val="left"/>
        <w:rPr>
          <w:rFonts w:hint="eastAsia" w:ascii="方正仿宋_GBK" w:hAnsi="宋体" w:eastAsia="方正仿宋_GBK" w:cs="宋体"/>
          <w:kern w:val="0"/>
          <w:sz w:val="32"/>
          <w:szCs w:val="32"/>
        </w:rPr>
      </w:pPr>
      <w:r>
        <w:rPr>
          <w:rFonts w:hint="eastAsia" w:ascii="方正仿宋_GBK" w:hAnsi="宋体" w:eastAsia="方正仿宋_GBK" w:cs="宋体"/>
          <w:b/>
          <w:bCs/>
          <w:kern w:val="0"/>
          <w:sz w:val="32"/>
          <w:szCs w:val="32"/>
        </w:rPr>
        <w:t>4.比较情况</w:t>
      </w:r>
      <w:r>
        <w:rPr>
          <w:rFonts w:hint="eastAsia" w:ascii="方正仿宋_GBK" w:hAnsi="宋体" w:eastAsia="方正仿宋_GBK" w:cs="宋体"/>
          <w:kern w:val="0"/>
          <w:sz w:val="32"/>
          <w:szCs w:val="32"/>
        </w:rPr>
        <w:t>。本部门2020年度一般公共预算财政拨款支出主要用于以下几个方面：</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（1）</w:t>
      </w:r>
      <w:r>
        <w:rPr>
          <w:rFonts w:hint="eastAsia" w:ascii="方正仿宋_GBK" w:hAnsi="宋体" w:eastAsia="方正仿宋_GBK" w:cs="宋体"/>
          <w:kern w:val="0"/>
          <w:sz w:val="32"/>
          <w:szCs w:val="32"/>
          <w:lang w:eastAsia="zh-Hans"/>
        </w:rPr>
        <w:t>教育支出1,057.38万元，占70.8%，较年初预算数增加68.49万 元，增长6.9%，主要原因是</w:t>
      </w:r>
      <w:r>
        <w:rPr>
          <w:rFonts w:hint="eastAsia" w:ascii="方正仿宋_GBK" w:hAnsi="宋体" w:eastAsia="方正仿宋_GBK" w:cs="宋体"/>
          <w:kern w:val="0"/>
          <w:sz w:val="32"/>
          <w:szCs w:val="32"/>
        </w:rPr>
        <w:t>学校加大办学经费投入。</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（2）</w:t>
      </w:r>
      <w:r>
        <w:rPr>
          <w:rFonts w:hint="eastAsia" w:ascii="方正仿宋_GBK" w:hAnsi="宋体" w:eastAsia="方正仿宋_GBK" w:cs="宋体"/>
          <w:kern w:val="0"/>
          <w:sz w:val="32"/>
          <w:szCs w:val="32"/>
          <w:lang w:eastAsia="zh-Hans"/>
        </w:rPr>
        <w:t>社会保障与就业支出299.22万元，占20%，较年初预算数增加63.45万 元，增长26.9%，主要原因是</w:t>
      </w:r>
      <w:r>
        <w:rPr>
          <w:rFonts w:hint="eastAsia" w:ascii="方正仿宋_GBK" w:hAnsi="宋体" w:eastAsia="方正仿宋_GBK" w:cs="宋体"/>
          <w:kern w:val="0"/>
          <w:sz w:val="32"/>
          <w:szCs w:val="32"/>
        </w:rPr>
        <w:t>教职工人员编制增加。</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（3）</w:t>
      </w:r>
      <w:r>
        <w:rPr>
          <w:rFonts w:hint="eastAsia" w:ascii="方正仿宋_GBK" w:hAnsi="宋体" w:eastAsia="方正仿宋_GBK" w:cs="宋体"/>
          <w:kern w:val="0"/>
          <w:sz w:val="32"/>
          <w:szCs w:val="32"/>
          <w:lang w:eastAsia="zh-Hans"/>
        </w:rPr>
        <w:t>卫生健康支出68.45万元，占4.6%，较年初预算数减少3.50万 元，下降4.9%，主要原因是</w:t>
      </w:r>
      <w:r>
        <w:rPr>
          <w:rFonts w:hint="eastAsia" w:ascii="方正仿宋_GBK" w:hAnsi="宋体" w:eastAsia="方正仿宋_GBK" w:cs="宋体"/>
          <w:kern w:val="0"/>
          <w:sz w:val="32"/>
          <w:szCs w:val="32"/>
        </w:rPr>
        <w:t>教职工人员退休。</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（4）</w:t>
      </w:r>
      <w:r>
        <w:rPr>
          <w:rFonts w:hint="eastAsia" w:ascii="方正仿宋_GBK" w:hAnsi="宋体" w:eastAsia="方正仿宋_GBK" w:cs="宋体"/>
          <w:kern w:val="0"/>
          <w:sz w:val="32"/>
          <w:szCs w:val="32"/>
          <w:lang w:eastAsia="zh-Hans"/>
        </w:rPr>
        <w:t>住房保障支出69.24万元，占4.6%，较年初预算数增加2.84万 元，增长4.3%，主要原因是</w:t>
      </w:r>
      <w:r>
        <w:rPr>
          <w:rFonts w:hint="eastAsia" w:ascii="方正仿宋_GBK" w:hAnsi="宋体" w:eastAsia="方正仿宋_GBK" w:cs="宋体"/>
          <w:kern w:val="0"/>
          <w:sz w:val="32"/>
          <w:szCs w:val="32"/>
        </w:rPr>
        <w:t>教职工人员</w:t>
      </w:r>
      <w:r>
        <w:rPr>
          <w:rFonts w:hint="eastAsia" w:ascii="方正仿宋_GBK" w:hAnsi="宋体" w:eastAsia="方正仿宋_GBK" w:cs="宋体"/>
          <w:kern w:val="0"/>
          <w:sz w:val="32"/>
          <w:szCs w:val="32"/>
          <w:lang w:val="en-US" w:eastAsia="zh-CN"/>
        </w:rPr>
        <w:t>编制增加</w:t>
      </w:r>
      <w:r>
        <w:rPr>
          <w:rFonts w:hint="eastAsia" w:ascii="方正仿宋_GBK" w:hAnsi="宋体" w:eastAsia="方正仿宋_GBK" w:cs="宋体"/>
          <w:kern w:val="0"/>
          <w:sz w:val="32"/>
          <w:szCs w:val="32"/>
        </w:rPr>
        <w:t>。</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（四）一般公共预算财政拨款基本支出决算情况说明</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lang w:eastAsia="zh-Hans"/>
        </w:rPr>
      </w:pPr>
      <w:r>
        <w:rPr>
          <w:rFonts w:hint="eastAsia" w:ascii="宋体" w:hAnsi="宋体" w:eastAsia="方正仿宋_GBK" w:cs="宋体"/>
          <w:kern w:val="0"/>
          <w:sz w:val="32"/>
          <w:szCs w:val="32"/>
        </w:rPr>
        <w:t> </w:t>
      </w:r>
      <w:r>
        <w:rPr>
          <w:rFonts w:hint="eastAsia" w:ascii="方正仿宋_GBK" w:hAnsi="宋体" w:eastAsia="方正仿宋_GBK" w:cs="宋体"/>
          <w:kern w:val="0"/>
          <w:sz w:val="32"/>
          <w:szCs w:val="32"/>
        </w:rPr>
        <w:t xml:space="preserve"> </w:t>
      </w:r>
      <w:r>
        <w:rPr>
          <w:rFonts w:hint="eastAsia" w:ascii="方正仿宋_GBK" w:hAnsi="宋体" w:eastAsia="方正仿宋_GBK" w:cs="宋体"/>
          <w:kern w:val="0"/>
          <w:sz w:val="32"/>
          <w:szCs w:val="32"/>
          <w:lang w:eastAsia="zh-Hans"/>
        </w:rPr>
        <w:t>2020年度一般公共财政拨款基本支出1,385.49万元。其中：人员经费1,318.67万元，较上年决算数增加127.96万 元，增长10.7%，主要原因是</w:t>
      </w:r>
      <w:r>
        <w:rPr>
          <w:rFonts w:hint="eastAsia" w:ascii="方正仿宋_GBK" w:hAnsi="宋体" w:eastAsia="方正仿宋_GBK" w:cs="宋体"/>
          <w:kern w:val="0"/>
          <w:sz w:val="32"/>
          <w:szCs w:val="32"/>
        </w:rPr>
        <w:t>教职工人员编制增加。人员经费用途主要包括教职工福利费、对个人和家庭补助、教职工工资、绩效等。</w:t>
      </w:r>
      <w:r>
        <w:rPr>
          <w:rFonts w:hint="eastAsia" w:ascii="方正仿宋_GBK" w:hAnsi="宋体" w:eastAsia="方正仿宋_GBK" w:cs="宋体"/>
          <w:kern w:val="0"/>
          <w:sz w:val="32"/>
          <w:szCs w:val="32"/>
          <w:lang w:eastAsia="zh-Hans"/>
        </w:rPr>
        <w:t>公用经费66.82万元，较上年决算数减少9.51万元，下降12.5%，主要原因是学生人数减少，财政投入减少。公用经费用途主要包括学校办公费、印刷费、维修费、劳务费、差旅费等。</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（五）政府性基金预算收支决算情况说明</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本部门2020年度无政府性基金预算财政拨款收支。</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（六）国有资本经营预算财政拨款</w:t>
      </w:r>
      <w:r>
        <w:rPr>
          <w:rFonts w:hint="eastAsia" w:ascii="方正楷体_GBK" w:hAnsi="宋体" w:eastAsia="方正楷体_GBK" w:cs="宋体"/>
          <w:b/>
          <w:bCs/>
          <w:kern w:val="0"/>
          <w:sz w:val="32"/>
          <w:szCs w:val="32"/>
          <w:lang w:eastAsia="zh-CN"/>
        </w:rPr>
        <w:t>支出</w:t>
      </w:r>
      <w:r>
        <w:rPr>
          <w:rFonts w:hint="eastAsia" w:ascii="方正楷体_GBK" w:hAnsi="宋体" w:eastAsia="方正楷体_GBK" w:cs="宋体"/>
          <w:b/>
          <w:bCs/>
          <w:kern w:val="0"/>
          <w:sz w:val="32"/>
          <w:szCs w:val="32"/>
        </w:rPr>
        <w:t>决算情况说明。</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本部门2020年度无国有资本经营预算财政拨款支出。</w:t>
      </w:r>
    </w:p>
    <w:p>
      <w:pPr>
        <w:widowControl/>
        <w:shd w:val="clear" w:color="auto" w:fill="FFFFFF"/>
        <w:spacing w:line="600" w:lineRule="exact"/>
        <w:ind w:firstLine="643" w:firstLineChars="200"/>
        <w:jc w:val="left"/>
        <w:rPr>
          <w:rFonts w:hint="eastAsia"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三、“三公”经费情况说明</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（一）“三公”经费支出总体情况说明</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本单位2020年度未发生“三公”经费支出。</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（二）“三公”经费分项支出情况</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本单位2020年度未发生“三公”经费支出。</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（三）“三公”经费实物量情况</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本单位2020年度未发生“三公”经费支出。</w:t>
      </w:r>
    </w:p>
    <w:p>
      <w:pPr>
        <w:widowControl/>
        <w:shd w:val="clear" w:color="auto" w:fill="FFFFFF"/>
        <w:spacing w:line="600" w:lineRule="exact"/>
        <w:ind w:firstLine="643" w:firstLineChars="200"/>
        <w:jc w:val="left"/>
        <w:rPr>
          <w:rFonts w:hint="eastAsia"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四、其他需要说明的事项</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（一）机关运行经费情况说明</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本单位2020年度未发生部门机关运行经费支出。</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lang w:eastAsia="zh-Hans"/>
        </w:rPr>
        <w:t>本年度会议费支出1.78万元，较上年决算数增加0.49万元，增长38%，主要原因是</w:t>
      </w:r>
      <w:r>
        <w:rPr>
          <w:rFonts w:hint="eastAsia" w:ascii="方正仿宋_GBK" w:hAnsi="宋体" w:eastAsia="方正仿宋_GBK" w:cs="宋体"/>
          <w:kern w:val="0"/>
          <w:sz w:val="32"/>
          <w:szCs w:val="32"/>
        </w:rPr>
        <w:t>会议费</w:t>
      </w:r>
      <w:r>
        <w:rPr>
          <w:rFonts w:hint="eastAsia" w:ascii="方正仿宋_GBK" w:hAnsi="宋体" w:eastAsia="方正仿宋_GBK" w:cs="宋体"/>
          <w:kern w:val="0"/>
          <w:sz w:val="32"/>
          <w:szCs w:val="32"/>
          <w:lang w:val="en-US" w:eastAsia="zh-CN"/>
        </w:rPr>
        <w:t>次数增加</w:t>
      </w:r>
      <w:r>
        <w:rPr>
          <w:rFonts w:hint="eastAsia" w:ascii="方正仿宋_GBK" w:hAnsi="宋体" w:eastAsia="方正仿宋_GBK" w:cs="宋体"/>
          <w:kern w:val="0"/>
          <w:sz w:val="32"/>
          <w:szCs w:val="32"/>
        </w:rPr>
        <w:t>。</w:t>
      </w:r>
      <w:r>
        <w:rPr>
          <w:rFonts w:hint="eastAsia" w:ascii="方正仿宋_GBK" w:hAnsi="宋体" w:eastAsia="方正仿宋_GBK" w:cs="宋体"/>
          <w:kern w:val="0"/>
          <w:sz w:val="32"/>
          <w:szCs w:val="32"/>
          <w:lang w:eastAsia="zh-Hans"/>
        </w:rPr>
        <w:t>本年度培训费支出 4.43万元，较上年决算数增加2.94万元，增长197.3%，主要原因</w:t>
      </w:r>
      <w:r>
        <w:rPr>
          <w:rFonts w:hint="eastAsia" w:ascii="方正仿宋_GBK" w:hAnsi="宋体" w:eastAsia="方正仿宋_GBK" w:cs="宋体"/>
          <w:kern w:val="0"/>
          <w:sz w:val="32"/>
          <w:szCs w:val="32"/>
          <w:lang w:val="en-US" w:eastAsia="zh-CN"/>
        </w:rPr>
        <w:t>是</w:t>
      </w:r>
      <w:r>
        <w:rPr>
          <w:rFonts w:hint="eastAsia" w:ascii="方正仿宋_GBK" w:hAnsi="宋体" w:eastAsia="方正仿宋_GBK" w:cs="宋体"/>
          <w:kern w:val="0"/>
          <w:sz w:val="32"/>
          <w:szCs w:val="32"/>
        </w:rPr>
        <w:t>培训费</w:t>
      </w:r>
      <w:r>
        <w:rPr>
          <w:rFonts w:hint="eastAsia" w:ascii="方正仿宋_GBK" w:hAnsi="宋体" w:eastAsia="方正仿宋_GBK" w:cs="宋体"/>
          <w:kern w:val="0"/>
          <w:sz w:val="32"/>
          <w:szCs w:val="32"/>
          <w:lang w:val="en-US" w:eastAsia="zh-CN"/>
        </w:rPr>
        <w:t>次数增加</w:t>
      </w:r>
      <w:r>
        <w:rPr>
          <w:rFonts w:hint="eastAsia" w:ascii="方正仿宋_GBK" w:hAnsi="宋体" w:eastAsia="方正仿宋_GBK" w:cs="宋体"/>
          <w:kern w:val="0"/>
          <w:sz w:val="32"/>
          <w:szCs w:val="32"/>
        </w:rPr>
        <w:t>。</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（二）国有资产占用情况说明</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因本单位无用车需求原因，我单位资产未纳入部门决算报表。</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（三）政府采购支出情况说明</w:t>
      </w:r>
    </w:p>
    <w:p>
      <w:pPr>
        <w:widowControl/>
        <w:shd w:val="clear" w:color="auto" w:fill="FFFFFF"/>
        <w:spacing w:line="600" w:lineRule="exact"/>
        <w:ind w:firstLine="640" w:firstLineChars="200"/>
        <w:jc w:val="left"/>
        <w:rPr>
          <w:rFonts w:hint="eastAsia" w:ascii="方正仿宋_GBK" w:hAnsi="宋体" w:eastAsia="方正仿宋_GBK" w:cs="宋体"/>
          <w:kern w:val="0"/>
          <w:sz w:val="32"/>
          <w:szCs w:val="32"/>
        </w:rPr>
      </w:pPr>
      <w:r>
        <w:rPr>
          <w:rFonts w:hint="eastAsia" w:ascii="方正仿宋_GBK" w:hAnsi="宋体" w:eastAsia="方正仿宋_GBK" w:cs="宋体"/>
          <w:kern w:val="0"/>
          <w:sz w:val="32"/>
          <w:szCs w:val="32"/>
        </w:rPr>
        <w:t>2020年度我单位未发生政府采购事项，无相关经费支出。</w:t>
      </w:r>
    </w:p>
    <w:p>
      <w:pPr>
        <w:widowControl/>
        <w:shd w:val="clear" w:color="auto" w:fill="FFFFFF"/>
        <w:spacing w:line="600" w:lineRule="exact"/>
        <w:ind w:firstLine="643" w:firstLineChars="200"/>
        <w:jc w:val="left"/>
        <w:rPr>
          <w:rFonts w:hint="eastAsia"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五、预算绩效管理情况说明</w:t>
      </w:r>
    </w:p>
    <w:p>
      <w:pPr>
        <w:widowControl/>
        <w:shd w:val="clear" w:color="auto" w:fill="FFFFFF"/>
        <w:spacing w:line="600" w:lineRule="exact"/>
        <w:ind w:firstLine="640" w:firstLineChars="200"/>
        <w:jc w:val="left"/>
        <w:rPr>
          <w:rFonts w:hint="default" w:ascii="方正仿宋_GBK" w:hAnsi="宋体" w:eastAsia="方正仿宋_GBK" w:cs="宋体"/>
          <w:color w:val="000000" w:themeColor="text1"/>
          <w:kern w:val="0"/>
          <w:sz w:val="32"/>
          <w:szCs w:val="32"/>
          <w:lang w:val="en-US" w:eastAsia="zh-CN"/>
        </w:rPr>
      </w:pPr>
      <w:r>
        <w:rPr>
          <w:rFonts w:hint="eastAsia" w:ascii="方正仿宋_GBK" w:hAnsi="宋体" w:eastAsia="方正仿宋_GBK" w:cs="宋体"/>
          <w:kern w:val="0"/>
          <w:sz w:val="32"/>
          <w:szCs w:val="32"/>
        </w:rPr>
        <w:t>有疑问请联系绩效中心</w:t>
      </w:r>
      <w:r>
        <w:rPr>
          <w:rFonts w:hint="eastAsia" w:ascii="方正仿宋_GBK" w:hAnsi="宋体" w:eastAsia="方正仿宋_GBK" w:cs="宋体"/>
          <w:kern w:val="0"/>
          <w:sz w:val="32"/>
          <w:szCs w:val="32"/>
          <w:lang w:val="en-US" w:eastAsia="zh-CN"/>
        </w:rPr>
        <w:t>聂珊</w:t>
      </w:r>
      <w:r>
        <w:rPr>
          <w:rFonts w:hint="eastAsia" w:ascii="方正仿宋_GBK" w:hAnsi="宋体" w:eastAsia="方正仿宋_GBK" w:cs="宋体"/>
          <w:color w:val="000000" w:themeColor="text1"/>
          <w:kern w:val="0"/>
          <w:sz w:val="32"/>
          <w:szCs w:val="32"/>
        </w:rPr>
        <w:t>：</w:t>
      </w:r>
      <w:r>
        <w:rPr>
          <w:rFonts w:hint="eastAsia" w:ascii="方正仿宋_GBK" w:hAnsi="宋体" w:eastAsia="方正仿宋_GBK" w:cs="宋体"/>
          <w:color w:val="000000" w:themeColor="text1"/>
          <w:kern w:val="0"/>
          <w:sz w:val="32"/>
          <w:szCs w:val="32"/>
          <w:lang w:val="en-US" w:eastAsia="zh-CN"/>
        </w:rPr>
        <w:t>023-67575153</w:t>
      </w:r>
    </w:p>
    <w:p>
      <w:pPr>
        <w:widowControl/>
        <w:shd w:val="clear" w:color="auto" w:fill="FFFFFF"/>
        <w:spacing w:line="600" w:lineRule="exact"/>
        <w:ind w:firstLine="482" w:firstLineChars="150"/>
        <w:jc w:val="left"/>
        <w:rPr>
          <w:rFonts w:hint="eastAsia" w:ascii="方正楷体_GBK" w:hAnsi="宋体" w:eastAsia="方正楷体_GBK" w:cs="宋体"/>
          <w:b/>
          <w:bCs/>
          <w:kern w:val="0"/>
          <w:sz w:val="32"/>
          <w:szCs w:val="32"/>
        </w:rPr>
      </w:pPr>
      <w:r>
        <w:rPr>
          <w:rFonts w:hint="eastAsia" w:ascii="方正楷体_GBK" w:hAnsi="宋体" w:eastAsia="方正楷体_GBK" w:cs="宋体"/>
          <w:b/>
          <w:bCs/>
          <w:kern w:val="0"/>
          <w:sz w:val="32"/>
          <w:szCs w:val="32"/>
        </w:rPr>
        <w:t>（一）预算绩效管理工作开展情况</w:t>
      </w:r>
    </w:p>
    <w:p>
      <w:pPr>
        <w:widowControl/>
        <w:shd w:val="clear" w:color="auto" w:fill="FFFFFF"/>
        <w:spacing w:line="600" w:lineRule="exact"/>
        <w:ind w:firstLine="640" w:firstLineChars="200"/>
        <w:jc w:val="left"/>
        <w:rPr>
          <w:rFonts w:hint="eastAsia" w:ascii="方正仿宋_GBK" w:hAnsi="宋体" w:eastAsia="方正仿宋_GBK" w:cs="宋体"/>
          <w:color w:val="000000" w:themeColor="text1"/>
          <w:kern w:val="0"/>
          <w:sz w:val="32"/>
          <w:szCs w:val="32"/>
        </w:rPr>
      </w:pPr>
      <w:r>
        <w:rPr>
          <w:rFonts w:hint="eastAsia" w:ascii="方正仿宋_GBK" w:hAnsi="宋体" w:eastAsia="方正仿宋_GBK" w:cs="宋体"/>
          <w:kern w:val="0"/>
          <w:sz w:val="32"/>
          <w:szCs w:val="32"/>
        </w:rPr>
        <w:t>根据预算绩效管理要求，本部门对</w:t>
      </w:r>
      <w:r>
        <w:rPr>
          <w:rFonts w:hint="eastAsia" w:ascii="方正仿宋_GBK" w:hAnsi="宋体" w:eastAsia="方正仿宋_GBK" w:cs="宋体"/>
          <w:kern w:val="0"/>
          <w:sz w:val="32"/>
          <w:szCs w:val="32"/>
          <w:lang w:val="en-US" w:eastAsia="zh-CN"/>
        </w:rPr>
        <w:t>4</w:t>
      </w:r>
      <w:r>
        <w:rPr>
          <w:rFonts w:hint="eastAsia" w:ascii="方正仿宋_GBK" w:hAnsi="宋体" w:eastAsia="方正仿宋_GBK" w:cs="宋体"/>
          <w:kern w:val="0"/>
          <w:sz w:val="32"/>
          <w:szCs w:val="32"/>
        </w:rPr>
        <w:t>个项目开展了绩效自评，其中，以填报目标自评表形式开展自评</w:t>
      </w:r>
      <w:r>
        <w:rPr>
          <w:rFonts w:hint="eastAsia" w:ascii="方正仿宋_GBK" w:hAnsi="宋体" w:eastAsia="方正仿宋_GBK" w:cs="宋体"/>
          <w:kern w:val="0"/>
          <w:sz w:val="32"/>
          <w:szCs w:val="32"/>
          <w:lang w:val="en-US" w:eastAsia="zh-CN"/>
        </w:rPr>
        <w:t>4</w:t>
      </w:r>
      <w:r>
        <w:rPr>
          <w:rFonts w:hint="eastAsia" w:ascii="方正仿宋_GBK" w:hAnsi="宋体" w:eastAsia="方正仿宋_GBK" w:cs="宋体"/>
          <w:kern w:val="0"/>
          <w:sz w:val="32"/>
          <w:szCs w:val="32"/>
        </w:rPr>
        <w:t>项，涉及资金</w:t>
      </w:r>
      <w:r>
        <w:rPr>
          <w:rFonts w:hint="eastAsia" w:ascii="方正仿宋_GBK" w:hAnsi="宋体" w:eastAsia="方正仿宋_GBK" w:cs="宋体"/>
          <w:color w:val="000000" w:themeColor="text1"/>
          <w:kern w:val="0"/>
          <w:sz w:val="32"/>
          <w:szCs w:val="32"/>
          <w:lang w:val="en-US" w:eastAsia="zh-CN"/>
        </w:rPr>
        <w:t>73.5</w:t>
      </w:r>
      <w:r>
        <w:rPr>
          <w:rFonts w:hint="eastAsia" w:ascii="方正仿宋_GBK" w:hAnsi="宋体" w:eastAsia="方正仿宋_GBK" w:cs="宋体"/>
          <w:color w:val="000000" w:themeColor="text1"/>
          <w:kern w:val="0"/>
          <w:sz w:val="32"/>
          <w:szCs w:val="32"/>
        </w:rPr>
        <w:t>万元；本单位未委托第三方形式开展绩效自评。</w:t>
      </w:r>
    </w:p>
    <w:p>
      <w:pPr>
        <w:widowControl/>
        <w:shd w:val="clear" w:color="auto" w:fill="FFFFFF"/>
        <w:spacing w:line="600" w:lineRule="exact"/>
        <w:ind w:firstLine="482" w:firstLineChars="150"/>
        <w:jc w:val="left"/>
        <w:rPr>
          <w:rFonts w:hint="eastAsia" w:ascii="方正楷体_GBK" w:hAnsi="宋体" w:eastAsia="方正楷体_GBK" w:cs="宋体"/>
          <w:b/>
          <w:bCs/>
          <w:color w:val="000000" w:themeColor="text1"/>
          <w:kern w:val="0"/>
          <w:sz w:val="32"/>
          <w:szCs w:val="32"/>
        </w:rPr>
      </w:pPr>
      <w:r>
        <w:rPr>
          <w:rFonts w:hint="eastAsia" w:ascii="方正楷体_GBK" w:hAnsi="宋体" w:eastAsia="方正楷体_GBK" w:cs="宋体"/>
          <w:b/>
          <w:bCs/>
          <w:color w:val="000000" w:themeColor="text1"/>
          <w:kern w:val="0"/>
          <w:sz w:val="32"/>
          <w:szCs w:val="32"/>
        </w:rPr>
        <w:t>（二）绩效自评结果</w:t>
      </w:r>
    </w:p>
    <w:p>
      <w:pPr>
        <w:widowControl/>
        <w:shd w:val="clear" w:color="auto" w:fill="FFFFFF"/>
        <w:spacing w:line="600" w:lineRule="exact"/>
        <w:ind w:firstLine="643" w:firstLineChars="200"/>
        <w:jc w:val="left"/>
        <w:rPr>
          <w:rFonts w:hint="eastAsia" w:ascii="方正仿宋_GBK" w:hAnsi="宋体" w:eastAsia="方正仿宋_GBK" w:cs="宋体"/>
          <w:b/>
          <w:bCs/>
          <w:color w:val="000000" w:themeColor="text1"/>
          <w:kern w:val="0"/>
          <w:sz w:val="32"/>
          <w:szCs w:val="32"/>
        </w:rPr>
      </w:pPr>
      <w:r>
        <w:rPr>
          <w:rFonts w:hint="eastAsia" w:ascii="方正仿宋_GBK" w:hAnsi="宋体" w:eastAsia="方正仿宋_GBK" w:cs="宋体"/>
          <w:b/>
          <w:bCs/>
          <w:color w:val="000000" w:themeColor="text1"/>
          <w:kern w:val="0"/>
          <w:sz w:val="32"/>
          <w:szCs w:val="32"/>
        </w:rPr>
        <w:t>1.绩效自评表</w:t>
      </w:r>
    </w:p>
    <w:tbl>
      <w:tblPr>
        <w:tblStyle w:val="5"/>
        <w:tblW w:w="9720" w:type="dxa"/>
        <w:tblInd w:w="98" w:type="dxa"/>
        <w:tblLayout w:type="autofit"/>
        <w:tblCellMar>
          <w:top w:w="0" w:type="dxa"/>
          <w:left w:w="108" w:type="dxa"/>
          <w:bottom w:w="0" w:type="dxa"/>
          <w:right w:w="108" w:type="dxa"/>
        </w:tblCellMar>
      </w:tblPr>
      <w:tblGrid>
        <w:gridCol w:w="945"/>
        <w:gridCol w:w="3063"/>
        <w:gridCol w:w="1221"/>
        <w:gridCol w:w="643"/>
        <w:gridCol w:w="268"/>
        <w:gridCol w:w="1069"/>
        <w:gridCol w:w="916"/>
        <w:gridCol w:w="878"/>
        <w:gridCol w:w="717"/>
      </w:tblGrid>
      <w:tr>
        <w:tblPrEx>
          <w:tblCellMar>
            <w:top w:w="0" w:type="dxa"/>
            <w:left w:w="108" w:type="dxa"/>
            <w:bottom w:w="0" w:type="dxa"/>
            <w:right w:w="108" w:type="dxa"/>
          </w:tblCellMar>
        </w:tblPrEx>
        <w:trPr>
          <w:trHeight w:val="330" w:hRule="atLeast"/>
        </w:trPr>
        <w:tc>
          <w:tcPr>
            <w:tcW w:w="945" w:type="dxa"/>
            <w:tcBorders>
              <w:top w:val="nil"/>
              <w:left w:val="nil"/>
              <w:bottom w:val="nil"/>
              <w:right w:val="nil"/>
            </w:tcBorders>
            <w:shd w:val="clear" w:color="auto" w:fill="auto"/>
            <w:noWrap/>
            <w:vAlign w:val="center"/>
          </w:tcPr>
          <w:p>
            <w:pPr>
              <w:rPr>
                <w:rFonts w:ascii="黑体" w:hAnsi="宋体" w:eastAsia="黑体" w:cs="黑体"/>
                <w:color w:val="000000" w:themeColor="text1"/>
                <w:sz w:val="24"/>
                <w:szCs w:val="24"/>
              </w:rPr>
            </w:pPr>
          </w:p>
        </w:tc>
        <w:tc>
          <w:tcPr>
            <w:tcW w:w="3165" w:type="dxa"/>
            <w:tcBorders>
              <w:top w:val="nil"/>
              <w:left w:val="nil"/>
              <w:bottom w:val="nil"/>
              <w:right w:val="nil"/>
            </w:tcBorders>
            <w:shd w:val="clear" w:color="auto" w:fill="auto"/>
            <w:vAlign w:val="center"/>
          </w:tcPr>
          <w:p>
            <w:pPr>
              <w:rPr>
                <w:rFonts w:ascii="黑体" w:hAnsi="宋体" w:eastAsia="黑体" w:cs="黑体"/>
                <w:color w:val="000000" w:themeColor="text1"/>
                <w:sz w:val="24"/>
                <w:szCs w:val="24"/>
              </w:rPr>
            </w:pPr>
          </w:p>
        </w:tc>
        <w:tc>
          <w:tcPr>
            <w:tcW w:w="1230" w:type="dxa"/>
            <w:tcBorders>
              <w:top w:val="nil"/>
              <w:left w:val="nil"/>
              <w:bottom w:val="nil"/>
              <w:right w:val="nil"/>
            </w:tcBorders>
            <w:shd w:val="clear" w:color="auto" w:fill="auto"/>
            <w:vAlign w:val="center"/>
          </w:tcPr>
          <w:p>
            <w:pPr>
              <w:rPr>
                <w:rFonts w:ascii="黑体" w:hAnsi="宋体" w:eastAsia="黑体" w:cs="黑体"/>
                <w:color w:val="000000" w:themeColor="text1"/>
                <w:sz w:val="24"/>
                <w:szCs w:val="24"/>
              </w:rPr>
            </w:pPr>
          </w:p>
        </w:tc>
        <w:tc>
          <w:tcPr>
            <w:tcW w:w="660" w:type="dxa"/>
            <w:tcBorders>
              <w:top w:val="nil"/>
              <w:left w:val="nil"/>
              <w:bottom w:val="nil"/>
              <w:right w:val="nil"/>
            </w:tcBorders>
            <w:shd w:val="clear" w:color="auto" w:fill="auto"/>
            <w:vAlign w:val="center"/>
          </w:tcPr>
          <w:p>
            <w:pPr>
              <w:rPr>
                <w:rFonts w:ascii="宋体" w:hAnsi="宋体" w:eastAsia="宋体" w:cs="宋体"/>
                <w:color w:val="000000" w:themeColor="text1"/>
                <w:sz w:val="24"/>
                <w:szCs w:val="24"/>
              </w:rPr>
            </w:pPr>
          </w:p>
        </w:tc>
        <w:tc>
          <w:tcPr>
            <w:tcW w:w="270" w:type="dxa"/>
            <w:tcBorders>
              <w:top w:val="nil"/>
              <w:left w:val="nil"/>
              <w:bottom w:val="nil"/>
              <w:right w:val="nil"/>
            </w:tcBorders>
            <w:shd w:val="clear" w:color="auto" w:fill="auto"/>
            <w:vAlign w:val="center"/>
          </w:tcPr>
          <w:p>
            <w:pPr>
              <w:rPr>
                <w:rFonts w:ascii="宋体" w:hAnsi="宋体" w:eastAsia="宋体" w:cs="宋体"/>
                <w:color w:val="000000" w:themeColor="text1"/>
                <w:sz w:val="24"/>
                <w:szCs w:val="24"/>
              </w:rPr>
            </w:pPr>
          </w:p>
        </w:tc>
        <w:tc>
          <w:tcPr>
            <w:tcW w:w="1080" w:type="dxa"/>
            <w:tcBorders>
              <w:top w:val="nil"/>
              <w:left w:val="nil"/>
              <w:bottom w:val="nil"/>
              <w:right w:val="nil"/>
            </w:tcBorders>
            <w:shd w:val="clear" w:color="auto" w:fill="auto"/>
            <w:vAlign w:val="center"/>
          </w:tcPr>
          <w:p>
            <w:pPr>
              <w:rPr>
                <w:rFonts w:ascii="宋体" w:hAnsi="宋体" w:eastAsia="宋体" w:cs="宋体"/>
                <w:color w:val="000000" w:themeColor="text1"/>
                <w:sz w:val="24"/>
                <w:szCs w:val="24"/>
              </w:rPr>
            </w:pPr>
          </w:p>
        </w:tc>
        <w:tc>
          <w:tcPr>
            <w:tcW w:w="885" w:type="dxa"/>
            <w:tcBorders>
              <w:top w:val="nil"/>
              <w:left w:val="nil"/>
              <w:bottom w:val="nil"/>
              <w:right w:val="nil"/>
            </w:tcBorders>
            <w:shd w:val="clear" w:color="auto" w:fill="auto"/>
            <w:vAlign w:val="center"/>
          </w:tcPr>
          <w:p>
            <w:pPr>
              <w:rPr>
                <w:rFonts w:ascii="宋体" w:hAnsi="宋体" w:eastAsia="宋体" w:cs="宋体"/>
                <w:color w:val="000000" w:themeColor="text1"/>
                <w:sz w:val="24"/>
                <w:szCs w:val="24"/>
              </w:rPr>
            </w:pPr>
          </w:p>
        </w:tc>
        <w:tc>
          <w:tcPr>
            <w:tcW w:w="885" w:type="dxa"/>
            <w:tcBorders>
              <w:top w:val="nil"/>
              <w:left w:val="nil"/>
              <w:bottom w:val="nil"/>
              <w:right w:val="nil"/>
            </w:tcBorders>
            <w:shd w:val="clear" w:color="auto" w:fill="auto"/>
            <w:vAlign w:val="center"/>
          </w:tcPr>
          <w:p>
            <w:pPr>
              <w:rPr>
                <w:rFonts w:ascii="宋体" w:hAnsi="宋体" w:eastAsia="宋体" w:cs="宋体"/>
                <w:color w:val="000000" w:themeColor="text1"/>
                <w:sz w:val="24"/>
                <w:szCs w:val="24"/>
              </w:rPr>
            </w:pPr>
          </w:p>
        </w:tc>
        <w:tc>
          <w:tcPr>
            <w:tcW w:w="600" w:type="dxa"/>
            <w:tcBorders>
              <w:top w:val="nil"/>
              <w:left w:val="nil"/>
              <w:bottom w:val="nil"/>
              <w:right w:val="nil"/>
            </w:tcBorders>
            <w:shd w:val="clear" w:color="auto" w:fill="auto"/>
            <w:vAlign w:val="center"/>
          </w:tcPr>
          <w:p>
            <w:pPr>
              <w:rPr>
                <w:rFonts w:ascii="宋体" w:hAnsi="宋体" w:eastAsia="宋体" w:cs="宋体"/>
                <w:color w:val="000000" w:themeColor="text1"/>
                <w:sz w:val="24"/>
                <w:szCs w:val="24"/>
              </w:rPr>
            </w:pPr>
          </w:p>
        </w:tc>
      </w:tr>
      <w:tr>
        <w:tblPrEx>
          <w:tblCellMar>
            <w:top w:w="0" w:type="dxa"/>
            <w:left w:w="108" w:type="dxa"/>
            <w:bottom w:w="0" w:type="dxa"/>
            <w:right w:w="108" w:type="dxa"/>
          </w:tblCellMar>
        </w:tblPrEx>
        <w:trPr>
          <w:trHeight w:val="585" w:hRule="atLeast"/>
        </w:trPr>
        <w:tc>
          <w:tcPr>
            <w:tcW w:w="9120" w:type="dxa"/>
            <w:gridSpan w:val="9"/>
            <w:tcBorders>
              <w:top w:val="nil"/>
              <w:left w:val="nil"/>
              <w:bottom w:val="nil"/>
              <w:right w:val="nil"/>
            </w:tcBorders>
            <w:shd w:val="clear" w:color="auto" w:fill="auto"/>
            <w:vAlign w:val="center"/>
          </w:tcPr>
          <w:p>
            <w:pPr>
              <w:widowControl/>
              <w:jc w:val="center"/>
              <w:textAlignment w:val="center"/>
              <w:rPr>
                <w:rFonts w:ascii="宋体" w:hAnsi="宋体" w:eastAsia="宋体" w:cs="宋体"/>
                <w:b/>
                <w:bCs/>
                <w:color w:val="000000" w:themeColor="text1"/>
                <w:sz w:val="32"/>
                <w:szCs w:val="32"/>
              </w:rPr>
            </w:pPr>
            <w:r>
              <w:rPr>
                <w:rFonts w:hint="eastAsia" w:ascii="宋体" w:hAnsi="宋体" w:eastAsia="宋体" w:cs="宋体"/>
                <w:b/>
                <w:bCs/>
                <w:color w:val="000000" w:themeColor="text1"/>
                <w:kern w:val="0"/>
                <w:sz w:val="32"/>
                <w:szCs w:val="32"/>
              </w:rPr>
              <w:t xml:space="preserve">2020年度区级预算单位项目支出绩效自评表  </w:t>
            </w:r>
          </w:p>
        </w:tc>
      </w:tr>
      <w:tr>
        <w:tblPrEx>
          <w:tblCellMar>
            <w:top w:w="0" w:type="dxa"/>
            <w:left w:w="108" w:type="dxa"/>
            <w:bottom w:w="0" w:type="dxa"/>
            <w:right w:w="108" w:type="dxa"/>
          </w:tblCellMar>
        </w:tblPrEx>
        <w:trPr>
          <w:trHeight w:val="585" w:hRule="atLeast"/>
        </w:trPr>
        <w:tc>
          <w:tcPr>
            <w:tcW w:w="4110" w:type="dxa"/>
            <w:gridSpan w:val="2"/>
            <w:tcBorders>
              <w:top w:val="nil"/>
              <w:left w:val="nil"/>
              <w:bottom w:val="single" w:color="000000" w:sz="4" w:space="0"/>
              <w:right w:val="nil"/>
            </w:tcBorders>
            <w:shd w:val="clear" w:color="auto" w:fill="auto"/>
            <w:vAlign w:val="center"/>
          </w:tcPr>
          <w:p>
            <w:pPr>
              <w:widowControl/>
              <w:jc w:val="left"/>
              <w:textAlignment w:val="center"/>
              <w:rPr>
                <w:rFonts w:ascii="宋体" w:hAnsi="宋体" w:eastAsia="宋体" w:cs="宋体"/>
                <w:b/>
                <w:bCs/>
                <w:color w:val="000000" w:themeColor="text1"/>
                <w:sz w:val="20"/>
                <w:szCs w:val="20"/>
              </w:rPr>
            </w:pPr>
            <w:r>
              <w:rPr>
                <w:rFonts w:hint="eastAsia" w:ascii="宋体" w:hAnsi="宋体" w:eastAsia="宋体" w:cs="宋体"/>
                <w:b/>
                <w:bCs/>
                <w:color w:val="000000" w:themeColor="text1"/>
                <w:kern w:val="0"/>
                <w:sz w:val="20"/>
                <w:szCs w:val="20"/>
              </w:rPr>
              <w:t>填表单位（盖章）：重庆市綦江区</w:t>
            </w:r>
            <w:r>
              <w:rPr>
                <w:rFonts w:hint="eastAsia" w:ascii="宋体" w:hAnsi="宋体" w:eastAsia="宋体" w:cs="宋体"/>
                <w:b/>
                <w:bCs/>
                <w:color w:val="000000" w:themeColor="text1"/>
                <w:kern w:val="0"/>
                <w:sz w:val="20"/>
                <w:szCs w:val="20"/>
                <w:lang w:val="en-US" w:eastAsia="zh-CN"/>
              </w:rPr>
              <w:t>永城小学</w:t>
            </w:r>
          </w:p>
        </w:tc>
        <w:tc>
          <w:tcPr>
            <w:tcW w:w="1230" w:type="dxa"/>
            <w:tcBorders>
              <w:top w:val="nil"/>
              <w:left w:val="nil"/>
              <w:bottom w:val="nil"/>
              <w:right w:val="nil"/>
            </w:tcBorders>
            <w:shd w:val="clear" w:color="auto" w:fill="auto"/>
            <w:vAlign w:val="center"/>
          </w:tcPr>
          <w:p>
            <w:pPr>
              <w:jc w:val="center"/>
              <w:rPr>
                <w:rFonts w:ascii="宋体" w:hAnsi="宋体" w:eastAsia="宋体" w:cs="宋体"/>
                <w:b/>
                <w:bCs/>
                <w:color w:val="000000" w:themeColor="text1"/>
                <w:sz w:val="32"/>
                <w:szCs w:val="32"/>
              </w:rPr>
            </w:pPr>
          </w:p>
        </w:tc>
        <w:tc>
          <w:tcPr>
            <w:tcW w:w="660" w:type="dxa"/>
            <w:tcBorders>
              <w:top w:val="nil"/>
              <w:left w:val="nil"/>
              <w:bottom w:val="nil"/>
              <w:right w:val="nil"/>
            </w:tcBorders>
            <w:shd w:val="clear" w:color="auto" w:fill="auto"/>
            <w:vAlign w:val="center"/>
          </w:tcPr>
          <w:p>
            <w:pPr>
              <w:jc w:val="center"/>
              <w:rPr>
                <w:rFonts w:ascii="宋体" w:hAnsi="宋体" w:eastAsia="宋体" w:cs="宋体"/>
                <w:b/>
                <w:bCs/>
                <w:color w:val="000000" w:themeColor="text1"/>
                <w:sz w:val="32"/>
                <w:szCs w:val="32"/>
              </w:rPr>
            </w:pPr>
          </w:p>
        </w:tc>
        <w:tc>
          <w:tcPr>
            <w:tcW w:w="270" w:type="dxa"/>
            <w:tcBorders>
              <w:top w:val="nil"/>
              <w:left w:val="nil"/>
              <w:bottom w:val="nil"/>
              <w:right w:val="nil"/>
            </w:tcBorders>
            <w:shd w:val="clear" w:color="auto" w:fill="auto"/>
            <w:vAlign w:val="center"/>
          </w:tcPr>
          <w:p>
            <w:pPr>
              <w:jc w:val="center"/>
              <w:rPr>
                <w:rFonts w:ascii="宋体" w:hAnsi="宋体" w:eastAsia="宋体" w:cs="宋体"/>
                <w:b/>
                <w:bCs/>
                <w:color w:val="000000" w:themeColor="text1"/>
                <w:sz w:val="32"/>
                <w:szCs w:val="32"/>
              </w:rPr>
            </w:pPr>
          </w:p>
        </w:tc>
        <w:tc>
          <w:tcPr>
            <w:tcW w:w="1080" w:type="dxa"/>
            <w:tcBorders>
              <w:top w:val="nil"/>
              <w:left w:val="nil"/>
              <w:bottom w:val="nil"/>
              <w:right w:val="nil"/>
            </w:tcBorders>
            <w:shd w:val="clear" w:color="auto" w:fill="auto"/>
            <w:vAlign w:val="center"/>
          </w:tcPr>
          <w:p>
            <w:pPr>
              <w:jc w:val="center"/>
              <w:rPr>
                <w:rFonts w:ascii="宋体" w:hAnsi="宋体" w:eastAsia="宋体" w:cs="宋体"/>
                <w:b/>
                <w:bCs/>
                <w:color w:val="000000" w:themeColor="text1"/>
                <w:sz w:val="32"/>
                <w:szCs w:val="32"/>
              </w:rPr>
            </w:pPr>
          </w:p>
        </w:tc>
        <w:tc>
          <w:tcPr>
            <w:tcW w:w="885" w:type="dxa"/>
            <w:tcBorders>
              <w:top w:val="nil"/>
              <w:left w:val="nil"/>
              <w:bottom w:val="nil"/>
              <w:right w:val="nil"/>
            </w:tcBorders>
            <w:shd w:val="clear" w:color="auto" w:fill="auto"/>
            <w:vAlign w:val="center"/>
          </w:tcPr>
          <w:p>
            <w:pPr>
              <w:jc w:val="center"/>
              <w:rPr>
                <w:rFonts w:ascii="宋体" w:hAnsi="宋体" w:eastAsia="宋体" w:cs="宋体"/>
                <w:b/>
                <w:bCs/>
                <w:color w:val="000000" w:themeColor="text1"/>
                <w:sz w:val="32"/>
                <w:szCs w:val="32"/>
              </w:rPr>
            </w:pPr>
          </w:p>
        </w:tc>
        <w:tc>
          <w:tcPr>
            <w:tcW w:w="885" w:type="dxa"/>
            <w:tcBorders>
              <w:top w:val="nil"/>
              <w:left w:val="nil"/>
              <w:bottom w:val="nil"/>
              <w:right w:val="nil"/>
            </w:tcBorders>
            <w:shd w:val="clear" w:color="auto" w:fill="auto"/>
            <w:vAlign w:val="center"/>
          </w:tcPr>
          <w:p>
            <w:pPr>
              <w:jc w:val="center"/>
              <w:rPr>
                <w:rFonts w:ascii="宋体" w:hAnsi="宋体" w:eastAsia="宋体" w:cs="宋体"/>
                <w:b/>
                <w:bCs/>
                <w:color w:val="000000" w:themeColor="text1"/>
                <w:sz w:val="32"/>
                <w:szCs w:val="32"/>
              </w:rPr>
            </w:pPr>
          </w:p>
        </w:tc>
        <w:tc>
          <w:tcPr>
            <w:tcW w:w="600" w:type="dxa"/>
            <w:tcBorders>
              <w:top w:val="nil"/>
              <w:left w:val="nil"/>
              <w:bottom w:val="nil"/>
              <w:right w:val="nil"/>
            </w:tcBorders>
            <w:shd w:val="clear" w:color="auto" w:fill="auto"/>
            <w:vAlign w:val="center"/>
          </w:tcPr>
          <w:p>
            <w:pPr>
              <w:jc w:val="center"/>
              <w:rPr>
                <w:rFonts w:ascii="宋体" w:hAnsi="宋体" w:eastAsia="宋体" w:cs="宋体"/>
                <w:b/>
                <w:bCs/>
                <w:color w:val="000000" w:themeColor="text1"/>
                <w:sz w:val="32"/>
                <w:szCs w:val="32"/>
              </w:rPr>
            </w:pPr>
          </w:p>
        </w:tc>
      </w:tr>
      <w:tr>
        <w:trPr>
          <w:trHeight w:val="64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项目名称</w:t>
            </w:r>
          </w:p>
        </w:tc>
        <w:tc>
          <w:tcPr>
            <w:tcW w:w="53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王良红军小学等2个项目</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自评总分</w:t>
            </w:r>
            <w:r>
              <w:rPr>
                <w:rFonts w:hint="eastAsia" w:ascii="宋体" w:hAnsi="宋体" w:eastAsia="宋体" w:cs="宋体"/>
                <w:color w:val="000000" w:themeColor="text1"/>
                <w:kern w:val="0"/>
                <w:sz w:val="20"/>
                <w:szCs w:val="20"/>
              </w:rPr>
              <w:br w:type="textWrapping"/>
            </w:r>
            <w:r>
              <w:rPr>
                <w:rFonts w:hint="eastAsia" w:ascii="宋体" w:hAnsi="宋体" w:eastAsia="宋体" w:cs="宋体"/>
                <w:color w:val="000000" w:themeColor="text1"/>
                <w:kern w:val="0"/>
                <w:sz w:val="20"/>
                <w:szCs w:val="20"/>
              </w:rPr>
              <w:t>（分)</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themeColor="text1"/>
                <w:sz w:val="20"/>
                <w:szCs w:val="20"/>
                <w:lang w:val="en-US" w:eastAsia="zh-CN"/>
              </w:rPr>
            </w:pPr>
            <w:r>
              <w:rPr>
                <w:rFonts w:hint="eastAsia" w:ascii="宋体" w:hAnsi="宋体" w:eastAsia="宋体" w:cs="宋体"/>
                <w:color w:val="000000" w:themeColor="text1"/>
                <w:kern w:val="0"/>
                <w:sz w:val="20"/>
                <w:szCs w:val="20"/>
              </w:rPr>
              <w:t>9</w:t>
            </w:r>
            <w:r>
              <w:rPr>
                <w:rFonts w:hint="eastAsia" w:ascii="宋体" w:hAnsi="宋体" w:eastAsia="宋体" w:cs="宋体"/>
                <w:color w:val="000000" w:themeColor="text1"/>
                <w:kern w:val="0"/>
                <w:sz w:val="20"/>
                <w:szCs w:val="20"/>
                <w:lang w:val="en-US" w:eastAsia="zh-CN"/>
              </w:rPr>
              <w:t>5</w:t>
            </w:r>
          </w:p>
        </w:tc>
      </w:tr>
      <w:tr>
        <w:tblPrEx>
          <w:tblCellMar>
            <w:top w:w="0" w:type="dxa"/>
            <w:left w:w="108" w:type="dxa"/>
            <w:bottom w:w="0" w:type="dxa"/>
            <w:right w:w="108" w:type="dxa"/>
          </w:tblCellMar>
        </w:tblPrEx>
        <w:trPr>
          <w:trHeight w:val="64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业务主管部门</w:t>
            </w:r>
          </w:p>
        </w:tc>
        <w:tc>
          <w:tcPr>
            <w:tcW w:w="53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重庆市綦江区教育委员会</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联系人</w:t>
            </w:r>
            <w:r>
              <w:rPr>
                <w:rFonts w:hint="eastAsia" w:ascii="宋体" w:hAnsi="宋体" w:eastAsia="宋体" w:cs="宋体"/>
                <w:color w:val="000000" w:themeColor="text1"/>
                <w:kern w:val="0"/>
                <w:sz w:val="20"/>
                <w:szCs w:val="20"/>
              </w:rPr>
              <w:br w:type="textWrapping"/>
            </w:r>
            <w:r>
              <w:rPr>
                <w:rFonts w:hint="eastAsia" w:ascii="宋体" w:hAnsi="宋体" w:eastAsia="宋体" w:cs="宋体"/>
                <w:color w:val="000000" w:themeColor="text1"/>
                <w:kern w:val="0"/>
                <w:sz w:val="20"/>
                <w:szCs w:val="20"/>
              </w:rPr>
              <w:t>及电话</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kern w:val="0"/>
                <w:sz w:val="20"/>
                <w:szCs w:val="20"/>
                <w:lang w:val="en-US" w:eastAsia="zh-CN"/>
              </w:rPr>
              <w:t>罗鑫</w:t>
            </w:r>
            <w:r>
              <w:rPr>
                <w:rFonts w:hint="eastAsia" w:ascii="宋体" w:hAnsi="宋体" w:eastAsia="宋体" w:cs="宋体"/>
                <w:color w:val="000000" w:themeColor="text1"/>
                <w:kern w:val="0"/>
                <w:sz w:val="20"/>
                <w:szCs w:val="20"/>
              </w:rPr>
              <w:t xml:space="preserve"> </w:t>
            </w:r>
            <w:r>
              <w:rPr>
                <w:rFonts w:hint="eastAsia" w:ascii="宋体" w:hAnsi="宋体" w:eastAsia="宋体" w:cs="宋体"/>
                <w:color w:val="000000" w:themeColor="text1"/>
                <w:kern w:val="0"/>
                <w:sz w:val="20"/>
                <w:szCs w:val="20"/>
                <w:lang w:val="en-US" w:eastAsia="zh-CN"/>
              </w:rPr>
              <w:t>13752831186</w:t>
            </w:r>
          </w:p>
        </w:tc>
      </w:tr>
      <w:tr>
        <w:tblPrEx>
          <w:tblCellMar>
            <w:top w:w="0" w:type="dxa"/>
            <w:left w:w="108" w:type="dxa"/>
            <w:bottom w:w="0" w:type="dxa"/>
            <w:right w:w="108" w:type="dxa"/>
          </w:tblCellMar>
        </w:tblPrEx>
        <w:trPr>
          <w:trHeight w:val="64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项目资金（万元）</w:t>
            </w:r>
          </w:p>
        </w:tc>
        <w:tc>
          <w:tcPr>
            <w:tcW w:w="3165" w:type="dxa"/>
            <w:tcBorders>
              <w:top w:val="single" w:color="000000" w:sz="4" w:space="0"/>
              <w:left w:val="single" w:color="000000" w:sz="4" w:space="0"/>
              <w:bottom w:val="single" w:color="000000" w:sz="4" w:space="0"/>
              <w:right w:val="nil"/>
            </w:tcBorders>
            <w:shd w:val="clear" w:color="auto" w:fill="auto"/>
            <w:vAlign w:val="center"/>
          </w:tcPr>
          <w:p>
            <w:pPr>
              <w:rPr>
                <w:rFonts w:ascii="宋体" w:hAnsi="宋体" w:eastAsia="宋体" w:cs="宋体"/>
                <w:color w:val="000000" w:themeColor="text1"/>
                <w:sz w:val="20"/>
                <w:szCs w:val="20"/>
              </w:rPr>
            </w:pP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全年预算数（A）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全年执行数（B）</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执行率%（B/A）</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执行率得分（分）</w:t>
            </w:r>
          </w:p>
        </w:tc>
      </w:tr>
      <w:tr>
        <w:tblPrEx>
          <w:tblCellMar>
            <w:top w:w="0" w:type="dxa"/>
            <w:left w:w="108" w:type="dxa"/>
            <w:bottom w:w="0" w:type="dxa"/>
            <w:right w:w="108" w:type="dxa"/>
          </w:tblCellMar>
        </w:tblPrEx>
        <w:trPr>
          <w:trHeight w:val="3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年度资金总额：</w:t>
            </w: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58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58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w:t>
            </w:r>
          </w:p>
        </w:tc>
      </w:tr>
      <w:tr>
        <w:tblPrEx>
          <w:tblCellMar>
            <w:top w:w="0" w:type="dxa"/>
            <w:left w:w="108" w:type="dxa"/>
            <w:bottom w:w="0" w:type="dxa"/>
            <w:right w:w="108" w:type="dxa"/>
          </w:tblCellMar>
        </w:tblPrEx>
        <w:trPr>
          <w:trHeight w:val="3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其中：中央补助</w:t>
            </w: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eastAsia="宋体" w:cs="宋体"/>
                <w:color w:val="000000" w:themeColor="text1"/>
                <w:sz w:val="20"/>
                <w:szCs w:val="20"/>
                <w:lang w:val="en-US" w:eastAsia="zh-CN"/>
              </w:rPr>
            </w:pPr>
            <w:r>
              <w:rPr>
                <w:rFonts w:hint="eastAsia" w:ascii="宋体" w:hAnsi="宋体" w:eastAsia="宋体" w:cs="宋体"/>
                <w:color w:val="000000" w:themeColor="text1"/>
                <w:kern w:val="0"/>
                <w:sz w:val="20"/>
                <w:szCs w:val="20"/>
              </w:rPr>
              <w:t>1</w:t>
            </w:r>
            <w:r>
              <w:rPr>
                <w:rFonts w:hint="eastAsia" w:ascii="宋体" w:hAnsi="宋体" w:eastAsia="宋体" w:cs="宋体"/>
                <w:color w:val="000000" w:themeColor="text1"/>
                <w:kern w:val="0"/>
                <w:sz w:val="20"/>
                <w:szCs w:val="20"/>
                <w:lang w:val="en-US" w:eastAsia="zh-CN"/>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w:t>
            </w:r>
          </w:p>
        </w:tc>
      </w:tr>
      <w:tr>
        <w:tblPrEx>
          <w:tblCellMar>
            <w:top w:w="0" w:type="dxa"/>
            <w:left w:w="108" w:type="dxa"/>
            <w:bottom w:w="0" w:type="dxa"/>
            <w:right w:w="108" w:type="dxa"/>
          </w:tblCellMar>
        </w:tblPrEx>
        <w:trPr>
          <w:trHeight w:val="37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 xml:space="preserve">     市级补助</w:t>
            </w: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w:t>
            </w:r>
          </w:p>
        </w:tc>
      </w:tr>
      <w:tr>
        <w:tblPrEx>
          <w:tblCellMar>
            <w:top w:w="0" w:type="dxa"/>
            <w:left w:w="108" w:type="dxa"/>
            <w:bottom w:w="0" w:type="dxa"/>
            <w:right w:w="108" w:type="dxa"/>
          </w:tblCellMar>
        </w:tblPrEx>
        <w:trPr>
          <w:trHeight w:val="419"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 xml:space="preserve">     区级资金</w:t>
            </w: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44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44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w:t>
            </w:r>
          </w:p>
        </w:tc>
      </w:tr>
      <w:tr>
        <w:tblPrEx>
          <w:tblCellMar>
            <w:top w:w="0" w:type="dxa"/>
            <w:left w:w="108" w:type="dxa"/>
            <w:bottom w:w="0" w:type="dxa"/>
            <w:right w:w="108" w:type="dxa"/>
          </w:tblCellMar>
        </w:tblPrEx>
        <w:trPr>
          <w:trHeight w:val="33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 xml:space="preserve">     其他资金</w:t>
            </w: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w:t>
            </w:r>
          </w:p>
        </w:tc>
      </w:tr>
      <w:tr>
        <w:tblPrEx>
          <w:tblCellMar>
            <w:top w:w="0" w:type="dxa"/>
            <w:left w:w="108" w:type="dxa"/>
            <w:bottom w:w="0" w:type="dxa"/>
            <w:right w:w="108" w:type="dxa"/>
          </w:tblCellMar>
        </w:tblPrEx>
        <w:trPr>
          <w:trHeight w:val="51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年度总体目标</w:t>
            </w:r>
          </w:p>
        </w:tc>
        <w:tc>
          <w:tcPr>
            <w:tcW w:w="53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年初设定目标</w:t>
            </w:r>
          </w:p>
        </w:tc>
        <w:tc>
          <w:tcPr>
            <w:tcW w:w="28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全年目标实际完成情况</w:t>
            </w:r>
          </w:p>
        </w:tc>
      </w:tr>
      <w:tr>
        <w:tblPrEx>
          <w:tblCellMar>
            <w:top w:w="0" w:type="dxa"/>
            <w:left w:w="108" w:type="dxa"/>
            <w:bottom w:w="0" w:type="dxa"/>
            <w:right w:w="108" w:type="dxa"/>
          </w:tblCellMar>
        </w:tblPrEx>
        <w:trPr>
          <w:trHeight w:val="102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c>
          <w:tcPr>
            <w:tcW w:w="53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资金用于</w:t>
            </w:r>
            <w:r>
              <w:rPr>
                <w:rFonts w:hint="eastAsia" w:ascii="宋体" w:hAnsi="宋体" w:eastAsia="宋体" w:cs="宋体"/>
                <w:color w:val="000000" w:themeColor="text1"/>
                <w:kern w:val="0"/>
                <w:sz w:val="20"/>
                <w:szCs w:val="20"/>
                <w:lang w:val="en-US" w:eastAsia="zh-CN"/>
              </w:rPr>
              <w:t>建设改造王良红军小学</w:t>
            </w:r>
            <w:r>
              <w:rPr>
                <w:rFonts w:hint="eastAsia" w:ascii="宋体" w:hAnsi="宋体" w:eastAsia="宋体" w:cs="宋体"/>
                <w:color w:val="000000" w:themeColor="text1"/>
                <w:kern w:val="0"/>
                <w:sz w:val="20"/>
                <w:szCs w:val="20"/>
              </w:rPr>
              <w:t>，</w:t>
            </w:r>
            <w:r>
              <w:rPr>
                <w:rFonts w:hint="eastAsia" w:ascii="宋体" w:hAnsi="宋体" w:eastAsia="宋体" w:cs="宋体"/>
                <w:color w:val="000000" w:themeColor="text1"/>
                <w:kern w:val="0"/>
                <w:sz w:val="20"/>
                <w:szCs w:val="20"/>
                <w:lang w:val="en-US" w:eastAsia="zh-CN"/>
              </w:rPr>
              <w:t>提升学校的红色校园文化，</w:t>
            </w:r>
            <w:r>
              <w:rPr>
                <w:rFonts w:hint="eastAsia" w:ascii="宋体" w:hAnsi="宋体" w:eastAsia="宋体" w:cs="宋体"/>
                <w:color w:val="000000" w:themeColor="text1"/>
                <w:kern w:val="0"/>
                <w:sz w:val="20"/>
                <w:szCs w:val="20"/>
              </w:rPr>
              <w:t>并在保证质量的情况下合理控制维修改造成本，切实改善学生</w:t>
            </w:r>
            <w:r>
              <w:rPr>
                <w:rFonts w:hint="eastAsia" w:ascii="宋体" w:hAnsi="宋体" w:eastAsia="宋体" w:cs="宋体"/>
                <w:color w:val="000000" w:themeColor="text1"/>
                <w:kern w:val="0"/>
                <w:sz w:val="20"/>
                <w:szCs w:val="20"/>
                <w:lang w:val="en-US" w:eastAsia="zh-CN"/>
              </w:rPr>
              <w:t>学习</w:t>
            </w:r>
            <w:r>
              <w:rPr>
                <w:rFonts w:hint="eastAsia" w:ascii="宋体" w:hAnsi="宋体" w:eastAsia="宋体" w:cs="宋体"/>
                <w:color w:val="000000" w:themeColor="text1"/>
                <w:kern w:val="0"/>
                <w:sz w:val="20"/>
                <w:szCs w:val="20"/>
              </w:rPr>
              <w:t>环境</w:t>
            </w:r>
            <w:r>
              <w:rPr>
                <w:rFonts w:hint="eastAsia" w:ascii="宋体" w:hAnsi="宋体" w:eastAsia="宋体" w:cs="宋体"/>
                <w:color w:val="000000" w:themeColor="text1"/>
                <w:kern w:val="0"/>
                <w:sz w:val="20"/>
                <w:szCs w:val="20"/>
                <w:lang w:eastAsia="zh-CN"/>
              </w:rPr>
              <w:t>，</w:t>
            </w:r>
            <w:r>
              <w:rPr>
                <w:rFonts w:hint="eastAsia" w:ascii="宋体" w:hAnsi="宋体" w:eastAsia="宋体" w:cs="宋体"/>
                <w:color w:val="000000" w:themeColor="text1"/>
                <w:kern w:val="0"/>
                <w:sz w:val="20"/>
                <w:szCs w:val="20"/>
                <w:lang w:val="en-US" w:eastAsia="zh-CN"/>
              </w:rPr>
              <w:t>努力构建绿色，优美的红色文化传承学校</w:t>
            </w:r>
            <w:r>
              <w:rPr>
                <w:rFonts w:hint="eastAsia" w:ascii="宋体" w:hAnsi="宋体" w:eastAsia="宋体" w:cs="宋体"/>
                <w:color w:val="000000" w:themeColor="text1"/>
                <w:kern w:val="0"/>
                <w:sz w:val="20"/>
                <w:szCs w:val="20"/>
              </w:rPr>
              <w:t>。</w:t>
            </w:r>
          </w:p>
        </w:tc>
        <w:tc>
          <w:tcPr>
            <w:tcW w:w="28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kern w:val="0"/>
                <w:sz w:val="20"/>
                <w:szCs w:val="20"/>
                <w:lang w:val="en-US" w:eastAsia="zh-CN"/>
              </w:rPr>
              <w:t>进一步改善了学校的生态环境，办学质量以及校园红色文化建设得到了肯定</w:t>
            </w:r>
            <w:r>
              <w:rPr>
                <w:rFonts w:hint="eastAsia" w:ascii="宋体" w:hAnsi="宋体" w:eastAsia="宋体" w:cs="宋体"/>
                <w:color w:val="000000" w:themeColor="text1"/>
                <w:kern w:val="0"/>
                <w:sz w:val="20"/>
                <w:szCs w:val="20"/>
              </w:rPr>
              <w:t>。</w:t>
            </w:r>
            <w:r>
              <w:rPr>
                <w:rFonts w:hint="eastAsia" w:ascii="宋体" w:hAnsi="宋体" w:eastAsia="宋体" w:cs="宋体"/>
                <w:color w:val="000000" w:themeColor="text1"/>
                <w:kern w:val="0"/>
                <w:sz w:val="20"/>
                <w:szCs w:val="20"/>
                <w:lang w:val="en-US" w:eastAsia="zh-CN"/>
              </w:rPr>
              <w:t>学校生态环境以及办学质量进一步地得到了提高</w:t>
            </w:r>
          </w:p>
        </w:tc>
      </w:tr>
      <w:tr>
        <w:tblPrEx>
          <w:tblCellMar>
            <w:top w:w="0" w:type="dxa"/>
            <w:left w:w="108" w:type="dxa"/>
            <w:bottom w:w="0" w:type="dxa"/>
            <w:right w:w="108" w:type="dxa"/>
          </w:tblCellMar>
        </w:tblPrEx>
        <w:trPr>
          <w:trHeight w:val="72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绩效指标</w:t>
            </w: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指标名称</w:t>
            </w:r>
            <w:r>
              <w:rPr>
                <w:rFonts w:hint="eastAsia" w:ascii="宋体" w:hAnsi="宋体" w:eastAsia="宋体" w:cs="宋体"/>
                <w:color w:val="000000" w:themeColor="text1"/>
                <w:kern w:val="0"/>
                <w:sz w:val="20"/>
                <w:szCs w:val="20"/>
              </w:rPr>
              <w:br w:type="textWrapping"/>
            </w:r>
            <w:r>
              <w:rPr>
                <w:rFonts w:hint="eastAsia" w:ascii="宋体" w:hAnsi="宋体" w:eastAsia="宋体" w:cs="宋体"/>
                <w:color w:val="000000" w:themeColor="text1"/>
                <w:kern w:val="0"/>
                <w:sz w:val="20"/>
                <w:szCs w:val="20"/>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计量单位</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指标权重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指标值</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全年完成值</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得分系数（%）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指标得分</w:t>
            </w:r>
            <w:r>
              <w:rPr>
                <w:rFonts w:hint="eastAsia" w:ascii="宋体" w:hAnsi="宋体" w:eastAsia="宋体" w:cs="宋体"/>
                <w:color w:val="000000" w:themeColor="text1"/>
                <w:kern w:val="0"/>
                <w:sz w:val="20"/>
                <w:szCs w:val="20"/>
              </w:rPr>
              <w:br w:type="textWrapping"/>
            </w:r>
            <w:r>
              <w:rPr>
                <w:rFonts w:hint="eastAsia" w:ascii="宋体" w:hAnsi="宋体" w:eastAsia="宋体" w:cs="宋体"/>
                <w:color w:val="000000" w:themeColor="text1"/>
                <w:kern w:val="0"/>
                <w:sz w:val="20"/>
                <w:szCs w:val="20"/>
              </w:rPr>
              <w:t>（分)</w:t>
            </w:r>
          </w:p>
        </w:tc>
      </w:tr>
      <w:tr>
        <w:tblPrEx>
          <w:tblCellMar>
            <w:top w:w="0" w:type="dxa"/>
            <w:left w:w="108" w:type="dxa"/>
            <w:bottom w:w="0" w:type="dxa"/>
            <w:right w:w="108" w:type="dxa"/>
          </w:tblCellMar>
        </w:tblPrEx>
        <w:trPr>
          <w:trHeight w:val="58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改造维修面积</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平方米</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285000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163147%</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17</w:t>
            </w:r>
          </w:p>
        </w:tc>
      </w:tr>
      <w:tr>
        <w:tblPrEx>
          <w:tblCellMar>
            <w:top w:w="0" w:type="dxa"/>
            <w:left w:w="108" w:type="dxa"/>
            <w:bottom w:w="0" w:type="dxa"/>
            <w:right w:w="108" w:type="dxa"/>
          </w:tblCellMar>
        </w:tblPrEx>
        <w:trPr>
          <w:trHeight w:val="60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工程验收合格率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w:t>
            </w:r>
            <w:bookmarkStart w:id="0" w:name="_GoBack"/>
            <w:bookmarkEnd w:id="0"/>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18</w:t>
            </w:r>
          </w:p>
        </w:tc>
      </w:tr>
      <w:tr>
        <w:tblPrEx>
          <w:tblCellMar>
            <w:top w:w="0" w:type="dxa"/>
            <w:left w:w="108" w:type="dxa"/>
            <w:bottom w:w="0" w:type="dxa"/>
            <w:right w:w="108" w:type="dxa"/>
          </w:tblCellMar>
        </w:tblPrEx>
        <w:trPr>
          <w:trHeight w:val="60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工程完成率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w:t>
            </w:r>
          </w:p>
        </w:tc>
      </w:tr>
      <w:tr>
        <w:tblPrEx>
          <w:tblCellMar>
            <w:top w:w="0" w:type="dxa"/>
            <w:left w:w="108" w:type="dxa"/>
            <w:bottom w:w="0" w:type="dxa"/>
            <w:right w:w="108" w:type="dxa"/>
          </w:tblCellMar>
        </w:tblPrEx>
        <w:trPr>
          <w:trHeight w:val="60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维修成本</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元/平方</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88.88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88.88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18</w:t>
            </w:r>
          </w:p>
        </w:tc>
      </w:tr>
      <w:tr>
        <w:tblPrEx>
          <w:tblCellMar>
            <w:top w:w="0" w:type="dxa"/>
            <w:left w:w="108" w:type="dxa"/>
            <w:bottom w:w="0" w:type="dxa"/>
            <w:right w:w="108" w:type="dxa"/>
          </w:tblCellMar>
        </w:tblPrEx>
        <w:trPr>
          <w:trHeight w:val="64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受益师生</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人</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423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宋体" w:hAnsi="宋体" w:eastAsia="宋体" w:cs="宋体"/>
                <w:color w:val="000000" w:themeColor="text1"/>
                <w:sz w:val="20"/>
                <w:szCs w:val="20"/>
                <w:lang w:val="en-US" w:eastAsia="zh-CN"/>
              </w:rPr>
            </w:pPr>
            <w:r>
              <w:rPr>
                <w:rFonts w:hint="eastAsia" w:ascii="宋体" w:hAnsi="宋体" w:eastAsia="宋体" w:cs="宋体"/>
                <w:color w:val="000000" w:themeColor="text1"/>
                <w:sz w:val="20"/>
                <w:szCs w:val="20"/>
                <w:lang w:val="en-US" w:eastAsia="zh-CN"/>
              </w:rPr>
              <w:t>423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w:t>
            </w:r>
          </w:p>
        </w:tc>
      </w:tr>
      <w:tr>
        <w:tblPrEx>
          <w:tblCellMar>
            <w:top w:w="0" w:type="dxa"/>
            <w:left w:w="108" w:type="dxa"/>
            <w:bottom w:w="0" w:type="dxa"/>
            <w:right w:w="108" w:type="dxa"/>
          </w:tblCellMar>
        </w:tblPrEx>
        <w:trPr>
          <w:trHeight w:val="61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师生满意率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w:t>
            </w:r>
          </w:p>
        </w:tc>
      </w:tr>
      <w:tr>
        <w:tblPrEx>
          <w:tblCellMar>
            <w:top w:w="0" w:type="dxa"/>
            <w:left w:w="108" w:type="dxa"/>
            <w:bottom w:w="0" w:type="dxa"/>
            <w:right w:w="108" w:type="dxa"/>
          </w:tblCellMar>
        </w:tblPrEx>
        <w:trPr>
          <w:trHeight w:val="63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rFonts w:ascii="宋体" w:hAnsi="宋体" w:eastAsia="宋体" w:cs="宋体"/>
                <w:color w:val="000000" w:themeColor="text1"/>
                <w:sz w:val="20"/>
                <w:szCs w:val="20"/>
              </w:rPr>
            </w:pPr>
          </w:p>
        </w:tc>
        <w:tc>
          <w:tcPr>
            <w:tcW w:w="31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社会满意率</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w:t>
            </w:r>
          </w:p>
        </w:tc>
        <w:tc>
          <w:tcPr>
            <w:tcW w:w="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10</w:t>
            </w:r>
          </w:p>
        </w:tc>
      </w:tr>
      <w:tr>
        <w:tblPrEx>
          <w:tblCellMar>
            <w:top w:w="0" w:type="dxa"/>
            <w:left w:w="108" w:type="dxa"/>
            <w:bottom w:w="0" w:type="dxa"/>
            <w:right w:w="108" w:type="dxa"/>
          </w:tblCellMar>
        </w:tblPrEx>
        <w:trPr>
          <w:trHeight w:val="1670"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未完成绩效目标或偏离较多的原因、改进措施及其他说明</w:t>
            </w:r>
          </w:p>
        </w:tc>
        <w:tc>
          <w:tcPr>
            <w:tcW w:w="817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themeColor="text1"/>
                <w:sz w:val="20"/>
                <w:szCs w:val="20"/>
              </w:rPr>
            </w:pPr>
          </w:p>
        </w:tc>
      </w:tr>
      <w:tr>
        <w:tblPrEx>
          <w:tblCellMar>
            <w:top w:w="0" w:type="dxa"/>
            <w:left w:w="108" w:type="dxa"/>
            <w:bottom w:w="0" w:type="dxa"/>
            <w:right w:w="108" w:type="dxa"/>
          </w:tblCellMar>
        </w:tblPrEx>
        <w:trPr>
          <w:trHeight w:val="280" w:hRule="atLeast"/>
        </w:trPr>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r>
      <w:tr>
        <w:tblPrEx>
          <w:tblCellMar>
            <w:top w:w="0" w:type="dxa"/>
            <w:left w:w="108" w:type="dxa"/>
            <w:bottom w:w="0" w:type="dxa"/>
            <w:right w:w="108" w:type="dxa"/>
          </w:tblCellMar>
        </w:tblPrEx>
        <w:trPr>
          <w:trHeight w:val="280" w:hRule="atLeast"/>
        </w:trPr>
        <w:tc>
          <w:tcPr>
            <w:tcW w:w="4110" w:type="dxa"/>
            <w:gridSpan w:val="2"/>
            <w:tcBorders>
              <w:top w:val="nil"/>
              <w:left w:val="nil"/>
              <w:bottom w:val="nil"/>
              <w:right w:val="nil"/>
            </w:tcBorders>
            <w:shd w:val="clear" w:color="auto" w:fill="auto"/>
            <w:vAlign w:val="center"/>
          </w:tcPr>
          <w:p>
            <w:pPr>
              <w:widowControl/>
              <w:jc w:val="left"/>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 xml:space="preserve"> 预算单位主要领导： </w:t>
            </w:r>
            <w:r>
              <w:rPr>
                <w:rFonts w:hint="eastAsia" w:ascii="宋体" w:hAnsi="宋体" w:eastAsia="宋体" w:cs="宋体"/>
                <w:color w:val="000000" w:themeColor="text1"/>
                <w:kern w:val="0"/>
                <w:sz w:val="20"/>
                <w:szCs w:val="20"/>
                <w:lang w:val="en-US" w:eastAsia="zh-CN"/>
              </w:rPr>
              <w:t>江勇</w:t>
            </w:r>
            <w:r>
              <w:rPr>
                <w:rFonts w:hint="eastAsia" w:ascii="宋体" w:hAnsi="宋体" w:eastAsia="宋体" w:cs="宋体"/>
                <w:color w:val="000000" w:themeColor="text1"/>
                <w:kern w:val="0"/>
                <w:sz w:val="20"/>
                <w:szCs w:val="20"/>
              </w:rPr>
              <w:t xml:space="preserve">          </w:t>
            </w:r>
          </w:p>
        </w:tc>
        <w:tc>
          <w:tcPr>
            <w:tcW w:w="2160" w:type="dxa"/>
            <w:gridSpan w:val="3"/>
            <w:tcBorders>
              <w:top w:val="nil"/>
              <w:left w:val="nil"/>
              <w:bottom w:val="nil"/>
              <w:right w:val="nil"/>
            </w:tcBorders>
            <w:shd w:val="clear" w:color="auto" w:fill="auto"/>
            <w:vAlign w:val="center"/>
          </w:tcPr>
          <w:p>
            <w:pPr>
              <w:widowControl/>
              <w:jc w:val="right"/>
              <w:textAlignment w:val="center"/>
              <w:rPr>
                <w:rFonts w:hint="eastAsia" w:ascii="宋体" w:hAnsi="宋体" w:eastAsia="宋体" w:cs="宋体"/>
                <w:color w:val="000000" w:themeColor="text1"/>
                <w:sz w:val="20"/>
                <w:szCs w:val="20"/>
                <w:lang w:eastAsia="zh-CN"/>
              </w:rPr>
            </w:pPr>
            <w:r>
              <w:rPr>
                <w:rFonts w:hint="eastAsia" w:ascii="宋体" w:hAnsi="宋体" w:eastAsia="宋体" w:cs="宋体"/>
                <w:color w:val="000000" w:themeColor="text1"/>
                <w:kern w:val="0"/>
                <w:sz w:val="20"/>
                <w:szCs w:val="20"/>
              </w:rPr>
              <w:t>绩效评价负责人：</w:t>
            </w:r>
            <w:r>
              <w:rPr>
                <w:rFonts w:hint="eastAsia" w:ascii="宋体" w:hAnsi="宋体" w:eastAsia="宋体" w:cs="宋体"/>
                <w:color w:val="000000" w:themeColor="text1"/>
                <w:kern w:val="0"/>
                <w:sz w:val="20"/>
                <w:szCs w:val="20"/>
                <w:lang w:val="en-US" w:eastAsia="zh-CN"/>
              </w:rPr>
              <w:t>罗鑫</w:t>
            </w:r>
          </w:p>
        </w:tc>
        <w:tc>
          <w:tcPr>
            <w:tcW w:w="1080" w:type="dxa"/>
            <w:gridSpan w:val="2"/>
            <w:tcBorders>
              <w:top w:val="nil"/>
              <w:left w:val="nil"/>
              <w:bottom w:val="nil"/>
              <w:right w:val="nil"/>
            </w:tcBorders>
            <w:shd w:val="clear" w:color="auto" w:fill="auto"/>
            <w:vAlign w:val="center"/>
          </w:tcPr>
          <w:p>
            <w:pPr>
              <w:widowControl/>
              <w:jc w:val="right"/>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经办人：</w:t>
            </w:r>
          </w:p>
        </w:tc>
        <w:tc>
          <w:tcPr>
            <w:tcW w:w="885" w:type="dxa"/>
            <w:tcBorders>
              <w:top w:val="nil"/>
              <w:left w:val="nil"/>
              <w:bottom w:val="nil"/>
              <w:right w:val="nil"/>
            </w:tcBorders>
            <w:shd w:val="clear" w:color="auto" w:fill="auto"/>
            <w:vAlign w:val="center"/>
          </w:tcPr>
          <w:p>
            <w:pPr>
              <w:widowControl/>
              <w:jc w:val="right"/>
              <w:textAlignment w:val="center"/>
              <w:rPr>
                <w:rFonts w:hint="eastAsia" w:ascii="宋体" w:hAnsi="宋体" w:eastAsia="宋体" w:cs="宋体"/>
                <w:color w:val="000000" w:themeColor="text1"/>
                <w:sz w:val="20"/>
                <w:szCs w:val="20"/>
                <w:lang w:eastAsia="zh-CN"/>
              </w:rPr>
            </w:pPr>
            <w:r>
              <w:rPr>
                <w:rFonts w:hint="eastAsia" w:ascii="宋体" w:hAnsi="宋体" w:eastAsia="宋体" w:cs="宋体"/>
                <w:color w:val="000000" w:themeColor="text1"/>
                <w:kern w:val="0"/>
                <w:sz w:val="20"/>
                <w:szCs w:val="20"/>
                <w:lang w:val="en-US" w:eastAsia="zh-CN"/>
              </w:rPr>
              <w:t>向永凤</w:t>
            </w:r>
          </w:p>
        </w:tc>
        <w:tc>
          <w:tcPr>
            <w:tcW w:w="0" w:type="auto"/>
            <w:tcBorders>
              <w:top w:val="nil"/>
              <w:left w:val="nil"/>
              <w:bottom w:val="nil"/>
              <w:right w:val="nil"/>
            </w:tcBorders>
            <w:shd w:val="clear" w:color="auto" w:fill="auto"/>
            <w:noWrap/>
            <w:vAlign w:val="center"/>
          </w:tcPr>
          <w:p>
            <w:pPr>
              <w:rPr>
                <w:rFonts w:ascii="宋体" w:hAnsi="宋体" w:eastAsia="宋体" w:cs="宋体"/>
                <w:color w:val="000000" w:themeColor="text1"/>
                <w:sz w:val="22"/>
              </w:rPr>
            </w:pPr>
          </w:p>
        </w:tc>
      </w:tr>
    </w:tbl>
    <w:p>
      <w:pPr>
        <w:widowControl/>
        <w:shd w:val="clear" w:color="auto" w:fill="FFFFFF"/>
        <w:spacing w:before="100" w:beforeAutospacing="1" w:after="100" w:afterAutospacing="1"/>
        <w:jc w:val="left"/>
        <w:rPr>
          <w:rFonts w:ascii="宋体" w:hAnsi="宋体" w:eastAsia="宋体" w:cs="宋体"/>
          <w:b/>
          <w:bCs/>
          <w:color w:val="000000" w:themeColor="text1"/>
          <w:kern w:val="0"/>
          <w:sz w:val="27"/>
          <w:szCs w:val="27"/>
        </w:rPr>
      </w:pPr>
    </w:p>
    <w:p>
      <w:pPr>
        <w:widowControl/>
        <w:shd w:val="clear" w:color="auto" w:fill="FFFFFF"/>
        <w:spacing w:line="600" w:lineRule="exact"/>
        <w:ind w:firstLine="542" w:firstLineChars="200"/>
        <w:jc w:val="left"/>
        <w:rPr>
          <w:rFonts w:ascii="宋体" w:hAnsi="宋体" w:eastAsia="宋体" w:cs="宋体"/>
          <w:color w:val="000000" w:themeColor="text1"/>
          <w:kern w:val="0"/>
          <w:sz w:val="18"/>
          <w:szCs w:val="18"/>
        </w:rPr>
      </w:pPr>
      <w:r>
        <w:rPr>
          <w:rFonts w:hint="eastAsia" w:ascii="宋体" w:hAnsi="宋体" w:eastAsia="宋体" w:cs="宋体"/>
          <w:b/>
          <w:bCs/>
          <w:color w:val="000000" w:themeColor="text1"/>
          <w:kern w:val="0"/>
          <w:sz w:val="27"/>
          <w:szCs w:val="27"/>
        </w:rPr>
        <w:t>2.绩效自评报告或案例</w:t>
      </w:r>
    </w:p>
    <w:p>
      <w:pPr>
        <w:widowControl/>
        <w:shd w:val="clear" w:color="auto" w:fill="FFFFFF"/>
        <w:spacing w:line="600" w:lineRule="exact"/>
        <w:ind w:firstLine="540" w:firstLineChars="200"/>
        <w:jc w:val="left"/>
        <w:rPr>
          <w:rFonts w:ascii="宋体" w:hAnsi="宋体" w:eastAsia="宋体" w:cs="宋体"/>
          <w:color w:val="000000" w:themeColor="text1"/>
          <w:kern w:val="0"/>
          <w:sz w:val="27"/>
          <w:szCs w:val="27"/>
        </w:rPr>
      </w:pPr>
      <w:r>
        <w:rPr>
          <w:rFonts w:hint="eastAsia" w:ascii="宋体" w:hAnsi="宋体" w:eastAsia="宋体" w:cs="宋体"/>
          <w:color w:val="000000" w:themeColor="text1"/>
          <w:kern w:val="0"/>
          <w:sz w:val="27"/>
          <w:szCs w:val="27"/>
        </w:rPr>
        <w:t>本单位未委托第三方形式开展绩效自评。</w:t>
      </w:r>
    </w:p>
    <w:p>
      <w:pPr>
        <w:widowControl/>
        <w:shd w:val="clear" w:color="auto" w:fill="FFFFFF"/>
        <w:spacing w:line="600" w:lineRule="exact"/>
        <w:ind w:firstLine="482" w:firstLineChars="150"/>
        <w:jc w:val="left"/>
        <w:rPr>
          <w:rFonts w:ascii="方正楷体_GBK" w:hAnsi="宋体" w:eastAsia="方正楷体_GBK" w:cs="宋体"/>
          <w:b/>
          <w:bCs/>
          <w:color w:val="000000" w:themeColor="text1"/>
          <w:kern w:val="0"/>
          <w:sz w:val="32"/>
          <w:szCs w:val="32"/>
        </w:rPr>
      </w:pPr>
      <w:r>
        <w:rPr>
          <w:rFonts w:hint="eastAsia" w:ascii="方正楷体_GBK" w:hAnsi="宋体" w:eastAsia="方正楷体_GBK" w:cs="宋体"/>
          <w:b/>
          <w:bCs/>
          <w:color w:val="000000" w:themeColor="text1"/>
          <w:kern w:val="0"/>
          <w:sz w:val="32"/>
          <w:szCs w:val="32"/>
        </w:rPr>
        <w:t>（三）重点绩效评价结果</w:t>
      </w:r>
    </w:p>
    <w:p>
      <w:pPr>
        <w:widowControl/>
        <w:shd w:val="clear" w:color="auto" w:fill="FFFFFF"/>
        <w:spacing w:line="600" w:lineRule="exact"/>
        <w:ind w:firstLine="540" w:firstLineChars="200"/>
        <w:jc w:val="left"/>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7"/>
          <w:szCs w:val="27"/>
        </w:rPr>
        <w:t>本单位未委托第三方形式开展绩效自评。</w:t>
      </w:r>
    </w:p>
    <w:p>
      <w:pPr>
        <w:widowControl/>
        <w:shd w:val="clear" w:color="auto" w:fill="FFFFFF"/>
        <w:spacing w:line="600" w:lineRule="exact"/>
        <w:ind w:firstLine="643" w:firstLineChars="200"/>
        <w:jc w:val="left"/>
        <w:rPr>
          <w:rFonts w:ascii="方正黑体_GBK" w:hAnsi="宋体" w:eastAsia="方正黑体_GBK" w:cs="宋体"/>
          <w:b/>
          <w:bCs/>
          <w:color w:val="000000" w:themeColor="text1"/>
          <w:kern w:val="0"/>
          <w:sz w:val="32"/>
          <w:szCs w:val="32"/>
        </w:rPr>
      </w:pPr>
      <w:r>
        <w:rPr>
          <w:rFonts w:hint="eastAsia" w:ascii="方正黑体_GBK" w:hAnsi="宋体" w:eastAsia="方正黑体_GBK" w:cs="宋体"/>
          <w:b/>
          <w:bCs/>
          <w:color w:val="000000" w:themeColor="text1"/>
          <w:kern w:val="0"/>
          <w:sz w:val="32"/>
          <w:szCs w:val="32"/>
        </w:rPr>
        <w:t>六、专业名词解释</w:t>
      </w:r>
    </w:p>
    <w:p>
      <w:pPr>
        <w:widowControl/>
        <w:shd w:val="clear" w:color="auto" w:fill="FFFFFF"/>
        <w:spacing w:line="600" w:lineRule="exact"/>
        <w:ind w:firstLine="643" w:firstLineChars="200"/>
        <w:jc w:val="left"/>
        <w:rPr>
          <w:rFonts w:ascii="宋体" w:hAnsi="宋体" w:eastAsia="宋体" w:cs="宋体"/>
          <w:color w:val="000000" w:themeColor="text1"/>
          <w:kern w:val="0"/>
          <w:sz w:val="18"/>
          <w:szCs w:val="18"/>
        </w:rPr>
      </w:pPr>
      <w:r>
        <w:rPr>
          <w:rFonts w:hint="eastAsia" w:ascii="方正楷体_GBK" w:hAnsi="宋体" w:eastAsia="方正楷体_GBK" w:cs="宋体"/>
          <w:b/>
          <w:bCs/>
          <w:color w:val="000000" w:themeColor="text1"/>
          <w:kern w:val="0"/>
          <w:sz w:val="32"/>
          <w:szCs w:val="32"/>
        </w:rPr>
        <w:t>（一）财政拨款收入</w:t>
      </w:r>
      <w:r>
        <w:rPr>
          <w:rFonts w:hint="eastAsia" w:ascii="宋体" w:hAnsi="宋体" w:eastAsia="宋体" w:cs="宋体"/>
          <w:color w:val="000000" w:themeColor="text1"/>
          <w:kern w:val="0"/>
          <w:sz w:val="27"/>
          <w:szCs w:val="27"/>
        </w:rPr>
        <w:t>：指本年度从本级财政部门取得的财政拨款，包括一般公共预算财政拨款和政府性基金预算财政拨款。</w:t>
      </w:r>
    </w:p>
    <w:p>
      <w:pPr>
        <w:widowControl/>
        <w:shd w:val="clear" w:color="auto" w:fill="FFFFFF"/>
        <w:spacing w:line="600" w:lineRule="exact"/>
        <w:ind w:firstLine="643" w:firstLineChars="200"/>
        <w:jc w:val="left"/>
        <w:rPr>
          <w:rFonts w:ascii="宋体" w:hAnsi="宋体" w:eastAsia="宋体" w:cs="宋体"/>
          <w:color w:val="000000" w:themeColor="text1"/>
          <w:kern w:val="0"/>
          <w:sz w:val="18"/>
          <w:szCs w:val="18"/>
        </w:rPr>
      </w:pPr>
      <w:r>
        <w:rPr>
          <w:rFonts w:hint="eastAsia" w:ascii="方正楷体_GBK" w:hAnsi="宋体" w:eastAsia="方正楷体_GBK" w:cs="宋体"/>
          <w:b/>
          <w:bCs/>
          <w:color w:val="000000" w:themeColor="text1"/>
          <w:kern w:val="0"/>
          <w:sz w:val="32"/>
          <w:szCs w:val="32"/>
        </w:rPr>
        <w:t>（二）事业收入</w:t>
      </w:r>
      <w:r>
        <w:rPr>
          <w:rFonts w:hint="eastAsia" w:ascii="宋体" w:hAnsi="宋体" w:eastAsia="宋体" w:cs="宋体"/>
          <w:color w:val="000000" w:themeColor="text1"/>
          <w:kern w:val="0"/>
          <w:sz w:val="27"/>
          <w:szCs w:val="27"/>
        </w:rPr>
        <w:t>：指事业单位开展专业业务活动及其辅助活动取得的现金流入；事业单位收到的财政专户实际核拨的教育收费等资金在此反映。</w:t>
      </w:r>
    </w:p>
    <w:p>
      <w:pPr>
        <w:widowControl/>
        <w:shd w:val="clear" w:color="auto" w:fill="FFFFFF"/>
        <w:spacing w:line="600" w:lineRule="exact"/>
        <w:ind w:firstLine="643" w:firstLineChars="200"/>
        <w:jc w:val="left"/>
        <w:rPr>
          <w:rFonts w:ascii="宋体" w:hAnsi="宋体" w:eastAsia="宋体" w:cs="宋体"/>
          <w:color w:val="000000" w:themeColor="text1"/>
          <w:kern w:val="0"/>
          <w:sz w:val="18"/>
          <w:szCs w:val="18"/>
        </w:rPr>
      </w:pPr>
      <w:r>
        <w:rPr>
          <w:rFonts w:hint="eastAsia" w:ascii="方正楷体_GBK" w:hAnsi="宋体" w:eastAsia="方正楷体_GBK" w:cs="宋体"/>
          <w:b/>
          <w:bCs/>
          <w:color w:val="000000" w:themeColor="text1"/>
          <w:kern w:val="0"/>
          <w:sz w:val="32"/>
          <w:szCs w:val="32"/>
        </w:rPr>
        <w:t>（三）经营收入</w:t>
      </w:r>
      <w:r>
        <w:rPr>
          <w:rFonts w:hint="eastAsia" w:ascii="宋体" w:hAnsi="宋体" w:eastAsia="宋体" w:cs="宋体"/>
          <w:color w:val="000000" w:themeColor="text1"/>
          <w:kern w:val="0"/>
          <w:sz w:val="27"/>
          <w:szCs w:val="27"/>
        </w:rPr>
        <w:t>：指事业单位在专业业务活动及其辅助活动之外开展非独立核算经营活动取得的现金流入。</w:t>
      </w:r>
    </w:p>
    <w:p>
      <w:pPr>
        <w:widowControl/>
        <w:shd w:val="clear" w:color="auto" w:fill="FFFFFF"/>
        <w:spacing w:line="600" w:lineRule="exact"/>
        <w:ind w:firstLine="643" w:firstLineChars="200"/>
        <w:jc w:val="left"/>
        <w:rPr>
          <w:rFonts w:ascii="宋体" w:hAnsi="宋体" w:eastAsia="宋体" w:cs="宋体"/>
          <w:color w:val="000000" w:themeColor="text1"/>
          <w:kern w:val="0"/>
          <w:sz w:val="18"/>
          <w:szCs w:val="18"/>
        </w:rPr>
      </w:pPr>
      <w:r>
        <w:rPr>
          <w:rFonts w:hint="eastAsia" w:ascii="方正楷体_GBK" w:hAnsi="宋体" w:eastAsia="方正楷体_GBK" w:cs="宋体"/>
          <w:b/>
          <w:bCs/>
          <w:color w:val="000000" w:themeColor="text1"/>
          <w:kern w:val="0"/>
          <w:sz w:val="32"/>
          <w:szCs w:val="32"/>
        </w:rPr>
        <w:t>（四）其他收入：</w:t>
      </w:r>
      <w:r>
        <w:rPr>
          <w:rFonts w:hint="eastAsia" w:ascii="宋体" w:hAnsi="宋体" w:eastAsia="宋体" w:cs="宋体"/>
          <w:color w:val="000000" w:themeColor="text1"/>
          <w:kern w:val="0"/>
          <w:sz w:val="27"/>
          <w:szCs w:val="27"/>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widowControl/>
        <w:shd w:val="clear" w:color="auto" w:fill="FFFFFF"/>
        <w:spacing w:line="600" w:lineRule="exact"/>
        <w:ind w:firstLine="643" w:firstLineChars="200"/>
        <w:jc w:val="left"/>
        <w:rPr>
          <w:rFonts w:ascii="宋体" w:hAnsi="宋体" w:eastAsia="宋体" w:cs="宋体"/>
          <w:color w:val="000000" w:themeColor="text1"/>
          <w:kern w:val="0"/>
          <w:sz w:val="18"/>
          <w:szCs w:val="18"/>
        </w:rPr>
      </w:pPr>
      <w:r>
        <w:rPr>
          <w:rFonts w:hint="eastAsia" w:ascii="方正楷体_GBK" w:hAnsi="宋体" w:eastAsia="方正楷体_GBK" w:cs="宋体"/>
          <w:b/>
          <w:bCs/>
          <w:color w:val="000000" w:themeColor="text1"/>
          <w:kern w:val="0"/>
          <w:sz w:val="32"/>
          <w:szCs w:val="32"/>
        </w:rPr>
        <w:t>（五）使用非财政拨款结余：</w:t>
      </w:r>
      <w:r>
        <w:rPr>
          <w:rFonts w:hint="eastAsia" w:ascii="宋体" w:hAnsi="宋体" w:eastAsia="宋体" w:cs="宋体"/>
          <w:color w:val="000000" w:themeColor="text1"/>
          <w:kern w:val="0"/>
          <w:sz w:val="27"/>
          <w:szCs w:val="27"/>
        </w:rPr>
        <w:t>指单位在当年的“财政拨款收入”、“事业收入”、“经营收入”、“其他收入”等不足以安排当年支出的情况下，使用以前年度积累的非财政拨款结余弥补本年度收支缺口的资金。</w:t>
      </w:r>
    </w:p>
    <w:p>
      <w:pPr>
        <w:widowControl/>
        <w:shd w:val="clear" w:color="auto" w:fill="FFFFFF"/>
        <w:spacing w:line="600" w:lineRule="exact"/>
        <w:ind w:firstLine="643" w:firstLineChars="200"/>
        <w:jc w:val="left"/>
        <w:rPr>
          <w:rFonts w:ascii="宋体" w:hAnsi="宋体" w:eastAsia="宋体" w:cs="宋体"/>
          <w:color w:val="000000" w:themeColor="text1"/>
          <w:kern w:val="0"/>
          <w:sz w:val="18"/>
          <w:szCs w:val="18"/>
        </w:rPr>
      </w:pPr>
      <w:r>
        <w:rPr>
          <w:rFonts w:hint="eastAsia" w:ascii="方正楷体_GBK" w:hAnsi="宋体" w:eastAsia="方正楷体_GBK" w:cs="宋体"/>
          <w:b/>
          <w:bCs/>
          <w:color w:val="000000" w:themeColor="text1"/>
          <w:kern w:val="0"/>
          <w:sz w:val="32"/>
          <w:szCs w:val="32"/>
        </w:rPr>
        <w:t>（六）年初结转和结余：</w:t>
      </w:r>
      <w:r>
        <w:rPr>
          <w:rFonts w:hint="eastAsia" w:ascii="宋体" w:hAnsi="宋体" w:eastAsia="宋体" w:cs="宋体"/>
          <w:color w:val="000000" w:themeColor="text1"/>
          <w:kern w:val="0"/>
          <w:sz w:val="27"/>
          <w:szCs w:val="27"/>
        </w:rPr>
        <w:t>指单位上年结转本年使用的基本支出结转、项目支出结转和结余、经营结余。</w:t>
      </w:r>
    </w:p>
    <w:p>
      <w:pPr>
        <w:widowControl/>
        <w:shd w:val="clear" w:color="auto" w:fill="FFFFFF"/>
        <w:spacing w:line="600" w:lineRule="exact"/>
        <w:ind w:firstLine="643" w:firstLineChars="200"/>
        <w:jc w:val="left"/>
        <w:rPr>
          <w:rFonts w:ascii="宋体" w:hAnsi="宋体" w:eastAsia="宋体" w:cs="宋体"/>
          <w:color w:val="000000" w:themeColor="text1"/>
          <w:kern w:val="0"/>
          <w:sz w:val="18"/>
          <w:szCs w:val="18"/>
        </w:rPr>
      </w:pPr>
      <w:r>
        <w:rPr>
          <w:rFonts w:hint="eastAsia" w:ascii="方正楷体_GBK" w:hAnsi="宋体" w:eastAsia="方正楷体_GBK" w:cs="宋体"/>
          <w:b/>
          <w:bCs/>
          <w:color w:val="000000" w:themeColor="text1"/>
          <w:kern w:val="0"/>
          <w:sz w:val="32"/>
          <w:szCs w:val="32"/>
        </w:rPr>
        <w:t>（七）结余分配：</w:t>
      </w:r>
      <w:r>
        <w:rPr>
          <w:rFonts w:hint="eastAsia" w:ascii="宋体" w:hAnsi="宋体" w:eastAsia="宋体" w:cs="宋体"/>
          <w:color w:val="000000" w:themeColor="text1"/>
          <w:kern w:val="0"/>
          <w:sz w:val="27"/>
          <w:szCs w:val="27"/>
        </w:rPr>
        <w:t>指单位按照国家有关规定，缴纳所得税、提取专用基金、转入非财政拨款结余等当年结余的分配情况。</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color w:val="000000" w:themeColor="text1"/>
          <w:kern w:val="0"/>
          <w:sz w:val="32"/>
          <w:szCs w:val="32"/>
        </w:rPr>
        <w:t>（八）年末结转和结余：</w:t>
      </w:r>
      <w:r>
        <w:rPr>
          <w:rFonts w:hint="eastAsia" w:ascii="宋体" w:hAnsi="宋体" w:eastAsia="宋体" w:cs="宋体"/>
          <w:color w:val="000000" w:themeColor="text1"/>
          <w:kern w:val="0"/>
          <w:sz w:val="27"/>
          <w:szCs w:val="27"/>
        </w:rPr>
        <w:t>指单位结转下年的基本支</w:t>
      </w:r>
      <w:r>
        <w:rPr>
          <w:rFonts w:hint="eastAsia" w:ascii="宋体" w:hAnsi="宋体" w:eastAsia="宋体" w:cs="宋体"/>
          <w:kern w:val="0"/>
          <w:sz w:val="27"/>
          <w:szCs w:val="27"/>
        </w:rPr>
        <w:t>出结转、项目支出结转和结余、经营结余。</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kern w:val="0"/>
          <w:sz w:val="32"/>
          <w:szCs w:val="32"/>
        </w:rPr>
        <w:t>（九）基本支出：</w:t>
      </w:r>
      <w:r>
        <w:rPr>
          <w:rFonts w:hint="eastAsia" w:ascii="宋体" w:hAnsi="宋体" w:eastAsia="宋体" w:cs="宋体"/>
          <w:kern w:val="0"/>
          <w:sz w:val="27"/>
          <w:szCs w:val="27"/>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kern w:val="0"/>
          <w:sz w:val="32"/>
          <w:szCs w:val="32"/>
        </w:rPr>
        <w:t>（十）项目支出：</w:t>
      </w:r>
      <w:r>
        <w:rPr>
          <w:rFonts w:hint="eastAsia" w:ascii="宋体" w:hAnsi="宋体" w:eastAsia="宋体" w:cs="宋体"/>
          <w:kern w:val="0"/>
          <w:sz w:val="27"/>
          <w:szCs w:val="27"/>
        </w:rPr>
        <w:t>指在基本支出之外为完成特定行政任务和事业发展目标所发生的支出。</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kern w:val="0"/>
          <w:sz w:val="32"/>
          <w:szCs w:val="32"/>
        </w:rPr>
        <w:t>（十一）经营支出：</w:t>
      </w:r>
      <w:r>
        <w:rPr>
          <w:rFonts w:hint="eastAsia" w:ascii="宋体" w:hAnsi="宋体" w:eastAsia="宋体" w:cs="宋体"/>
          <w:kern w:val="0"/>
          <w:sz w:val="27"/>
          <w:szCs w:val="27"/>
        </w:rPr>
        <w:t>指事业单位在专业业务活动及其辅助活动之外开展非独立核算经营活动发生的支出。</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kern w:val="0"/>
          <w:sz w:val="32"/>
          <w:szCs w:val="32"/>
        </w:rPr>
        <w:t>（十二）“三公”经费：</w:t>
      </w:r>
      <w:r>
        <w:rPr>
          <w:rFonts w:hint="eastAsia" w:ascii="宋体" w:hAnsi="宋体" w:eastAsia="宋体" w:cs="宋体"/>
          <w:kern w:val="0"/>
          <w:sz w:val="27"/>
          <w:szCs w:val="27"/>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kern w:val="0"/>
          <w:sz w:val="32"/>
          <w:szCs w:val="32"/>
        </w:rPr>
        <w:t>（十三）机关运行经费：</w:t>
      </w:r>
      <w:r>
        <w:rPr>
          <w:rFonts w:hint="eastAsia" w:ascii="宋体" w:hAnsi="宋体" w:eastAsia="宋体" w:cs="宋体"/>
          <w:kern w:val="0"/>
          <w:sz w:val="27"/>
          <w:szCs w:val="27"/>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kern w:val="0"/>
          <w:sz w:val="32"/>
          <w:szCs w:val="32"/>
        </w:rPr>
        <w:t>（十四）工资福利支出（支出经济分类科目类级）：</w:t>
      </w:r>
      <w:r>
        <w:rPr>
          <w:rFonts w:hint="eastAsia" w:ascii="宋体" w:hAnsi="宋体" w:eastAsia="宋体" w:cs="宋体"/>
          <w:kern w:val="0"/>
          <w:sz w:val="27"/>
          <w:szCs w:val="27"/>
        </w:rPr>
        <w:t>反映单位开支的在职职工和编制外长期聘用人员的各类劳动报酬，以及为上述人员缴纳的各项社会保险费等。</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kern w:val="0"/>
          <w:sz w:val="32"/>
          <w:szCs w:val="32"/>
        </w:rPr>
        <w:t>（十五）商品和服务支出（支出经济分类科目类级）：</w:t>
      </w:r>
      <w:r>
        <w:rPr>
          <w:rFonts w:hint="eastAsia" w:ascii="宋体" w:hAnsi="宋体" w:eastAsia="宋体" w:cs="宋体"/>
          <w:kern w:val="0"/>
          <w:sz w:val="27"/>
          <w:szCs w:val="27"/>
        </w:rPr>
        <w:t>反映单位购买商品和服务的支出（不包括用于购置固定资产的支出、战略性和应急储备支出）。</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kern w:val="0"/>
          <w:sz w:val="32"/>
          <w:szCs w:val="32"/>
        </w:rPr>
        <w:t>（十六）对个人和家庭的补助（支出经济分类科目类级）：</w:t>
      </w:r>
      <w:r>
        <w:rPr>
          <w:rFonts w:hint="eastAsia" w:ascii="宋体" w:hAnsi="宋体" w:eastAsia="宋体" w:cs="宋体"/>
          <w:kern w:val="0"/>
          <w:sz w:val="27"/>
          <w:szCs w:val="27"/>
        </w:rPr>
        <w:t>反映用于对个人和家庭的补助支出。</w:t>
      </w:r>
    </w:p>
    <w:p>
      <w:pPr>
        <w:widowControl/>
        <w:shd w:val="clear" w:color="auto" w:fill="FFFFFF"/>
        <w:spacing w:line="600" w:lineRule="exact"/>
        <w:ind w:firstLine="643" w:firstLineChars="200"/>
        <w:jc w:val="left"/>
        <w:rPr>
          <w:rFonts w:ascii="宋体" w:hAnsi="宋体" w:eastAsia="宋体" w:cs="宋体"/>
          <w:kern w:val="0"/>
          <w:sz w:val="18"/>
          <w:szCs w:val="18"/>
        </w:rPr>
      </w:pPr>
      <w:r>
        <w:rPr>
          <w:rFonts w:hint="eastAsia" w:ascii="方正楷体_GBK" w:hAnsi="宋体" w:eastAsia="方正楷体_GBK" w:cs="宋体"/>
          <w:b/>
          <w:bCs/>
          <w:kern w:val="0"/>
          <w:sz w:val="32"/>
          <w:szCs w:val="32"/>
        </w:rPr>
        <w:t>（十七）其他资本性支出（支出经济分类科目类级）：</w:t>
      </w:r>
      <w:r>
        <w:rPr>
          <w:rFonts w:hint="eastAsia" w:ascii="宋体" w:hAnsi="宋体" w:eastAsia="宋体" w:cs="宋体"/>
          <w:kern w:val="0"/>
          <w:sz w:val="27"/>
          <w:szCs w:val="27"/>
        </w:rPr>
        <w:t>反映非各级发展与改革部门集中安排的用于购置固定资产、战略性和应急性储备、土地和无形资产，以及构建基础设施、大型修缮和财政支持企业更新改造所发生的支出。</w:t>
      </w:r>
    </w:p>
    <w:p>
      <w:pPr>
        <w:widowControl/>
        <w:shd w:val="clear" w:color="auto" w:fill="FFFFFF"/>
        <w:spacing w:line="600" w:lineRule="exact"/>
        <w:ind w:firstLine="643" w:firstLineChars="200"/>
        <w:jc w:val="left"/>
        <w:rPr>
          <w:rFonts w:ascii="方正黑体_GBK" w:hAnsi="宋体" w:eastAsia="方正黑体_GBK" w:cs="宋体"/>
          <w:b/>
          <w:bCs/>
          <w:kern w:val="0"/>
          <w:sz w:val="32"/>
          <w:szCs w:val="32"/>
        </w:rPr>
      </w:pPr>
      <w:r>
        <w:rPr>
          <w:rFonts w:hint="eastAsia" w:ascii="方正黑体_GBK" w:hAnsi="宋体" w:eastAsia="方正黑体_GBK" w:cs="宋体"/>
          <w:b/>
          <w:bCs/>
          <w:kern w:val="0"/>
          <w:sz w:val="32"/>
          <w:szCs w:val="32"/>
        </w:rPr>
        <w:t>七、决算公开联系方式及信息反馈渠道</w:t>
      </w:r>
    </w:p>
    <w:p>
      <w:pPr>
        <w:widowControl/>
        <w:shd w:val="clear" w:color="auto" w:fill="FFFFFF"/>
        <w:spacing w:line="600" w:lineRule="exact"/>
        <w:ind w:firstLine="540" w:firstLineChars="200"/>
        <w:jc w:val="left"/>
        <w:rPr>
          <w:rFonts w:hint="default" w:ascii="宋体" w:hAnsi="宋体" w:eastAsia="宋体" w:cs="宋体"/>
          <w:kern w:val="0"/>
          <w:sz w:val="18"/>
          <w:szCs w:val="18"/>
          <w:lang w:val="en-US" w:eastAsia="zh-CN"/>
        </w:rPr>
      </w:pPr>
      <w:r>
        <w:rPr>
          <w:rFonts w:hint="eastAsia" w:ascii="宋体" w:hAnsi="宋体" w:eastAsia="宋体" w:cs="宋体"/>
          <w:kern w:val="0"/>
          <w:sz w:val="27"/>
          <w:szCs w:val="27"/>
        </w:rPr>
        <w:t>本单位决算公开信息反馈和联系方式：</w:t>
      </w:r>
      <w:r>
        <w:rPr>
          <w:rFonts w:hint="eastAsia" w:ascii="宋体" w:hAnsi="宋体" w:eastAsia="宋体" w:cs="宋体"/>
          <w:kern w:val="0"/>
          <w:sz w:val="27"/>
          <w:szCs w:val="27"/>
          <w:lang w:val="en-US" w:eastAsia="zh-CN"/>
        </w:rPr>
        <w:t>向永凤17384068013</w:t>
      </w:r>
    </w:p>
    <w:p>
      <w:pPr>
        <w:widowControl/>
        <w:shd w:val="clear" w:color="auto" w:fill="FFFFFF"/>
        <w:spacing w:line="600" w:lineRule="exact"/>
        <w:ind w:firstLine="360" w:firstLineChars="200"/>
        <w:jc w:val="left"/>
        <w:rPr>
          <w:rFonts w:ascii="宋体" w:hAnsi="宋体" w:eastAsia="宋体" w:cs="宋体"/>
          <w:kern w:val="0"/>
          <w:sz w:val="18"/>
          <w:szCs w:val="18"/>
        </w:rPr>
      </w:pPr>
    </w:p>
    <w:p>
      <w:pPr>
        <w:widowControl/>
        <w:shd w:val="clear" w:color="auto" w:fill="FFFFFF"/>
        <w:spacing w:line="600" w:lineRule="exact"/>
        <w:ind w:left="15" w:right="90" w:firstLine="360" w:firstLineChars="200"/>
        <w:jc w:val="left"/>
        <w:textAlignment w:val="center"/>
        <w:rPr>
          <w:rFonts w:ascii="宋体" w:hAnsi="宋体" w:eastAsia="宋体" w:cs="宋体"/>
          <w:vanish/>
          <w:kern w:val="0"/>
          <w:sz w:val="18"/>
          <w:szCs w:val="18"/>
        </w:rPr>
      </w:pPr>
    </w:p>
    <w:p>
      <w:pPr>
        <w:widowControl/>
        <w:shd w:val="clear" w:color="auto" w:fill="FFFFFF"/>
        <w:ind w:left="15" w:right="90"/>
        <w:jc w:val="left"/>
        <w:textAlignment w:val="center"/>
        <w:rPr>
          <w:rFonts w:ascii="宋体" w:hAnsi="宋体" w:eastAsia="宋体" w:cs="宋体"/>
          <w:vanish/>
          <w:kern w:val="0"/>
          <w:sz w:val="18"/>
          <w:szCs w:val="18"/>
        </w:rPr>
      </w:pPr>
    </w:p>
    <w:p>
      <w:pPr>
        <w:widowControl/>
        <w:shd w:val="clear" w:color="auto" w:fill="FFFFFF"/>
        <w:ind w:left="15" w:right="90"/>
        <w:jc w:val="left"/>
        <w:textAlignment w:val="center"/>
        <w:rPr>
          <w:rFonts w:ascii="宋体" w:hAnsi="宋体" w:eastAsia="宋体" w:cs="宋体"/>
          <w:vanish/>
          <w:kern w:val="0"/>
          <w:sz w:val="18"/>
          <w:szCs w:val="18"/>
        </w:rPr>
      </w:pPr>
    </w:p>
    <w:p>
      <w:pPr>
        <w:widowControl/>
        <w:shd w:val="clear" w:color="auto" w:fill="FFFFFF"/>
        <w:jc w:val="left"/>
        <w:textAlignment w:val="center"/>
        <w:rPr>
          <w:rFonts w:ascii="宋体" w:hAnsi="宋体" w:eastAsia="宋体" w:cs="宋体"/>
          <w:vanish/>
          <w:kern w:val="0"/>
          <w:sz w:val="24"/>
          <w:szCs w:val="24"/>
        </w:rPr>
      </w:pPr>
      <w:r>
        <w:rPr>
          <w:rFonts w:hint="eastAsia" w:ascii="宋体" w:hAnsi="宋体" w:eastAsia="宋体" w:cs="宋体"/>
          <w:vanish/>
          <w:kern w:val="0"/>
          <w:sz w:val="18"/>
          <w:szCs w:val="18"/>
        </w:rPr>
        <w:t>转到第</w:t>
      </w:r>
      <w:r>
        <w:rPr>
          <w:rFonts w:ascii="宋体" w:hAnsi="宋体" w:eastAsia="宋体" w:cs="宋体"/>
          <w:vanish/>
          <w:kern w:val="0"/>
          <w:sz w:val="18"/>
          <w:szCs w:val="18"/>
        </w:rPr>
        <w:pict>
          <v:shape id="_x0000_i1025" o:spt="75" type="#_x0000_t75" style="height:18.4pt;width:72pt;" filled="f" o:preferrelative="t" stroked="f" coordsize="21600,21600">
            <v:path/>
            <v:fill on="f" focussize="0,0"/>
            <v:stroke on="f" joinstyle="miter"/>
            <v:imagedata r:id="rId4" o:title=""/>
            <o:lock v:ext="edit" aspectratio="t"/>
            <w10:wrap type="none"/>
            <w10:anchorlock/>
          </v:shape>
        </w:pict>
      </w:r>
      <w:r>
        <w:rPr>
          <w:rFonts w:hint="eastAsia" w:ascii="宋体" w:hAnsi="宋体" w:eastAsia="宋体" w:cs="宋体"/>
          <w:vanish/>
          <w:kern w:val="0"/>
          <w:sz w:val="18"/>
          <w:szCs w:val="18"/>
        </w:rPr>
        <w:t xml:space="preserve">页 </w:t>
      </w:r>
    </w:p>
    <w:p>
      <w:pPr>
        <w:widowControl/>
        <w:shd w:val="clear" w:color="auto" w:fill="FFFFFF"/>
        <w:jc w:val="left"/>
        <w:textAlignment w:val="center"/>
        <w:rPr>
          <w:rFonts w:ascii="宋体" w:hAnsi="宋体" w:eastAsia="宋体" w:cs="宋体"/>
          <w:kern w:val="0"/>
          <w:sz w:val="24"/>
          <w:szCs w:val="24"/>
        </w:rPr>
      </w:pPr>
      <w:r>
        <w:rPr>
          <w:rFonts w:hint="eastAsia" w:ascii="宋体" w:hAnsi="宋体" w:eastAsia="宋体" w:cs="宋体"/>
          <w:vanish/>
          <w:kern w:val="0"/>
          <w:sz w:val="18"/>
          <w:szCs w:val="18"/>
        </w:rPr>
        <w:t xml:space="preserve">共1页    共1项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mEzYWYxYTY4NzQ3ZjAxZTg4Njg0OTUxNTYxM2Y5ZGQifQ=="/>
  </w:docVars>
  <w:rsids>
    <w:rsidRoot w:val="00B44EEE"/>
    <w:rsid w:val="0000020B"/>
    <w:rsid w:val="00044333"/>
    <w:rsid w:val="00072B56"/>
    <w:rsid w:val="001222E6"/>
    <w:rsid w:val="001F322F"/>
    <w:rsid w:val="002611FA"/>
    <w:rsid w:val="00346767"/>
    <w:rsid w:val="003B1F5B"/>
    <w:rsid w:val="005804E0"/>
    <w:rsid w:val="006016D7"/>
    <w:rsid w:val="00631565"/>
    <w:rsid w:val="0066123C"/>
    <w:rsid w:val="00663CAD"/>
    <w:rsid w:val="007C51D8"/>
    <w:rsid w:val="00837A77"/>
    <w:rsid w:val="008C093C"/>
    <w:rsid w:val="00917E61"/>
    <w:rsid w:val="00941A46"/>
    <w:rsid w:val="00A94551"/>
    <w:rsid w:val="00AE535A"/>
    <w:rsid w:val="00B44EEE"/>
    <w:rsid w:val="00C6187C"/>
    <w:rsid w:val="00CA1C33"/>
    <w:rsid w:val="00D3050F"/>
    <w:rsid w:val="00D368D3"/>
    <w:rsid w:val="00DE2F57"/>
    <w:rsid w:val="00EB0736"/>
    <w:rsid w:val="00EC44D8"/>
    <w:rsid w:val="00EC7AB9"/>
    <w:rsid w:val="00FB1408"/>
    <w:rsid w:val="081640CA"/>
    <w:rsid w:val="11C91AF8"/>
    <w:rsid w:val="13193134"/>
    <w:rsid w:val="17F906EC"/>
    <w:rsid w:val="20321B83"/>
    <w:rsid w:val="21B67841"/>
    <w:rsid w:val="2A726D79"/>
    <w:rsid w:val="3D396A3E"/>
    <w:rsid w:val="43BE1272"/>
    <w:rsid w:val="455B3A65"/>
    <w:rsid w:val="49D67CFD"/>
    <w:rsid w:val="5CE94118"/>
    <w:rsid w:val="60516F84"/>
    <w:rsid w:val="632F26E9"/>
    <w:rsid w:val="672C2329"/>
    <w:rsid w:val="6CEC328E"/>
    <w:rsid w:val="72330169"/>
    <w:rsid w:val="786B4427"/>
    <w:rsid w:val="789A0984"/>
    <w:rsid w:val="7C5966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jc w:val="left"/>
    </w:pPr>
    <w:rPr>
      <w:sz w:val="18"/>
      <w:szCs w:val="18"/>
    </w:rPr>
  </w:style>
  <w:style w:type="paragraph" w:styleId="3">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prev2"/>
    <w:basedOn w:val="6"/>
    <w:qFormat/>
    <w:uiPriority w:val="0"/>
  </w:style>
  <w:style w:type="character" w:customStyle="1" w:styleId="9">
    <w:name w:val="next2"/>
    <w:basedOn w:val="6"/>
    <w:qFormat/>
    <w:uiPriority w:val="0"/>
  </w:style>
  <w:style w:type="character" w:customStyle="1" w:styleId="10">
    <w:name w:val="last2"/>
    <w:basedOn w:val="6"/>
    <w:uiPriority w:val="0"/>
  </w:style>
  <w:style w:type="character" w:customStyle="1" w:styleId="11">
    <w:name w:val="gopage"/>
    <w:basedOn w:val="6"/>
    <w:uiPriority w:val="0"/>
  </w:style>
  <w:style w:type="character" w:customStyle="1" w:styleId="12">
    <w:name w:val="pagecount"/>
    <w:basedOn w:val="6"/>
    <w:uiPriority w:val="0"/>
  </w:style>
  <w:style w:type="character" w:customStyle="1" w:styleId="13">
    <w:name w:val="itemcount"/>
    <w:basedOn w:val="6"/>
    <w:uiPriority w:val="0"/>
  </w:style>
  <w:style w:type="character" w:customStyle="1" w:styleId="14">
    <w:name w:val="页眉 Char"/>
    <w:basedOn w:val="6"/>
    <w:link w:val="3"/>
    <w:qFormat/>
    <w:uiPriority w:val="99"/>
    <w:rPr>
      <w:sz w:val="18"/>
      <w:szCs w:val="18"/>
    </w:rPr>
  </w:style>
  <w:style w:type="character" w:customStyle="1" w:styleId="15">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B9E42-146F-4BD7-89DA-253EEB6D556E}">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4224</Words>
  <Characters>4754</Characters>
  <Lines>35</Lines>
  <Paragraphs>10</Paragraphs>
  <TotalTime>32</TotalTime>
  <ScaleCrop>false</ScaleCrop>
  <LinksUpToDate>false</LinksUpToDate>
  <CharactersWithSpaces>4810</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2022-08-28T02:55:00Z</dcterms:created>
  <dc:creator>Administrator</dc:creator>
  <cp:lastModifiedBy>陈列</cp:lastModifiedBy>
  <dcterms:modified xsi:type="dcterms:W3CDTF">2022-09-01T15:16:38Z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5496202E0C0F4809ACAD1B813A9B4C36</vt:lpwstr>
  </property>
</Properties>
</file>