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Autospacing="0" w:after="0" w:afterAutospacing="0"/>
        <w:jc w:val="center"/>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重庆市綦江区中山路小学</w:t>
      </w:r>
    </w:p>
    <w:p>
      <w:pPr>
        <w:pStyle w:val="3"/>
        <w:shd w:val="clear" w:color="auto" w:fill="FFFFFF"/>
        <w:spacing w:before="0" w:beforeAutospacing="0" w:after="0" w:afterAutospacing="0"/>
        <w:jc w:val="center"/>
        <w:rPr>
          <w:rFonts w:hint="eastAsia" w:ascii="方正小标宋_GBK" w:hAnsi="Times New Roman" w:eastAsia="方正小标宋_GBK" w:cs="Times New Roman"/>
          <w:kern w:val="2"/>
          <w:sz w:val="44"/>
          <w:szCs w:val="44"/>
          <w:lang w:val="en-US" w:eastAsia="zh-CN" w:bidi="ar-SA"/>
        </w:rPr>
      </w:pPr>
      <w:r>
        <w:rPr>
          <w:rFonts w:hint="eastAsia" w:ascii="方正小标宋_GBK" w:hAnsi="Times New Roman" w:eastAsia="方正小标宋_GBK" w:cs="Times New Roman"/>
          <w:kern w:val="2"/>
          <w:sz w:val="44"/>
          <w:szCs w:val="44"/>
          <w:lang w:val="en-US" w:eastAsia="zh-CN" w:bidi="ar-SA"/>
        </w:rPr>
        <w:t>2020年度部门决算情况说明</w:t>
      </w:r>
    </w:p>
    <w:p>
      <w:pPr>
        <w:pStyle w:val="3"/>
        <w:shd w:val="clear" w:color="auto" w:fill="FFFFFF"/>
        <w:spacing w:before="0" w:beforeAutospacing="0" w:after="0" w:afterAutospacing="0"/>
        <w:rPr>
          <w:rFonts w:ascii="Arial" w:hAnsi="Arial" w:cs="Arial"/>
          <w:color w:val="000000"/>
          <w:sz w:val="18"/>
          <w:szCs w:val="18"/>
        </w:rPr>
      </w:pPr>
      <w:r>
        <w:rPr>
          <w:rFonts w:ascii="Arial" w:hAnsi="Arial" w:cs="Arial"/>
          <w:color w:val="000000"/>
          <w:sz w:val="18"/>
          <w:szCs w:val="18"/>
        </w:rPr>
        <w:t> </w:t>
      </w:r>
    </w:p>
    <w:p>
      <w:pPr>
        <w:pStyle w:val="3"/>
        <w:shd w:val="clear" w:color="auto" w:fill="FFFFFF"/>
        <w:spacing w:before="0" w:beforeAutospacing="0" w:after="0" w:afterAutospacing="0"/>
        <w:rPr>
          <w:rFonts w:hint="eastAsia" w:ascii="方正黑体_GBK" w:hAnsi="方正黑体_GBK" w:eastAsia="方正黑体_GBK" w:cs="方正黑体_GBK"/>
          <w:color w:val="000000"/>
          <w:sz w:val="32"/>
          <w:szCs w:val="32"/>
        </w:rPr>
      </w:pPr>
      <w:r>
        <w:rPr>
          <w:rFonts w:hint="eastAsia" w:ascii="Times New Roman" w:hAnsi="Times New Roman" w:eastAsia="方正黑体_GBK" w:cs="Times New Roman"/>
          <w:kern w:val="2"/>
          <w:sz w:val="32"/>
          <w:szCs w:val="32"/>
          <w:lang w:val="en-US" w:eastAsia="zh-CN" w:bidi="ar-SA"/>
        </w:rPr>
        <w:t>一、部门基本情况</w:t>
      </w:r>
    </w:p>
    <w:p>
      <w:pPr>
        <w:spacing w:line="600" w:lineRule="exact"/>
        <w:ind w:firstLine="640" w:firstLineChars="200"/>
        <w:rPr>
          <w:rFonts w:hint="eastAsia" w:ascii="Times New Roman" w:hAnsi="Times New Roman" w:eastAsia="方正仿宋_GBK" w:cs="宋体"/>
          <w:kern w:val="0"/>
          <w:sz w:val="32"/>
          <w:szCs w:val="32"/>
        </w:rPr>
      </w:pPr>
      <w:r>
        <w:rPr>
          <w:rFonts w:hint="eastAsia" w:ascii="Times New Roman" w:hAnsi="Times New Roman" w:eastAsia="方正仿宋_GBK" w:cs="宋体"/>
          <w:kern w:val="0"/>
          <w:sz w:val="32"/>
          <w:szCs w:val="32"/>
        </w:rPr>
        <w:t>根据《重庆市机构编制委员会关于重庆市綦江区党政机构设置方案的通知》（渝编〔2011〕33号）和《中共重庆市綦江区委关于重庆市綦江区机构设置方案的实施意见》（綦江委发〔2011〕1号）文件精神，设立重庆市綦江区中山路小学。按照中共重庆市綦江区委教育工作委员会规定的职责，开展实施小学义务教育，促进基础教育发展。小学学历教育（相关社会服务）。</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（一）职能职责</w:t>
      </w:r>
    </w:p>
    <w:p>
      <w:pPr>
        <w:spacing w:line="600" w:lineRule="exact"/>
        <w:ind w:firstLine="542" w:firstLineChars="200"/>
        <w:rPr>
          <w:rFonts w:hint="eastAsia" w:ascii="Times New Roman" w:hAnsi="Times New Roman" w:eastAsia="方正仿宋_GBK" w:cs="Times New Roman"/>
          <w:sz w:val="32"/>
          <w:szCs w:val="32"/>
        </w:rPr>
      </w:pPr>
      <w:r>
        <w:rPr>
          <w:rStyle w:val="6"/>
          <w:rFonts w:ascii="Arial" w:hAnsi="Arial" w:cs="Arial"/>
          <w:color w:val="000000"/>
          <w:sz w:val="27"/>
          <w:szCs w:val="27"/>
        </w:rPr>
        <w:t>  </w:t>
      </w:r>
      <w:r>
        <w:rPr>
          <w:rFonts w:hint="eastAsia" w:ascii="Times New Roman" w:hAnsi="Times New Roman" w:eastAsia="方正仿宋_GBK" w:cs="Times New Roman"/>
          <w:sz w:val="32"/>
          <w:szCs w:val="32"/>
        </w:rPr>
        <w:t>1.贯彻执行党和国家的教育方针、政策和法律法规，依法治教。</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2.开展教育体制改革；开展教育教学改革、课程教材建设及教育科研工作；教育统计、信息工作。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3.负责推进义务教育均衡发展和促进教育公平；实施基础教育教学改革，全面实施素质教育。</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4.开展基础教育发展水平、质量监测工作，落实本区各职能部门、镇（街）对教育工作职责情况。</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5.落实教育经费的统筹管理，落实教育的财务、基本建设工作；落实学校经费使用情况进行内部监督审计；规划学校建设、教育装备、勤工俭学、后勤服务工作，落实学生资助工作。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6.落实思想政治、德育、体育卫生艺术教育、国防教育等工作。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7.实施教师资格制度；管理、指导学校干部和教师队伍建设；组织实施学校干部、教师的岗位培训和继续教育工作。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8.负责管理学校机构编制和人事及社会保障等工作，组织、指导学校人事制度改革，负责教职工调配、考核、职称评审和奖惩工作。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9.落实学校的学籍管理工作。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10.落实学校的招生计划。</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11.落实义务教育学校的学生学习监测工作。</w:t>
      </w:r>
    </w:p>
    <w:p>
      <w:pPr>
        <w:spacing w:line="600" w:lineRule="exact"/>
        <w:ind w:firstLine="640" w:firstLineChars="200"/>
        <w:rPr>
          <w:rFonts w:hint="eastAsia" w:ascii="Times New Roman" w:hAnsi="Times New Roman" w:eastAsia="方正仿宋_GBK" w:cs="Times New Roman"/>
          <w:sz w:val="32"/>
          <w:szCs w:val="32"/>
        </w:rPr>
      </w:pPr>
      <w:r>
        <w:rPr>
          <w:rFonts w:hint="eastAsia" w:ascii="Times New Roman" w:hAnsi="Times New Roman" w:eastAsia="方正仿宋_GBK" w:cs="Times New Roman"/>
          <w:sz w:val="32"/>
          <w:szCs w:val="32"/>
        </w:rPr>
        <w:t>12.落实校园安全保卫工作，综合协调处理学校突发事件和重大事故。</w:t>
      </w:r>
    </w:p>
    <w:p>
      <w:pPr>
        <w:spacing w:line="600" w:lineRule="exact"/>
        <w:ind w:firstLine="640" w:firstLineChars="200"/>
        <w:rPr>
          <w:rFonts w:hint="eastAsia" w:ascii="仿宋_GB2312" w:hAnsi="仿宋_GB2312" w:eastAsia="仿宋_GB2312" w:cs="仿宋_GB2312"/>
          <w:sz w:val="32"/>
        </w:rPr>
      </w:pPr>
      <w:r>
        <w:rPr>
          <w:rFonts w:hint="eastAsia" w:ascii="Times New Roman" w:hAnsi="Times New Roman" w:eastAsia="方正仿宋_GBK" w:cs="Times New Roman"/>
          <w:sz w:val="32"/>
          <w:szCs w:val="32"/>
        </w:rPr>
        <w:t>13.承办上级有关部门交办的</w:t>
      </w:r>
      <w:r>
        <w:rPr>
          <w:rFonts w:hint="eastAsia" w:ascii="Times New Roman" w:hAnsi="Times New Roman" w:eastAsia="方正仿宋_GBK" w:cs="Times New Roman"/>
          <w:sz w:val="32"/>
          <w:szCs w:val="32"/>
          <w:lang w:eastAsia="zh-CN"/>
        </w:rPr>
        <w:t>其他事项</w:t>
      </w:r>
      <w:r>
        <w:rPr>
          <w:rFonts w:hint="eastAsia" w:ascii="Times New Roman" w:hAnsi="Times New Roman" w:eastAsia="方正仿宋_GBK" w:cs="Times New Roman"/>
          <w:sz w:val="32"/>
          <w:szCs w:val="32"/>
        </w:rPr>
        <w:t>。</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（二）机构设置</w:t>
      </w:r>
    </w:p>
    <w:p>
      <w:pPr>
        <w:spacing w:line="600" w:lineRule="exact"/>
        <w:ind w:firstLine="540" w:firstLineChars="200"/>
        <w:rPr>
          <w:rFonts w:hint="eastAsia" w:ascii="Times New Roman" w:hAnsi="Times New Roman" w:eastAsia="方正仿宋_GBK" w:cs="Times New Roman"/>
          <w:sz w:val="32"/>
          <w:szCs w:val="32"/>
        </w:rPr>
      </w:pPr>
      <w:r>
        <w:rPr>
          <w:rFonts w:ascii="Arial" w:hAnsi="Arial" w:cs="Arial"/>
          <w:color w:val="FF0000"/>
          <w:sz w:val="27"/>
          <w:szCs w:val="27"/>
        </w:rPr>
        <w:t> </w:t>
      </w:r>
      <w:r>
        <w:rPr>
          <w:rFonts w:hint="eastAsia" w:ascii="Times New Roman" w:hAnsi="Times New Roman" w:eastAsia="方正仿宋_GBK" w:cs="Times New Roman"/>
          <w:sz w:val="32"/>
          <w:szCs w:val="32"/>
        </w:rPr>
        <w:t>按照《重庆市綦江区机构编制委员会关于调整重庆市綦江区教育委员会主要职责内设机构和人员编制规定的通知》（綦编〔2012〕227号）文件，本单位属公益一类事业单位机构，内设机构5个，分别为教导处、德育处、总务处、安保处、幼儿园办公室。</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（三）单位构成</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Style w:val="6"/>
          <w:rFonts w:ascii="Arial" w:hAnsi="Arial" w:cs="Arial"/>
          <w:color w:val="000000"/>
          <w:sz w:val="27"/>
          <w:szCs w:val="27"/>
        </w:rPr>
        <w:t>  </w:t>
      </w:r>
      <w:r>
        <w:rPr>
          <w:rFonts w:hint="eastAsia" w:cs="Arial"/>
          <w:color w:val="000000"/>
          <w:sz w:val="27"/>
          <w:szCs w:val="27"/>
        </w:rPr>
        <w:t>从</w:t>
      </w:r>
      <w:r>
        <w:rPr>
          <w:rFonts w:hint="eastAsia" w:ascii="Times New Roman" w:hAnsi="Times New Roman" w:eastAsia="方正仿宋_GBK" w:cs="Times New Roman"/>
          <w:kern w:val="2"/>
          <w:sz w:val="32"/>
          <w:szCs w:val="32"/>
          <w:lang w:val="en-US" w:eastAsia="zh-CN" w:bidi="ar-SA"/>
        </w:rPr>
        <w:t>预算单位构成看，纳入本部门2020年度决算编制的二级预算单位。</w:t>
      </w:r>
    </w:p>
    <w:p>
      <w:pPr>
        <w:pStyle w:val="3"/>
        <w:shd w:val="clear" w:color="auto" w:fill="FFFFFF"/>
        <w:spacing w:before="0" w:beforeAutospacing="0" w:after="0" w:afterAutospacing="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二、部门决算情况说明</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（一）收入支出决算总体情况说明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1.总体情况。2020年度收入总计3,987.03万元，支出总计3,987.03万元。收支较上年决算数 减少493.68万元、 下降11%，主要原因是学校二期建设项目结转减少。</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收入情况。2020年度收入合计1,670.53万元，较上年决算数增加230.00万元，增长16%，主要原因是补发2018年教职工目标绩效考核及学校二期建设。其中：财政拨款收入1,604.96万元，占96.1%；事业收入65.57万元，占3.9%；年初结转和结余2,316.50万元。</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3.支出情况。2020年度支出合计3,843.31万元，较上年决算数增加1,528.50万元，增长66%，主要原因是学校二期综合楼建设工程款。其中：基本支出 1,520.85万元，占39.6%；项目支出2,322.47万元，占60.4%； </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仿宋_GBK" w:cs="Times New Roman"/>
          <w:kern w:val="2"/>
          <w:sz w:val="32"/>
          <w:szCs w:val="32"/>
          <w:lang w:val="en-US" w:eastAsia="zh-CN" w:bidi="ar-SA"/>
        </w:rPr>
        <w:t>4.结转结余情况。2020年度年末结转和结余143.72万元，较上年决算数减少2,022.18万元，下降93.4%，主要原因是上年学校二期综合楼建设未能及时完成支付。</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（二）财政拨款收入支出决算总体情况说明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cs="Arial"/>
          <w:color w:val="000000"/>
          <w:sz w:val="27"/>
          <w:szCs w:val="27"/>
        </w:rPr>
        <w:t xml:space="preserve">  </w:t>
      </w:r>
      <w:r>
        <w:rPr>
          <w:rFonts w:hint="eastAsia" w:ascii="Times New Roman" w:hAnsi="Times New Roman" w:eastAsia="方正仿宋_GBK" w:cs="Times New Roman"/>
          <w:kern w:val="2"/>
          <w:sz w:val="32"/>
          <w:szCs w:val="32"/>
          <w:lang w:val="en-US" w:eastAsia="zh-CN" w:bidi="ar-SA"/>
        </w:rPr>
        <w:t>2020年度财政拨款收、支总计3,901.87万元。与2019年相比，财政拨款收、支总计各减少513.53万 元，下降11.6%。主要原因是学校二期综合楼建设已完成，项目减少。</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楷体_GBK" w:cs="Times New Roman"/>
          <w:color w:val="333333"/>
          <w:kern w:val="2"/>
          <w:sz w:val="32"/>
          <w:szCs w:val="32"/>
          <w:lang w:val="en-US" w:eastAsia="zh-CN" w:bidi="ar-SA"/>
        </w:rPr>
        <w:t>（三）一般公共预算财政拨款支出决算情况说明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1.收入情况。2020年度一般公共预算财政拨款收入1,604.96万元，较上年决算数增加229.75万元，增长16.7%。主要原因是补发2018年绩效考核、补缴中人职业年金。较年初预算数 增加204.38万元，增长14.6%。主要原因是综合楼建设完工后增加设备采购、增加绩效综合考核等。此外，年初财政拨款结转和结余2,296.91万元。</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2.支出情况。2020年度一般公共预算财政拨款支出3,802.39万元，较上年决算数增加1,527.09万元，增长67.1%。主要原因是补发2018年教职工目标绩效考核及学校二期建设。较年初预算数 增加261.72万 元，增长7.4%。主要原因是综合楼建设完工后增加设备采购、增加绩效综合考核等。</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3.结转结余情况。2020年度年末一般公共预算财政拨款结转和结余99.48万元，较上年决算数减少2,040.61万元，下降95.4%，主要原因是二期建设项目快要结束，项目减少。</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4.比较情况。本部门2020年度一般公共预算财政拨款支出主要用于以下几个方面：</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（1）教育支出1,331.84万元，占35%，较年初预算数增加181.72万 元，增长15.8%，主要原因是补发2018年绩效考核、二期建设设备采购等。</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（2）社会保障与就业支出318.54万元，占8.4%，较年初预算数增加83.88万 元，增长35.7%，主要原因是补缴中人职业年金。</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（3）卫生健康支出77.46万元，占2%，较年初预算数减少2.83万 元，下降3.5%，主要原因是人员调整减少。</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仿宋_GBK" w:cs="Times New Roman"/>
          <w:kern w:val="2"/>
          <w:sz w:val="32"/>
          <w:szCs w:val="32"/>
          <w:lang w:val="en-US" w:eastAsia="zh-CN" w:bidi="ar-SA"/>
        </w:rPr>
        <w:t>（4）住房保障支出2,074.55万元，占54.6%，较年初预算数减少1.05万 元，下降0.1%，主要原因是人员调整减少。</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（四）一般公共预算财政拨款基本支出决算情况说明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cs="Arial"/>
          <w:color w:val="000000"/>
          <w:sz w:val="27"/>
          <w:szCs w:val="27"/>
        </w:rPr>
        <w:t xml:space="preserve">  </w:t>
      </w:r>
      <w:r>
        <w:rPr>
          <w:rFonts w:hint="eastAsia" w:ascii="Times New Roman" w:hAnsi="Times New Roman" w:eastAsia="方正仿宋_GBK" w:cs="Times New Roman"/>
          <w:kern w:val="2"/>
          <w:sz w:val="32"/>
          <w:szCs w:val="32"/>
          <w:lang w:val="en-US" w:eastAsia="zh-CN" w:bidi="ar-SA"/>
        </w:rPr>
        <w:t>2020年度一般公共财政拨款基本支出1,520.85万元。其中：人员经费1,424.08万元，较上年决算数增加196.90万 元，增长16%，主要原因是补缴中人职业年金。人员经费用途主要包括补缴中人职业年金。公用经费96.77万元，较上年决算数减少39.26万元，下降28.9%，主要原因是学生人数变化及调到项目支出中。公用经费用途主要包括设备维修维护费调整到项目支出。</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（五）政府性基金预算收支决算情况说明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cs="Arial"/>
          <w:color w:val="000000"/>
          <w:sz w:val="27"/>
          <w:szCs w:val="27"/>
        </w:rPr>
        <w:t xml:space="preserve">  </w:t>
      </w:r>
      <w:r>
        <w:rPr>
          <w:rFonts w:hint="eastAsia" w:ascii="Times New Roman" w:hAnsi="Times New Roman" w:eastAsia="方正仿宋_GBK" w:cs="Times New Roman"/>
          <w:kern w:val="2"/>
          <w:sz w:val="32"/>
          <w:szCs w:val="32"/>
          <w:lang w:val="en-US" w:eastAsia="zh-CN" w:bidi="ar-SA"/>
        </w:rPr>
        <w:t>2020年度政府性基金预算财政拨款年初结转结余0.00万元，年末结转结余0.00万元。本年收入0.00万元，较上年决算数增加0.00万元，增长%，主要原因是无政府性基金。本年支出0.00万元，较上年决算数增加0.00万元，增长%，主要原因是无政府性基金。</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本部门2020年度无政府性基金预算财政拨款收支。</w:t>
      </w:r>
    </w:p>
    <w:p>
      <w:pPr>
        <w:pStyle w:val="3"/>
        <w:shd w:val="clear" w:color="auto" w:fill="FFFFFF"/>
        <w:spacing w:before="0" w:beforeAutospacing="0" w:after="0" w:afterAutospacing="0"/>
        <w:rPr>
          <w:rFonts w:hint="eastAsia" w:cs="Arial"/>
          <w:color w:val="000000"/>
          <w:sz w:val="27"/>
          <w:szCs w:val="27"/>
        </w:rPr>
      </w:pPr>
      <w:r>
        <w:rPr>
          <w:rFonts w:hint="eastAsia" w:ascii="Times New Roman" w:hAnsi="Times New Roman" w:eastAsia="方正楷体_GBK" w:cs="Times New Roman"/>
          <w:color w:val="333333"/>
          <w:kern w:val="2"/>
          <w:sz w:val="32"/>
          <w:szCs w:val="32"/>
          <w:lang w:val="en-US" w:eastAsia="zh-CN" w:bidi="ar-SA"/>
        </w:rPr>
        <w:t>（六）国有资本经营预算财政拨款支出决算情况说明。</w:t>
      </w:r>
      <w:r>
        <w:rPr>
          <w:rFonts w:ascii="Arial" w:hAnsi="Arial" w:cs="Arial"/>
          <w:color w:val="000000"/>
          <w:sz w:val="27"/>
          <w:szCs w:val="27"/>
        </w:rPr>
        <w:br w:type="textWrapping"/>
      </w:r>
      <w:r>
        <w:rPr>
          <w:rFonts w:hint="eastAsia" w:cs="Arial"/>
          <w:color w:val="000000"/>
          <w:sz w:val="27"/>
          <w:szCs w:val="27"/>
        </w:rPr>
        <w:t> </w:t>
      </w:r>
      <w:r>
        <w:rPr>
          <w:rFonts w:hint="eastAsia" w:ascii="Times New Roman" w:hAnsi="Times New Roman" w:eastAsia="方正仿宋_GBK" w:cs="Times New Roman"/>
          <w:kern w:val="2"/>
          <w:sz w:val="32"/>
          <w:szCs w:val="32"/>
          <w:lang w:val="en-US" w:eastAsia="zh-CN" w:bidi="ar-SA"/>
        </w:rPr>
        <w:t xml:space="preserve"> 2020年度国有资本经营预算财政拨本年支出0.00万元，基本支出0.00万元，项目支出0.00万元。本部门2020年度无国有资本经营预算财政拨款支出。</w:t>
      </w:r>
    </w:p>
    <w:p>
      <w:pPr>
        <w:pStyle w:val="3"/>
        <w:shd w:val="clear" w:color="auto" w:fill="FFFFFF"/>
        <w:spacing w:before="0" w:beforeAutospacing="0" w:after="0" w:afterAutospacing="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三、“三公”经费情况说明</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（一）“三公”经费支出总体情况说明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2020年度“三公”经费支出共计0.00万元，较年初预算数增加0.00万元，增长0%，主要原因是本单位2020年度未发生“三公”经费支出。 较上年支出数增加0.00万 元，增长0%，主要原因是本单位2020年度未发生“三公”经费支出。</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（二）“三公”经费分项支出情况</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2020年度本部门因公出国（境）费用0.00万元，主要适用于本单位2020年度未发生因公出国（境）费用支出。费用支出较年初预算数增加0.00万元，增长0%，主要原因是本单位2020年度未发生因公出国（境）费用支出。较上年支出数增加0.00万元，增长0%，主要原因是本单位2020年度未发生因公出国（境）费用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公务车购置费0.00万元，主要用于本单位2020年度未发生公务车购置费支出。费用支出较年初预算数增加0.00万元，增长%，主要原因是本单位2020年度未发生公务车购置费支出。较上年支出数增加0.00万元，增长0%，主要原因是本单位2020年度未发生公务车购置费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公务车运行维护费0.00万元，主要用于本单位2020年度未发生公务车运行维护费支出。费用支出较年初预算数增加0.00万元，增长0%，主要原因是本单位2020年度未发生公务车运行维护费支出。较上年支出数增加0.00万元，增长0%，主要原因是本单位2020年度未发生公务车运行维护费支出。</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仿宋_GBK" w:cs="Times New Roman"/>
          <w:kern w:val="2"/>
          <w:sz w:val="32"/>
          <w:szCs w:val="32"/>
          <w:lang w:val="en-US" w:eastAsia="zh-CN" w:bidi="ar-SA"/>
        </w:rPr>
        <w:t>公务接待费0.00万元，主要是本单位2020年度未发生公务接待费支出。费用支出较年初预算数增加0.00万元，增长0%，主要原因是本单位2020年度未发生公务接待费支出。较上年支出数增加0.00万元，增长0%，主要原因是本单位2020年度未发生公务接待费支出。</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（三）“三公”经费实物量情况</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黑体_GBK" w:cs="Times New Roman"/>
          <w:kern w:val="2"/>
          <w:sz w:val="32"/>
          <w:szCs w:val="32"/>
          <w:lang w:val="en-US" w:eastAsia="zh-CN" w:bidi="ar-SA"/>
        </w:rPr>
        <w:t>四、其他需要说明的事项</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（一）机关运行经费情况说明</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2020年度本部门机关运行经费支出0.00万元，机关运行经费无，我单位不在机关运行经费统计范围之内。 机关运行经费较上年决算数增加0.00万元，增长0%，主要原因是我单位不在机关运行经费统计范围之内。</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本年度会议费支出0.59万元，较上年决算数增加0.35万元，增长145.8%，主要原因是退休教师慰问会议2次。本年度培训费支出 3.88万元，较上年决算数增加0.28万元，增长7.8%，主要原因是教师继续教育加大。</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（二）国有资产占用情况说明</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仿宋_GBK" w:cs="Times New Roman"/>
          <w:kern w:val="2"/>
          <w:sz w:val="32"/>
          <w:szCs w:val="32"/>
          <w:lang w:val="en-US" w:eastAsia="zh-CN" w:bidi="ar-SA"/>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（三）政府采购支出情况说明</w:t>
      </w:r>
    </w:p>
    <w:p>
      <w:pPr>
        <w:pStyle w:val="3"/>
        <w:shd w:val="clear" w:color="auto" w:fill="FFFFFF"/>
        <w:spacing w:before="0" w:beforeAutospacing="0" w:after="0" w:afterAutospacing="0"/>
        <w:rPr>
          <w:rFonts w:hint="eastAsia" w:cs="Arial"/>
          <w:color w:val="000000"/>
          <w:sz w:val="27"/>
          <w:szCs w:val="27"/>
        </w:rPr>
      </w:pPr>
      <w:r>
        <w:rPr>
          <w:rFonts w:hint="eastAsia" w:ascii="Times New Roman" w:hAnsi="Times New Roman" w:eastAsia="方正仿宋_GBK" w:cs="Times New Roman"/>
          <w:kern w:val="2"/>
          <w:sz w:val="32"/>
          <w:szCs w:val="32"/>
          <w:lang w:val="en-US" w:eastAsia="zh-CN" w:bidi="ar-SA"/>
        </w:rPr>
        <w:t>2020年度本部门政府采购支出总额0.00万元，其中：政府采购货物支出0.00万元、政府采购工程支出0.00万元、政府采购服务支出0.00万元。授予中小企业合同金额0.00万元，占政府采购支出总额的0%，其中：授予小微企业合同金额 0.00万元，占政府采购支出总额的0%。主要是2020年度我单位未发生政府采购事项，无相关经费支出。</w:t>
      </w:r>
    </w:p>
    <w:p>
      <w:pPr>
        <w:pStyle w:val="3"/>
        <w:shd w:val="clear" w:color="auto" w:fill="FFFFFF"/>
        <w:spacing w:before="0" w:beforeAutospacing="0" w:after="0" w:afterAutospacing="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五、预算绩效管理情况说明</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（一）预算绩效管理工作开展情况</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根据预算绩效管理要求，本部门对部门15个项目开展了绩效自评，其中，以填报目标自评表形式开展自评15项，涉及资金330.21万元；从评价情况来看，每个项目都运行较好，自评分都在90分以上。</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（二）绩效自评结果</w:t>
      </w:r>
    </w:p>
    <w:p>
      <w:pPr>
        <w:pStyle w:val="3"/>
        <w:shd w:val="clear" w:color="auto" w:fill="FFFFFF"/>
        <w:spacing w:before="0" w:beforeAutospacing="0" w:after="0" w:afterAutospacing="0"/>
        <w:rPr>
          <w:rStyle w:val="6"/>
          <w:rFonts w:ascii="Arial" w:hAnsi="Arial" w:cs="Arial"/>
          <w:color w:val="000000"/>
          <w:sz w:val="27"/>
          <w:szCs w:val="27"/>
        </w:rPr>
      </w:pPr>
      <w:r>
        <w:rPr>
          <w:rFonts w:hint="eastAsia" w:ascii="Times New Roman" w:hAnsi="Times New Roman" w:eastAsia="方正仿宋_GBK" w:cs="Times New Roman"/>
          <w:kern w:val="2"/>
          <w:sz w:val="32"/>
          <w:szCs w:val="32"/>
          <w:lang w:val="en-US" w:eastAsia="zh-CN" w:bidi="ar-SA"/>
        </w:rPr>
        <w:t>1.绩效自评表</w:t>
      </w:r>
    </w:p>
    <w:tbl>
      <w:tblPr>
        <w:tblStyle w:val="4"/>
        <w:tblpPr w:leftFromText="180" w:rightFromText="180" w:vertAnchor="text" w:horzAnchor="page" w:tblpXSpec="center" w:tblpY="7543"/>
        <w:tblOverlap w:val="never"/>
        <w:tblW w:w="100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45"/>
        <w:gridCol w:w="1755"/>
        <w:gridCol w:w="930"/>
        <w:gridCol w:w="975"/>
        <w:gridCol w:w="1620"/>
        <w:gridCol w:w="1650"/>
        <w:gridCol w:w="1290"/>
        <w:gridCol w:w="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jc w:val="center"/>
        </w:trPr>
        <w:tc>
          <w:tcPr>
            <w:tcW w:w="945"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附件1：</w:t>
            </w:r>
          </w:p>
        </w:tc>
        <w:tc>
          <w:tcPr>
            <w:tcW w:w="1755"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u w:val="none"/>
              </w:rPr>
            </w:pPr>
          </w:p>
        </w:tc>
        <w:tc>
          <w:tcPr>
            <w:tcW w:w="930" w:type="dxa"/>
            <w:tcBorders>
              <w:top w:val="nil"/>
              <w:left w:val="nil"/>
              <w:bottom w:val="nil"/>
              <w:right w:val="nil"/>
            </w:tcBorders>
            <w:shd w:val="clear" w:color="auto" w:fill="auto"/>
            <w:tcMar>
              <w:top w:w="15" w:type="dxa"/>
              <w:left w:w="15" w:type="dxa"/>
              <w:right w:w="15" w:type="dxa"/>
            </w:tcMar>
            <w:vAlign w:val="center"/>
          </w:tcPr>
          <w:p>
            <w:pPr>
              <w:rPr>
                <w:rFonts w:hint="eastAsia" w:ascii="黑体" w:hAnsi="宋体" w:eastAsia="黑体" w:cs="黑体"/>
                <w:i w:val="0"/>
                <w:color w:val="000000"/>
                <w:sz w:val="24"/>
                <w:szCs w:val="24"/>
                <w:u w:val="none"/>
              </w:rPr>
            </w:pPr>
          </w:p>
        </w:tc>
        <w:tc>
          <w:tcPr>
            <w:tcW w:w="975"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62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65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9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870" w:type="dxa"/>
            <w:tcBorders>
              <w:top w:val="nil"/>
              <w:left w:val="nil"/>
              <w:bottom w:val="nil"/>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5" w:hRule="atLeast"/>
          <w:jc w:val="center"/>
        </w:trPr>
        <w:tc>
          <w:tcPr>
            <w:tcW w:w="10035" w:type="dxa"/>
            <w:gridSpan w:val="8"/>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2020年度部门（单位）项目支出绩效自评表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5" w:hRule="atLeast"/>
          <w:jc w:val="center"/>
        </w:trPr>
        <w:tc>
          <w:tcPr>
            <w:tcW w:w="6225" w:type="dxa"/>
            <w:gridSpan w:val="5"/>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填表单位（盖章）：重庆市綦江区中山路小学</w:t>
            </w:r>
          </w:p>
        </w:tc>
        <w:tc>
          <w:tcPr>
            <w:tcW w:w="1650"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c>
          <w:tcPr>
            <w:tcW w:w="1290"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c>
          <w:tcPr>
            <w:tcW w:w="870"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5"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6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2020年抗疫特别国债市级预留机动资金（直达资金）-学校扩建工程费用补助</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自评总分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（分）</w:t>
            </w:r>
          </w:p>
        </w:tc>
        <w:tc>
          <w:tcPr>
            <w:tcW w:w="38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5"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业务主管部门</w:t>
            </w:r>
          </w:p>
        </w:tc>
        <w:tc>
          <w:tcPr>
            <w:tcW w:w="36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重庆市綦江区教育委员会</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联系人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及电话</w:t>
            </w:r>
          </w:p>
        </w:tc>
        <w:tc>
          <w:tcPr>
            <w:tcW w:w="381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王世洪17723613099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jc w:val="center"/>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执行率%（B/A）</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其中：中央补助</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市级补助</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区级资金</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10" w:hRule="atLeast"/>
          <w:jc w:val="center"/>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36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年初设定目标</w:t>
            </w:r>
          </w:p>
        </w:tc>
        <w:tc>
          <w:tcPr>
            <w:tcW w:w="54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48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66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二期改扩建工程建设，建设设计费，需安装升旗杆3根、校园文化打造设计费，拆除维修新旧教学楼间的安全隐患等费用的结算。保持社会和谐稳定，使各参与二期建设的单位满意，能得到全体师生员工的好评，得到广大人民群众的认可。</w:t>
            </w:r>
          </w:p>
        </w:tc>
        <w:tc>
          <w:tcPr>
            <w:tcW w:w="543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校二期改扩建工程建设，建设设计费，需安装升旗杆3根、校园文化打造设计费，拆除维修新旧教学楼间的安全隐患等费用的结算。保持社会和谐稳定，使各参与二期建设的单位满意，能得到全体师生员工的好评，得到广大人民群众的认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74" w:hRule="atLeast"/>
          <w:jc w:val="center"/>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指标权重</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全年完成值</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得分系数（%）</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指标得分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受益师生数</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1218</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1232</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受益师生覆盖率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bookmarkStart w:id="0" w:name="_GoBack"/>
            <w:bookmarkEnd w:id="0"/>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62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资金落实精准度</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师生稳定率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98</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5"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师生满意率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99</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0" w:hRule="atLeast"/>
          <w:jc w:val="center"/>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7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社会满意率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97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6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0"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未完成绩效目标或偏离较多的原因、改进措施及其他说明</w:t>
            </w:r>
          </w:p>
        </w:tc>
        <w:tc>
          <w:tcPr>
            <w:tcW w:w="90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jc w:val="center"/>
        </w:trPr>
        <w:tc>
          <w:tcPr>
            <w:tcW w:w="94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5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3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97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2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65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9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87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jc w:val="center"/>
        </w:trPr>
        <w:tc>
          <w:tcPr>
            <w:tcW w:w="270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预算单位主要领导：           </w:t>
            </w:r>
          </w:p>
        </w:tc>
        <w:tc>
          <w:tcPr>
            <w:tcW w:w="1905"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绩效评价负责人：</w:t>
            </w:r>
          </w:p>
        </w:tc>
        <w:tc>
          <w:tcPr>
            <w:tcW w:w="327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经办人：</w:t>
            </w:r>
          </w:p>
        </w:tc>
        <w:tc>
          <w:tcPr>
            <w:tcW w:w="1290" w:type="dxa"/>
            <w:tcBorders>
              <w:top w:val="nil"/>
              <w:left w:val="nil"/>
              <w:bottom w:val="nil"/>
              <w:right w:val="nil"/>
            </w:tcBorders>
            <w:shd w:val="clear" w:color="auto" w:fill="auto"/>
            <w:tcMar>
              <w:top w:w="15" w:type="dxa"/>
              <w:left w:w="15" w:type="dxa"/>
              <w:right w:w="15" w:type="dxa"/>
            </w:tcMar>
            <w:vAlign w:val="center"/>
          </w:tcPr>
          <w:p>
            <w:pPr>
              <w:jc w:val="right"/>
              <w:rPr>
                <w:rFonts w:hint="eastAsia" w:ascii="宋体" w:hAnsi="宋体" w:eastAsia="宋体" w:cs="宋体"/>
                <w:i w:val="0"/>
                <w:color w:val="000000"/>
                <w:sz w:val="20"/>
                <w:szCs w:val="20"/>
                <w:u w:val="none"/>
              </w:rPr>
            </w:pPr>
          </w:p>
        </w:tc>
        <w:tc>
          <w:tcPr>
            <w:tcW w:w="87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pStyle w:val="3"/>
        <w:shd w:val="clear" w:color="auto" w:fill="FFFFFF"/>
        <w:spacing w:before="0" w:beforeAutospacing="0" w:after="0" w:afterAutospacing="0"/>
        <w:rPr>
          <w:rStyle w:val="6"/>
          <w:rFonts w:ascii="Arial" w:hAnsi="Arial" w:cs="Arial"/>
          <w:color w:val="000000"/>
          <w:sz w:val="27"/>
          <w:szCs w:val="27"/>
        </w:rPr>
      </w:pP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2、绩效自评报告或案例</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 无</w:t>
      </w:r>
    </w:p>
    <w:p>
      <w:pPr>
        <w:pStyle w:val="3"/>
        <w:shd w:val="clear" w:color="auto" w:fill="FFFFFF"/>
        <w:spacing w:before="0" w:beforeAutospacing="0" w:after="0" w:afterAutospacing="0"/>
        <w:rPr>
          <w:rFonts w:hint="eastAsia" w:ascii="Times New Roman" w:hAnsi="Times New Roman" w:eastAsia="方正楷体_GBK" w:cs="Times New Roman"/>
          <w:color w:val="333333"/>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（三）重点绩效评价结果</w:t>
      </w:r>
    </w:p>
    <w:p>
      <w:pPr>
        <w:pStyle w:val="3"/>
        <w:shd w:val="clear" w:color="auto" w:fill="FFFFFF"/>
        <w:spacing w:before="0" w:beforeAutospacing="0" w:after="0" w:afterAutospacing="0"/>
        <w:rPr>
          <w:rFonts w:ascii="Arial" w:hAnsi="Arial" w:cs="Arial"/>
          <w:color w:val="000000"/>
          <w:sz w:val="18"/>
          <w:szCs w:val="18"/>
        </w:rPr>
      </w:pPr>
    </w:p>
    <w:p>
      <w:pPr>
        <w:pStyle w:val="3"/>
        <w:shd w:val="clear" w:color="auto" w:fill="FFFFFF"/>
        <w:spacing w:before="0" w:beforeAutospacing="0" w:after="0" w:afterAutospacing="0"/>
        <w:rPr>
          <w:rStyle w:val="6"/>
          <w:rFonts w:hint="eastAsia" w:cs="Arial"/>
          <w:color w:val="000000"/>
          <w:sz w:val="36"/>
          <w:szCs w:val="36"/>
        </w:rPr>
      </w:pPr>
      <w:r>
        <w:rPr>
          <w:rFonts w:hint="eastAsia" w:ascii="Times New Roman" w:hAnsi="Times New Roman" w:eastAsia="方正黑体_GBK" w:cs="Times New Roman"/>
          <w:kern w:val="2"/>
          <w:sz w:val="32"/>
          <w:szCs w:val="32"/>
          <w:lang w:val="en-US" w:eastAsia="zh-CN" w:bidi="ar-SA"/>
        </w:rPr>
        <w:t>六、专业名词解释</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楷体_GBK" w:cs="Times New Roman"/>
          <w:color w:val="333333"/>
          <w:kern w:val="2"/>
          <w:sz w:val="32"/>
          <w:szCs w:val="32"/>
          <w:lang w:val="en-US" w:eastAsia="zh-CN" w:bidi="ar-SA"/>
        </w:rPr>
        <w:t>（一）财政拨款收入：</w:t>
      </w:r>
      <w:r>
        <w:rPr>
          <w:rFonts w:hint="eastAsia" w:ascii="Times New Roman" w:hAnsi="Times New Roman" w:eastAsia="方正仿宋_GBK" w:cs="Times New Roman"/>
          <w:kern w:val="2"/>
          <w:sz w:val="32"/>
          <w:szCs w:val="32"/>
          <w:lang w:val="en-US" w:eastAsia="zh-CN" w:bidi="ar-SA"/>
        </w:rPr>
        <w:t>指本年度从本级财政部门取得的财政拨款，包括一般公共预算财政拨款和政府性基金预算财政拨款。</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（二）事业收入：</w:t>
      </w:r>
      <w:r>
        <w:rPr>
          <w:rFonts w:hint="eastAsia" w:ascii="Times New Roman" w:hAnsi="Times New Roman" w:eastAsia="方正仿宋_GBK" w:cs="Times New Roman"/>
          <w:kern w:val="2"/>
          <w:sz w:val="32"/>
          <w:szCs w:val="32"/>
          <w:lang w:val="en-US" w:eastAsia="zh-CN" w:bidi="ar-SA"/>
        </w:rPr>
        <w:t>指事业单位开展专业业务活动及其辅助活动取得的现金流入；事业单位收到的财政专户实际核拨的教育收费等资金在此反映。</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（三）经营收入：</w:t>
      </w:r>
      <w:r>
        <w:rPr>
          <w:rFonts w:hint="eastAsia" w:ascii="Times New Roman" w:hAnsi="Times New Roman" w:eastAsia="方正仿宋_GBK" w:cs="Times New Roman"/>
          <w:kern w:val="2"/>
          <w:sz w:val="32"/>
          <w:szCs w:val="32"/>
          <w:lang w:val="en-US" w:eastAsia="zh-CN" w:bidi="ar-SA"/>
        </w:rPr>
        <w:t>指事业单位在专业业务活动及其辅助活动之外开展非独立核算经营活动取得的现金流入。</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（四）其他收入：</w:t>
      </w:r>
      <w:r>
        <w:rPr>
          <w:rFonts w:hint="eastAsia" w:ascii="Times New Roman" w:hAnsi="Times New Roman" w:eastAsia="方正仿宋_GBK" w:cs="Times New Roman"/>
          <w:kern w:val="2"/>
          <w:sz w:val="32"/>
          <w:szCs w:val="32"/>
          <w:lang w:val="en-US" w:eastAsia="zh-CN" w:bidi="ar-SA"/>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（五）使用非财政拨款结余：</w:t>
      </w:r>
      <w:r>
        <w:rPr>
          <w:rFonts w:hint="eastAsia" w:ascii="Times New Roman" w:hAnsi="Times New Roman" w:eastAsia="方正仿宋_GBK" w:cs="Times New Roman"/>
          <w:kern w:val="2"/>
          <w:sz w:val="32"/>
          <w:szCs w:val="32"/>
          <w:lang w:val="en-US" w:eastAsia="zh-CN" w:bidi="ar-SA"/>
        </w:rPr>
        <w:t>指单位在当年的“财政拨款收入”、“事业收入”、“经营收入”、“其他收入”等不足以安排当年支出的情况下，使用以前年度积累的非财政拨款结余弥补本年度收支缺口的资金。</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（六）年初结转和结余：</w:t>
      </w:r>
      <w:r>
        <w:rPr>
          <w:rFonts w:hint="eastAsia" w:ascii="Times New Roman" w:hAnsi="Times New Roman" w:eastAsia="方正仿宋_GBK" w:cs="Times New Roman"/>
          <w:kern w:val="2"/>
          <w:sz w:val="32"/>
          <w:szCs w:val="32"/>
          <w:lang w:val="en-US" w:eastAsia="zh-CN" w:bidi="ar-SA"/>
        </w:rPr>
        <w:t>指单位上年结转本年使用的基本支出结转、项目支出结转和结余、经营结余。</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楷体_GBK" w:cs="Times New Roman"/>
          <w:color w:val="333333"/>
          <w:kern w:val="2"/>
          <w:sz w:val="32"/>
          <w:szCs w:val="32"/>
          <w:lang w:val="en-US" w:eastAsia="zh-CN" w:bidi="ar-SA"/>
        </w:rPr>
        <w:t>（七）结余分配：</w:t>
      </w:r>
      <w:r>
        <w:rPr>
          <w:rFonts w:hint="eastAsia" w:ascii="Times New Roman" w:hAnsi="Times New Roman" w:eastAsia="方正仿宋_GBK" w:cs="Times New Roman"/>
          <w:kern w:val="2"/>
          <w:sz w:val="32"/>
          <w:szCs w:val="32"/>
          <w:lang w:val="en-US" w:eastAsia="zh-CN" w:bidi="ar-SA"/>
        </w:rPr>
        <w:t>指单位按照国家有关规定，缴纳所得税、提取专用基金、转入非财政拨款结余等当年结余的分配情况。</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（八）年末结转和结余：</w:t>
      </w:r>
      <w:r>
        <w:rPr>
          <w:rFonts w:hint="eastAsia" w:ascii="Times New Roman" w:hAnsi="Times New Roman" w:eastAsia="方正仿宋_GBK" w:cs="Times New Roman"/>
          <w:kern w:val="2"/>
          <w:sz w:val="32"/>
          <w:szCs w:val="32"/>
          <w:lang w:val="en-US" w:eastAsia="zh-CN" w:bidi="ar-SA"/>
        </w:rPr>
        <w:t>指单位结转下年的基本支出结转、项目支出结转和结余、经营结余。</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（九）基本支出：</w:t>
      </w:r>
      <w:r>
        <w:rPr>
          <w:rFonts w:hint="eastAsia" w:ascii="Times New Roman" w:hAnsi="Times New Roman" w:eastAsia="方正仿宋_GBK" w:cs="Times New Roman"/>
          <w:kern w:val="2"/>
          <w:sz w:val="32"/>
          <w:szCs w:val="32"/>
          <w:lang w:val="en-US" w:eastAsia="zh-CN" w:bidi="ar-SA"/>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（十）项目支出：</w:t>
      </w:r>
      <w:r>
        <w:rPr>
          <w:rFonts w:hint="eastAsia" w:ascii="Times New Roman" w:hAnsi="Times New Roman" w:eastAsia="方正仿宋_GBK" w:cs="Times New Roman"/>
          <w:kern w:val="2"/>
          <w:sz w:val="32"/>
          <w:szCs w:val="32"/>
          <w:lang w:val="en-US" w:eastAsia="zh-CN" w:bidi="ar-SA"/>
        </w:rPr>
        <w:t>指在基本支出之外为完成特定行政任务和事业发展目标所发生的支出。</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楷体_GBK" w:cs="Times New Roman"/>
          <w:color w:val="333333"/>
          <w:kern w:val="2"/>
          <w:sz w:val="32"/>
          <w:szCs w:val="32"/>
          <w:lang w:val="en-US" w:eastAsia="zh-CN" w:bidi="ar-SA"/>
        </w:rPr>
        <w:t>（十一）经营支出：</w:t>
      </w:r>
      <w:r>
        <w:rPr>
          <w:rFonts w:hint="eastAsia" w:ascii="Times New Roman" w:hAnsi="Times New Roman" w:eastAsia="方正仿宋_GBK" w:cs="Times New Roman"/>
          <w:kern w:val="2"/>
          <w:sz w:val="32"/>
          <w:szCs w:val="32"/>
          <w:lang w:val="en-US" w:eastAsia="zh-CN" w:bidi="ar-SA"/>
        </w:rPr>
        <w:t>指事业单位在专业业务活动及其辅助活动之外开展非独立核算经营活动发生的支出。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（十二）“三公”经费：</w:t>
      </w:r>
      <w:r>
        <w:rPr>
          <w:rFonts w:hint="eastAsia" w:ascii="Times New Roman" w:hAnsi="Times New Roman" w:eastAsia="方正仿宋_GBK" w:cs="Times New Roman"/>
          <w:kern w:val="2"/>
          <w:sz w:val="32"/>
          <w:szCs w:val="32"/>
          <w:lang w:val="en-US" w:eastAsia="zh-CN" w:bidi="ar-SA"/>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3"/>
        <w:shd w:val="clear" w:color="auto" w:fill="FFFFFF"/>
        <w:spacing w:before="0" w:beforeAutospacing="0" w:after="0" w:afterAutospacing="0"/>
        <w:rPr>
          <w:rFonts w:ascii="Arial" w:hAnsi="Arial" w:cs="Arial"/>
          <w:color w:val="000000"/>
          <w:sz w:val="18"/>
          <w:szCs w:val="18"/>
        </w:rPr>
      </w:pPr>
      <w:r>
        <w:rPr>
          <w:rFonts w:hint="eastAsia" w:ascii="Times New Roman" w:hAnsi="Times New Roman" w:eastAsia="方正楷体_GBK" w:cs="Times New Roman"/>
          <w:color w:val="333333"/>
          <w:kern w:val="2"/>
          <w:sz w:val="32"/>
          <w:szCs w:val="32"/>
          <w:lang w:val="en-US" w:eastAsia="zh-CN" w:bidi="ar-SA"/>
        </w:rPr>
        <w:t>（十三）机关运行经费：</w:t>
      </w:r>
      <w:r>
        <w:rPr>
          <w:rFonts w:hint="eastAsia" w:ascii="Times New Roman" w:hAnsi="Times New Roman" w:eastAsia="方正仿宋_GBK" w:cs="Times New Roman"/>
          <w:kern w:val="2"/>
          <w:sz w:val="32"/>
          <w:szCs w:val="32"/>
          <w:lang w:val="en-US" w:eastAsia="zh-CN" w:bidi="ar-SA"/>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（十四）工资福利支出（支出经济分类科目类级）：</w:t>
      </w:r>
      <w:r>
        <w:rPr>
          <w:rFonts w:hint="eastAsia" w:ascii="Times New Roman" w:hAnsi="Times New Roman" w:eastAsia="方正仿宋_GBK" w:cs="Times New Roman"/>
          <w:kern w:val="2"/>
          <w:sz w:val="32"/>
          <w:szCs w:val="32"/>
          <w:lang w:val="en-US" w:eastAsia="zh-CN" w:bidi="ar-SA"/>
        </w:rPr>
        <w:t>反映单位开支的在职职工和编制外长期聘用人员的各类劳动报酬，以及为上述人员缴纳的各项社会保险费等。</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（十五）商品和服务支出（支出经济分类科目类级）：</w:t>
      </w:r>
      <w:r>
        <w:rPr>
          <w:rFonts w:hint="eastAsia" w:ascii="Times New Roman" w:hAnsi="Times New Roman" w:eastAsia="方正仿宋_GBK" w:cs="Times New Roman"/>
          <w:kern w:val="2"/>
          <w:sz w:val="32"/>
          <w:szCs w:val="32"/>
          <w:lang w:val="en-US" w:eastAsia="zh-CN" w:bidi="ar-SA"/>
        </w:rPr>
        <w:t>反映单位购买商品和服务的支出（不包括用于购置固定资产的支出、战略性和应急储备支出）。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（十六）对个人和家庭的补助（支出经济分类科目类级）：</w:t>
      </w:r>
      <w:r>
        <w:rPr>
          <w:rFonts w:hint="eastAsia" w:ascii="Times New Roman" w:hAnsi="Times New Roman" w:eastAsia="方正仿宋_GBK" w:cs="Times New Roman"/>
          <w:kern w:val="2"/>
          <w:sz w:val="32"/>
          <w:szCs w:val="32"/>
          <w:lang w:val="en-US" w:eastAsia="zh-CN" w:bidi="ar-SA"/>
        </w:rPr>
        <w:t>反映用于对个人和家庭的补助支出。</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楷体_GBK" w:cs="Times New Roman"/>
          <w:color w:val="333333"/>
          <w:kern w:val="2"/>
          <w:sz w:val="32"/>
          <w:szCs w:val="32"/>
          <w:lang w:val="en-US" w:eastAsia="zh-CN" w:bidi="ar-SA"/>
        </w:rPr>
        <w:t>（十七）其他资本性支出（支出经济分类科目类级）：</w:t>
      </w:r>
      <w:r>
        <w:rPr>
          <w:rFonts w:hint="eastAsia" w:ascii="Times New Roman" w:hAnsi="Times New Roman" w:eastAsia="方正仿宋_GBK" w:cs="Times New Roman"/>
          <w:kern w:val="2"/>
          <w:sz w:val="32"/>
          <w:szCs w:val="32"/>
          <w:lang w:val="en-US" w:eastAsia="zh-CN" w:bidi="ar-SA"/>
        </w:rPr>
        <w:t>反映非各级发展与改革部门集中安排的用于购置固定资产、战略性和应急性储备、土地和无形资产，以及构建基础设施、大型修缮和财政支持企业更新改造所发生的支出。</w:t>
      </w:r>
    </w:p>
    <w:p>
      <w:pPr>
        <w:pStyle w:val="3"/>
        <w:shd w:val="clear" w:color="auto" w:fill="FFFFFF"/>
        <w:spacing w:before="0" w:beforeAutospacing="0" w:after="0" w:afterAutospacing="0"/>
        <w:rPr>
          <w:rFonts w:hint="eastAsia" w:ascii="Times New Roman" w:hAnsi="Times New Roman" w:eastAsia="方正黑体_GBK" w:cs="Times New Roman"/>
          <w:kern w:val="2"/>
          <w:sz w:val="32"/>
          <w:szCs w:val="32"/>
          <w:lang w:val="en-US" w:eastAsia="zh-CN" w:bidi="ar-SA"/>
        </w:rPr>
      </w:pPr>
      <w:r>
        <w:rPr>
          <w:rFonts w:hint="eastAsia" w:ascii="Times New Roman" w:hAnsi="Times New Roman" w:eastAsia="方正黑体_GBK" w:cs="Times New Roman"/>
          <w:kern w:val="2"/>
          <w:sz w:val="32"/>
          <w:szCs w:val="32"/>
          <w:lang w:val="en-US" w:eastAsia="zh-CN" w:bidi="ar-SA"/>
        </w:rPr>
        <w:t>七、决算公开联系方式及信息反馈渠道</w:t>
      </w:r>
    </w:p>
    <w:p>
      <w:pPr>
        <w:pStyle w:val="3"/>
        <w:shd w:val="clear" w:color="auto" w:fill="FFFFFF"/>
        <w:spacing w:before="0" w:beforeAutospacing="0" w:after="0" w:afterAutospacing="0"/>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本单位决算公开信息反馈和联系方式：023-48665025。</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EzYWYxYTY4NzQ3ZjAxZTg4Njg0OTUxNTYxM2Y5ZGQifQ=="/>
  </w:docVars>
  <w:rsids>
    <w:rsidRoot w:val="00017355"/>
    <w:rsid w:val="00017355"/>
    <w:rsid w:val="000F54B8"/>
    <w:rsid w:val="005B3285"/>
    <w:rsid w:val="0064631C"/>
    <w:rsid w:val="00886AF4"/>
    <w:rsid w:val="00AF372D"/>
    <w:rsid w:val="00F6627F"/>
    <w:rsid w:val="1A7847AC"/>
    <w:rsid w:val="46E20317"/>
    <w:rsid w:val="4C534CC6"/>
    <w:rsid w:val="73931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7">
    <w:name w:val="页脚 Char"/>
    <w:link w:val="2"/>
    <w:qFormat/>
    <w:uiPriority w:val="0"/>
    <w:rPr>
      <w:sz w:val="18"/>
      <w:szCs w:val="18"/>
    </w:rPr>
  </w:style>
  <w:style w:type="character" w:customStyle="1" w:styleId="8">
    <w:name w:val="页脚 Char1"/>
    <w:basedOn w:val="5"/>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23543-70C7-4CB9-83C7-6F1B9DCDD8A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5652</Words>
  <Characters>6352</Characters>
  <Lines>63</Lines>
  <Paragraphs>18</Paragraphs>
  <TotalTime>50</TotalTime>
  <ScaleCrop>false</ScaleCrop>
  <LinksUpToDate>false</LinksUpToDate>
  <CharactersWithSpaces>6414</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2022-08-28T05:05:00Z</dcterms:created>
  <dc:creator>hp20210114</dc:creator>
  <cp:lastModifiedBy>陈列</cp:lastModifiedBy>
  <dcterms:modified xsi:type="dcterms:W3CDTF">2022-09-01T15:32:28Z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13209C458EF5426882DCB3D2C85C17FD</vt:lpwstr>
  </property>
</Properties>
</file>