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600" w:lineRule="exact"/>
        <w:jc w:val="center"/>
        <w:rPr>
          <w:rFonts w:ascii="方正小标宋_GBK" w:hAnsi="Times New Roman" w:eastAsia="方正小标宋_GBK" w:cs="Times New Roman"/>
          <w:kern w:val="2"/>
          <w:sz w:val="44"/>
          <w:szCs w:val="44"/>
        </w:rPr>
      </w:pPr>
      <w:r>
        <w:rPr>
          <w:rFonts w:hint="eastAsia" w:ascii="方正小标宋_GBK" w:hAnsi="Times New Roman" w:eastAsia="方正小标宋_GBK" w:cs="Times New Roman"/>
          <w:kern w:val="2"/>
          <w:sz w:val="44"/>
          <w:szCs w:val="44"/>
        </w:rPr>
        <w:t>重庆市綦江区石壕小学</w:t>
      </w:r>
    </w:p>
    <w:p>
      <w:pPr>
        <w:widowControl w:val="0"/>
        <w:spacing w:line="600" w:lineRule="exact"/>
        <w:jc w:val="center"/>
        <w:rPr>
          <w:rFonts w:ascii="方正小标宋_GBK" w:hAnsi="Times New Roman" w:eastAsia="方正小标宋_GBK" w:cs="Times New Roman"/>
          <w:kern w:val="2"/>
          <w:sz w:val="44"/>
          <w:szCs w:val="44"/>
        </w:rPr>
      </w:pPr>
      <w:r>
        <w:rPr>
          <w:rFonts w:hint="eastAsia" w:ascii="方正小标宋_GBK" w:hAnsi="Times New Roman" w:eastAsia="方正小标宋_GBK" w:cs="Times New Roman"/>
          <w:kern w:val="2"/>
          <w:sz w:val="44"/>
          <w:szCs w:val="44"/>
        </w:rPr>
        <w:t>2020年度部门决算情况说明</w:t>
      </w:r>
    </w:p>
    <w:p>
      <w:pPr>
        <w:widowControl w:val="0"/>
        <w:spacing w:line="600" w:lineRule="exact"/>
        <w:jc w:val="center"/>
        <w:rPr>
          <w:rFonts w:ascii="方正小标宋_GBK" w:hAnsi="Times New Roman" w:eastAsia="方正小标宋_GBK" w:cs="Times New Roman"/>
          <w:kern w:val="2"/>
          <w:sz w:val="44"/>
          <w:szCs w:val="44"/>
        </w:rPr>
      </w:pPr>
      <w:r>
        <w:rPr>
          <w:rFonts w:hint="eastAsia" w:ascii="方正小标宋_GBK" w:hAnsi="Times New Roman" w:eastAsia="方正小标宋_GBK" w:cs="Times New Roman"/>
          <w:kern w:val="2"/>
          <w:sz w:val="44"/>
          <w:szCs w:val="44"/>
        </w:rPr>
        <w:t> </w:t>
      </w:r>
    </w:p>
    <w:p>
      <w:pPr>
        <w:pStyle w:val="11"/>
        <w:tabs>
          <w:tab w:val="center" w:pos="4153"/>
          <w:tab w:val="left" w:pos="7275"/>
        </w:tabs>
        <w:spacing w:line="600" w:lineRule="exact"/>
        <w:ind w:firstLine="640"/>
        <w:rPr>
          <w:rFonts w:eastAsia="方正黑体_GBK"/>
          <w:sz w:val="32"/>
          <w:szCs w:val="32"/>
        </w:rPr>
      </w:pPr>
      <w:r>
        <w:rPr>
          <w:rFonts w:hint="eastAsia" w:eastAsia="方正黑体_GBK"/>
          <w:sz w:val="32"/>
          <w:szCs w:val="32"/>
        </w:rPr>
        <w:t>一、单位基本情况</w:t>
      </w:r>
    </w:p>
    <w:p>
      <w:pPr>
        <w:pStyle w:val="4"/>
        <w:shd w:val="clear" w:color="auto" w:fill="FFFFFF"/>
        <w:adjustRightInd w:val="0"/>
        <w:snapToGrid w:val="0"/>
        <w:spacing w:before="0" w:beforeAutospacing="0" w:after="0" w:afterAutospacing="0" w:line="600" w:lineRule="exact"/>
        <w:ind w:firstLine="640" w:firstLineChars="200"/>
        <w:rPr>
          <w:rFonts w:ascii="方正楷体_GBK" w:eastAsia="方正楷体_GBK"/>
          <w:b/>
          <w:sz w:val="32"/>
          <w:szCs w:val="32"/>
        </w:rPr>
      </w:pPr>
      <w:r>
        <w:rPr>
          <w:rStyle w:val="6"/>
          <w:rFonts w:hint="eastAsia" w:ascii="方正楷体_GBK" w:eastAsia="方正楷体_GBK"/>
          <w:b w:val="0"/>
          <w:sz w:val="32"/>
          <w:szCs w:val="32"/>
        </w:rPr>
        <w:t>（一）职能职责</w:t>
      </w:r>
    </w:p>
    <w:p>
      <w:pPr>
        <w:pStyle w:val="4"/>
        <w:shd w:val="clear" w:color="auto" w:fill="FFFFFF"/>
        <w:adjustRightInd w:val="0"/>
        <w:snapToGrid w:val="0"/>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实施小学义务教育，促进基础教育发展，小学学历教育（相关社会服务）。</w:t>
      </w:r>
    </w:p>
    <w:p>
      <w:pPr>
        <w:pStyle w:val="4"/>
        <w:shd w:val="clear" w:color="auto" w:fill="FFFFFF"/>
        <w:adjustRightInd w:val="0"/>
        <w:snapToGrid w:val="0"/>
        <w:spacing w:before="0" w:beforeAutospacing="0" w:after="0" w:afterAutospacing="0" w:line="600" w:lineRule="exact"/>
        <w:ind w:firstLine="640" w:firstLineChars="200"/>
        <w:rPr>
          <w:rStyle w:val="6"/>
          <w:rFonts w:ascii="方正楷体_GBK" w:eastAsia="方正楷体_GBK"/>
          <w:b w:val="0"/>
          <w:sz w:val="32"/>
          <w:szCs w:val="32"/>
        </w:rPr>
      </w:pPr>
      <w:r>
        <w:rPr>
          <w:rStyle w:val="6"/>
          <w:rFonts w:hint="eastAsia" w:ascii="方正楷体_GBK" w:eastAsia="方正楷体_GBK"/>
          <w:b w:val="0"/>
          <w:sz w:val="32"/>
          <w:szCs w:val="32"/>
        </w:rPr>
        <w:t>（二）机构设置</w:t>
      </w:r>
    </w:p>
    <w:p>
      <w:pPr>
        <w:pStyle w:val="4"/>
        <w:shd w:val="clear" w:color="auto" w:fill="FFFFFF"/>
        <w:adjustRightInd w:val="0"/>
        <w:snapToGrid w:val="0"/>
        <w:spacing w:before="0" w:beforeAutospacing="0" w:after="0" w:afterAutospacing="0" w:line="600" w:lineRule="exact"/>
        <w:ind w:firstLine="640" w:firstLineChars="200"/>
        <w:rPr>
          <w:color w:val="000000" w:themeColor="text1"/>
          <w14:textFill>
            <w14:solidFill>
              <w14:schemeClr w14:val="tx1"/>
            </w14:solidFill>
          </w14:textFill>
        </w:rPr>
      </w:pPr>
      <w:r>
        <w:rPr>
          <w:rFonts w:hint="eastAsia" w:eastAsia="方正仿宋_GBK"/>
          <w:color w:val="000000" w:themeColor="text1"/>
          <w:sz w:val="32"/>
          <w:szCs w:val="27"/>
          <w14:textFill>
            <w14:solidFill>
              <w14:schemeClr w14:val="tx1"/>
            </w14:solidFill>
          </w14:textFill>
        </w:rPr>
        <w:t>本单位属基层预算单位，2020年编制人数48人，实有人数49人。设书记1人，校长1人，副校长2人；内设机构3个，分别为政教处、总务处和安保处；中层班干部4人，分别为政教主任、政教副主任、总务主任和安保主任。学校有两个办公地点，分别为中心校和柏果村校。中心校和柏果村校分别设有附设幼儿班。</w:t>
      </w:r>
    </w:p>
    <w:p>
      <w:pPr>
        <w:pStyle w:val="4"/>
        <w:shd w:val="clear" w:color="auto" w:fill="FFFFFF"/>
        <w:adjustRightInd w:val="0"/>
        <w:snapToGrid w:val="0"/>
        <w:spacing w:before="0" w:beforeAutospacing="0" w:after="0" w:afterAutospacing="0" w:line="600" w:lineRule="exact"/>
        <w:ind w:firstLine="640" w:firstLineChars="200"/>
        <w:rPr>
          <w:rStyle w:val="6"/>
          <w:rFonts w:ascii="方正楷体_GBK" w:eastAsia="方正楷体_GBK"/>
          <w:b w:val="0"/>
          <w:sz w:val="32"/>
          <w:szCs w:val="32"/>
        </w:rPr>
      </w:pPr>
      <w:r>
        <w:rPr>
          <w:rStyle w:val="6"/>
          <w:rFonts w:hint="eastAsia" w:ascii="方正楷体_GBK" w:eastAsia="方正楷体_GBK"/>
          <w:b w:val="0"/>
          <w:sz w:val="32"/>
          <w:szCs w:val="32"/>
        </w:rPr>
        <w:t>（三）单位构成</w:t>
      </w:r>
    </w:p>
    <w:p>
      <w:pPr>
        <w:pStyle w:val="4"/>
        <w:shd w:val="clear" w:color="auto" w:fill="FFFFFF"/>
        <w:adjustRightInd w:val="0"/>
        <w:snapToGrid w:val="0"/>
        <w:spacing w:before="0" w:beforeAutospacing="0" w:after="0" w:afterAutospacing="0" w:line="600" w:lineRule="exact"/>
        <w:ind w:firstLine="640" w:firstLineChars="200"/>
      </w:pPr>
      <w:r>
        <w:rPr>
          <w:rFonts w:hint="eastAsia" w:eastAsia="方正仿宋_GBK"/>
          <w:sz w:val="32"/>
          <w:szCs w:val="27"/>
        </w:rPr>
        <w:t>本单位无下级预算单位。</w:t>
      </w:r>
    </w:p>
    <w:p>
      <w:pPr>
        <w:pStyle w:val="4"/>
        <w:shd w:val="clear" w:color="auto" w:fill="FFFFFF"/>
        <w:adjustRightInd w:val="0"/>
        <w:snapToGrid w:val="0"/>
        <w:spacing w:before="0" w:beforeAutospacing="0" w:after="0" w:afterAutospacing="0" w:line="600" w:lineRule="exact"/>
        <w:ind w:firstLine="640" w:firstLineChars="200"/>
        <w:rPr>
          <w:rStyle w:val="6"/>
          <w:rFonts w:ascii="方正黑体_GBK" w:hAnsi="黑体" w:eastAsia="方正黑体_GBK"/>
          <w:b w:val="0"/>
          <w:bCs w:val="0"/>
          <w:sz w:val="32"/>
          <w:szCs w:val="32"/>
        </w:rPr>
      </w:pPr>
      <w:r>
        <w:rPr>
          <w:rStyle w:val="6"/>
          <w:rFonts w:hint="eastAsia" w:ascii="方正黑体_GBK" w:hAnsi="黑体" w:eastAsia="方正黑体_GBK"/>
          <w:b w:val="0"/>
          <w:bCs w:val="0"/>
          <w:sz w:val="32"/>
          <w:szCs w:val="32"/>
        </w:rPr>
        <w:t>二、部门决算情况说明</w:t>
      </w:r>
    </w:p>
    <w:p>
      <w:pPr>
        <w:pStyle w:val="4"/>
        <w:shd w:val="clear" w:color="auto" w:fill="FFFFFF"/>
        <w:adjustRightInd w:val="0"/>
        <w:snapToGrid w:val="0"/>
        <w:spacing w:before="0" w:beforeAutospacing="0" w:after="0" w:afterAutospacing="0" w:line="600" w:lineRule="exact"/>
        <w:ind w:firstLine="640" w:firstLineChars="200"/>
        <w:rPr>
          <w:rStyle w:val="6"/>
          <w:rFonts w:ascii="方正楷体_GBK" w:eastAsia="方正楷体_GBK"/>
          <w:b w:val="0"/>
          <w:sz w:val="32"/>
          <w:szCs w:val="32"/>
        </w:rPr>
      </w:pPr>
      <w:r>
        <w:rPr>
          <w:rStyle w:val="6"/>
          <w:rFonts w:hint="eastAsia" w:ascii="方正楷体_GBK" w:eastAsia="方正楷体_GBK"/>
          <w:b w:val="0"/>
          <w:sz w:val="32"/>
          <w:szCs w:val="32"/>
        </w:rPr>
        <w:t>（一）收入支出决算总体情况说明</w:t>
      </w:r>
    </w:p>
    <w:p>
      <w:pPr>
        <w:pStyle w:val="4"/>
        <w:shd w:val="clear" w:color="auto" w:fill="FFFFFF"/>
        <w:adjustRightInd w:val="0"/>
        <w:snapToGrid w:val="0"/>
        <w:spacing w:before="0" w:beforeAutospacing="0" w:after="0" w:afterAutospacing="0" w:line="600" w:lineRule="exact"/>
        <w:ind w:firstLine="640" w:firstLineChars="200"/>
        <w:rPr>
          <w:rFonts w:hint="eastAsia" w:ascii="方正仿宋_GBK" w:eastAsia="方正仿宋_GBK"/>
          <w:sz w:val="32"/>
          <w:szCs w:val="32"/>
        </w:rPr>
      </w:pPr>
      <w:r>
        <w:rPr>
          <w:rFonts w:hint="eastAsia" w:ascii="方正仿宋_GBK" w:eastAsia="方正仿宋_GBK"/>
          <w:sz w:val="32"/>
          <w:szCs w:val="32"/>
        </w:rPr>
        <w:t>1.总体情况。2020年度收入总计2,518.51万元，支出总计2,518.51万元。收支较上年决算数增加1,218.50万元、增长 93.7%，主要原因是用于幼儿园建设的政府性基金预算财政拨款收入增加了1200万元，幼儿园搬迁生源减少导致事业收入减少了11.86万元，年初结转和结余61.80元；教育支出增加28.37万元，社会保障和就业支出增加57.38.万元，卫生健康支出增加1.08万元，住房保障支出增加2.49万元，债务还本支出增加1200万元，年末结转和结余减少70.82万元。</w:t>
      </w:r>
    </w:p>
    <w:p>
      <w:pPr>
        <w:pStyle w:val="4"/>
        <w:shd w:val="clear" w:color="auto" w:fill="FFFFFF"/>
        <w:adjustRightInd w:val="0"/>
        <w:snapToGrid w:val="0"/>
        <w:spacing w:before="0" w:beforeAutospacing="0" w:after="0" w:afterAutospacing="0" w:line="600" w:lineRule="exact"/>
        <w:ind w:firstLine="640" w:firstLineChars="200"/>
        <w:rPr>
          <w:rFonts w:hint="eastAsia" w:ascii="方正仿宋_GBK" w:eastAsia="方正仿宋_GBK"/>
          <w:sz w:val="32"/>
          <w:szCs w:val="32"/>
        </w:rPr>
      </w:pPr>
      <w:r>
        <w:rPr>
          <w:rFonts w:hint="eastAsia" w:ascii="方正仿宋_GBK" w:eastAsia="方正仿宋_GBK"/>
          <w:bCs/>
          <w:sz w:val="32"/>
          <w:szCs w:val="32"/>
        </w:rPr>
        <w:t>2.收入情况。</w:t>
      </w:r>
      <w:r>
        <w:rPr>
          <w:rFonts w:hint="eastAsia" w:ascii="方正仿宋_GBK" w:eastAsia="方正仿宋_GBK"/>
          <w:sz w:val="32"/>
          <w:szCs w:val="32"/>
        </w:rPr>
        <w:t>2020年度收入合计2,295.05万元，较上年决算数增加1,156.69万元，增长101.6%，主要原因是用于幼儿园建设的政府性基金预算财政拨款收入增加了1200万元，教育支出减少41.93万元，社会保障和就业支出增加11.36万元，卫生健康支出减少2.44万元，住房保障支出减少10.31万元。其中：财政拨款收入2,283.44万元，占99.5%；事业收入11.62万元，占0.5%；此外，年初结转和结余223.45万元。</w:t>
      </w:r>
    </w:p>
    <w:p>
      <w:pPr>
        <w:pStyle w:val="4"/>
        <w:shd w:val="clear" w:color="auto" w:fill="FFFFFF"/>
        <w:adjustRightInd w:val="0"/>
        <w:snapToGrid w:val="0"/>
        <w:spacing w:before="0" w:beforeAutospacing="0" w:after="0" w:afterAutospacing="0" w:line="600" w:lineRule="exact"/>
        <w:ind w:firstLine="640" w:firstLineChars="200"/>
        <w:rPr>
          <w:rFonts w:hint="eastAsia" w:ascii="方正仿宋_GBK" w:eastAsia="方正仿宋_GBK"/>
          <w:sz w:val="32"/>
          <w:szCs w:val="32"/>
        </w:rPr>
      </w:pPr>
      <w:r>
        <w:rPr>
          <w:rFonts w:hint="eastAsia" w:ascii="方正仿宋_GBK" w:eastAsia="方正仿宋_GBK"/>
          <w:bCs/>
          <w:sz w:val="32"/>
          <w:szCs w:val="32"/>
        </w:rPr>
        <w:t>3.支出情况。</w:t>
      </w:r>
      <w:r>
        <w:rPr>
          <w:rFonts w:hint="eastAsia" w:ascii="方正仿宋_GBK" w:eastAsia="方正仿宋_GBK"/>
          <w:sz w:val="32"/>
          <w:szCs w:val="32"/>
        </w:rPr>
        <w:t>2020年度支出合计2,480.28万元，较上年决算数增加1,289.32万元，增长108.3%，主要原因是</w:t>
      </w:r>
      <w:bookmarkStart w:id="0" w:name="_Hlk112651381"/>
      <w:r>
        <w:rPr>
          <w:rFonts w:hint="eastAsia" w:ascii="方正仿宋_GBK" w:eastAsia="方正仿宋_GBK"/>
          <w:sz w:val="32"/>
          <w:szCs w:val="32"/>
        </w:rPr>
        <w:t>债务还本支出增加1200万元（指标调剂到实验幼儿园通惠校园），教育支出增加28.38万元，社会保障和就业支出增加57.39万元，卫生健康支出增加1.08万元，住房保障支出增加2.49万元。</w:t>
      </w:r>
      <w:bookmarkEnd w:id="0"/>
      <w:r>
        <w:rPr>
          <w:rFonts w:hint="eastAsia" w:ascii="方正仿宋_GBK" w:eastAsia="方正仿宋_GBK"/>
          <w:sz w:val="32"/>
          <w:szCs w:val="32"/>
        </w:rPr>
        <w:t>其中：基本支出1,118.00万元，占45.1%；项目支出1,362.28万元，占54.9%；</w:t>
      </w:r>
    </w:p>
    <w:p>
      <w:pPr>
        <w:pStyle w:val="4"/>
        <w:shd w:val="clear" w:color="auto" w:fill="FFFFFF"/>
        <w:adjustRightInd w:val="0"/>
        <w:snapToGrid w:val="0"/>
        <w:spacing w:before="0" w:beforeAutospacing="0" w:after="0" w:afterAutospacing="0" w:line="600" w:lineRule="exact"/>
        <w:ind w:firstLine="640" w:firstLineChars="200"/>
        <w:rPr>
          <w:rFonts w:hint="eastAsia" w:ascii="方正仿宋_GBK" w:eastAsia="方正仿宋_GBK"/>
          <w:sz w:val="32"/>
          <w:szCs w:val="32"/>
        </w:rPr>
      </w:pPr>
      <w:r>
        <w:rPr>
          <w:rFonts w:hint="eastAsia" w:ascii="方正仿宋_GBK" w:eastAsia="方正仿宋_GBK"/>
          <w:bCs/>
          <w:sz w:val="32"/>
          <w:szCs w:val="32"/>
        </w:rPr>
        <w:t>4.结转结余情况。</w:t>
      </w:r>
      <w:r>
        <w:rPr>
          <w:rFonts w:hint="eastAsia" w:ascii="方正仿宋_GBK" w:eastAsia="方正仿宋_GBK"/>
          <w:sz w:val="32"/>
          <w:szCs w:val="32"/>
        </w:rPr>
        <w:t>2020年度年末结转和结余38.23万元，较上年决算数减少70.82万元，下降64.9%，主要原因是奖励绩效结余24.02万元，学生生活补助3.34万元，幼儿园升级改造1.58万元。</w:t>
      </w:r>
    </w:p>
    <w:p>
      <w:pPr>
        <w:pStyle w:val="4"/>
        <w:shd w:val="clear" w:color="auto" w:fill="FFFFFF"/>
        <w:adjustRightInd w:val="0"/>
        <w:snapToGrid w:val="0"/>
        <w:spacing w:before="0" w:beforeAutospacing="0" w:after="0" w:afterAutospacing="0" w:line="600" w:lineRule="exact"/>
        <w:ind w:firstLine="640" w:firstLineChars="200"/>
        <w:rPr>
          <w:rStyle w:val="6"/>
          <w:rFonts w:ascii="方正楷体_GBK" w:eastAsia="方正楷体_GBK"/>
          <w:b w:val="0"/>
          <w:sz w:val="32"/>
          <w:szCs w:val="32"/>
        </w:rPr>
      </w:pPr>
      <w:r>
        <w:rPr>
          <w:rStyle w:val="6"/>
          <w:rFonts w:hint="eastAsia" w:ascii="方正楷体_GBK" w:eastAsia="方正楷体_GBK"/>
          <w:b w:val="0"/>
          <w:sz w:val="32"/>
          <w:szCs w:val="32"/>
        </w:rPr>
        <w:t>（二）财政拨款收入支出决算总体情况说明</w:t>
      </w:r>
    </w:p>
    <w:p>
      <w:pPr>
        <w:pStyle w:val="4"/>
        <w:shd w:val="clear" w:color="auto" w:fill="FFFFFF"/>
        <w:adjustRightInd w:val="0"/>
        <w:snapToGrid w:val="0"/>
        <w:spacing w:before="0" w:beforeAutospacing="0" w:after="0" w:afterAutospacing="0" w:line="600" w:lineRule="exact"/>
        <w:ind w:firstLine="640" w:firstLineChars="200"/>
      </w:pPr>
      <w:r>
        <w:rPr>
          <w:rFonts w:hint="eastAsia" w:eastAsia="方正仿宋_GBK"/>
          <w:sz w:val="32"/>
          <w:szCs w:val="27"/>
        </w:rPr>
        <w:t>2020年度财政拨款收、支总计2,505.52万元。与2019年相比，财政拨款收、支总计各增加1,228.99万元，增长96.3%。主要原因是用于幼儿园建设的政府性基金预算财政拨款收入增加了1200万元，教育支出减少41.93万元，社会保障和就业支出增加11.36万元，卫生健康支出减少2.44万元，住房保障支出减少10.31万元。</w:t>
      </w:r>
    </w:p>
    <w:p>
      <w:pPr>
        <w:pStyle w:val="4"/>
        <w:shd w:val="clear" w:color="auto" w:fill="FFFFFF"/>
        <w:adjustRightInd w:val="0"/>
        <w:snapToGrid w:val="0"/>
        <w:spacing w:before="0" w:beforeAutospacing="0" w:after="0" w:afterAutospacing="0" w:line="600" w:lineRule="exact"/>
        <w:ind w:firstLine="640" w:firstLineChars="200"/>
        <w:rPr>
          <w:rStyle w:val="6"/>
          <w:rFonts w:ascii="方正楷体_GBK" w:eastAsia="方正楷体_GBK"/>
          <w:b w:val="0"/>
          <w:sz w:val="32"/>
          <w:szCs w:val="32"/>
        </w:rPr>
      </w:pPr>
      <w:r>
        <w:rPr>
          <w:rStyle w:val="6"/>
          <w:rFonts w:hint="eastAsia" w:ascii="方正楷体_GBK" w:eastAsia="方正楷体_GBK"/>
          <w:b w:val="0"/>
          <w:sz w:val="32"/>
          <w:szCs w:val="32"/>
        </w:rPr>
        <w:t>（三）一般公共预算财政拨款支出决算情况说明</w:t>
      </w:r>
    </w:p>
    <w:p>
      <w:pPr>
        <w:pStyle w:val="4"/>
        <w:shd w:val="clear" w:color="auto" w:fill="FFFFFF"/>
        <w:adjustRightInd w:val="0"/>
        <w:snapToGrid w:val="0"/>
        <w:spacing w:before="0" w:beforeAutospacing="0" w:after="0" w:afterAutospacing="0" w:line="600" w:lineRule="exact"/>
        <w:ind w:firstLine="643" w:firstLineChars="200"/>
      </w:pPr>
      <w:r>
        <w:rPr>
          <w:rStyle w:val="6"/>
          <w:rFonts w:hint="eastAsia" w:eastAsia="方正楷体_GBK"/>
          <w:sz w:val="32"/>
          <w:szCs w:val="27"/>
        </w:rPr>
        <w:t>1.收入情况。</w:t>
      </w:r>
      <w:r>
        <w:rPr>
          <w:rFonts w:hint="eastAsia" w:eastAsia="方正仿宋_GBK"/>
          <w:sz w:val="32"/>
          <w:szCs w:val="27"/>
        </w:rPr>
        <w:t>2020年度一般公共预算财政拨款收入1,083.44万元，较上年决算数减少31.44万元，下降2.8%。主要原因是教育支出减少3</w:t>
      </w:r>
      <w:r>
        <w:rPr>
          <w:rFonts w:eastAsia="方正仿宋_GBK"/>
          <w:sz w:val="32"/>
          <w:szCs w:val="27"/>
        </w:rPr>
        <w:t>0.06</w:t>
      </w:r>
      <w:r>
        <w:rPr>
          <w:rFonts w:hint="eastAsia" w:eastAsia="方正仿宋_GBK"/>
          <w:sz w:val="32"/>
          <w:szCs w:val="27"/>
        </w:rPr>
        <w:t>万元，社会保障和就业支出增加1</w:t>
      </w:r>
      <w:r>
        <w:rPr>
          <w:rFonts w:eastAsia="方正仿宋_GBK"/>
          <w:sz w:val="32"/>
          <w:szCs w:val="27"/>
        </w:rPr>
        <w:t>1.36</w:t>
      </w:r>
      <w:r>
        <w:rPr>
          <w:rFonts w:hint="eastAsia" w:eastAsia="方正仿宋_GBK"/>
          <w:sz w:val="32"/>
          <w:szCs w:val="27"/>
        </w:rPr>
        <w:t>万元，卫生健康支出减少2</w:t>
      </w:r>
      <w:r>
        <w:rPr>
          <w:rFonts w:eastAsia="方正仿宋_GBK"/>
          <w:sz w:val="32"/>
          <w:szCs w:val="27"/>
        </w:rPr>
        <w:t>.44</w:t>
      </w:r>
      <w:r>
        <w:rPr>
          <w:rFonts w:hint="eastAsia" w:eastAsia="方正仿宋_GBK"/>
          <w:sz w:val="32"/>
          <w:szCs w:val="27"/>
        </w:rPr>
        <w:t>万元，住房保障支出减少1</w:t>
      </w:r>
      <w:r>
        <w:rPr>
          <w:rFonts w:eastAsia="方正仿宋_GBK"/>
          <w:sz w:val="32"/>
          <w:szCs w:val="27"/>
        </w:rPr>
        <w:t>0.31</w:t>
      </w:r>
      <w:r>
        <w:rPr>
          <w:rFonts w:hint="eastAsia" w:eastAsia="方正仿宋_GBK"/>
          <w:sz w:val="32"/>
          <w:szCs w:val="27"/>
        </w:rPr>
        <w:t>万元。较年初预算数增加134.50万元，增长14.2%。主要原因是项目支出增加了1</w:t>
      </w:r>
      <w:r>
        <w:rPr>
          <w:rFonts w:eastAsia="方正仿宋_GBK"/>
          <w:sz w:val="32"/>
          <w:szCs w:val="27"/>
        </w:rPr>
        <w:t>12.57</w:t>
      </w:r>
      <w:r>
        <w:rPr>
          <w:rFonts w:hint="eastAsia" w:eastAsia="方正仿宋_GBK"/>
          <w:sz w:val="32"/>
          <w:szCs w:val="27"/>
        </w:rPr>
        <w:t>万元。此外，年初财政拨款结转和结余222.09万元。</w:t>
      </w:r>
    </w:p>
    <w:p>
      <w:pPr>
        <w:pStyle w:val="4"/>
        <w:shd w:val="clear" w:color="auto" w:fill="FFFFFF"/>
        <w:adjustRightInd w:val="0"/>
        <w:snapToGrid w:val="0"/>
        <w:spacing w:before="0" w:beforeAutospacing="0" w:after="0" w:afterAutospacing="0" w:line="600" w:lineRule="exact"/>
        <w:ind w:firstLine="643" w:firstLineChars="200"/>
      </w:pPr>
      <w:r>
        <w:rPr>
          <w:rStyle w:val="6"/>
          <w:rFonts w:hint="eastAsia" w:eastAsia="方正楷体_GBK"/>
          <w:sz w:val="32"/>
          <w:szCs w:val="27"/>
        </w:rPr>
        <w:t>2.支出情况。</w:t>
      </w:r>
      <w:r>
        <w:rPr>
          <w:rFonts w:hint="eastAsia" w:eastAsia="方正仿宋_GBK"/>
          <w:sz w:val="32"/>
          <w:szCs w:val="27"/>
        </w:rPr>
        <w:t>2020年度一般公共预算财政拨款支出1,274.20万元，较上年决算数增加105.36万元，增长9%。主要原因是教育支出增加4</w:t>
      </w:r>
      <w:r>
        <w:rPr>
          <w:rFonts w:eastAsia="方正仿宋_GBK"/>
          <w:sz w:val="32"/>
          <w:szCs w:val="27"/>
        </w:rPr>
        <w:t>4.42</w:t>
      </w:r>
      <w:r>
        <w:rPr>
          <w:rFonts w:hint="eastAsia" w:eastAsia="方正仿宋_GBK"/>
          <w:sz w:val="32"/>
          <w:szCs w:val="27"/>
        </w:rPr>
        <w:t>万元，社会保障和就业支出增加了5</w:t>
      </w:r>
      <w:r>
        <w:rPr>
          <w:rFonts w:eastAsia="方正仿宋_GBK"/>
          <w:sz w:val="32"/>
          <w:szCs w:val="27"/>
        </w:rPr>
        <w:t>7.39</w:t>
      </w:r>
      <w:r>
        <w:rPr>
          <w:rFonts w:hint="eastAsia" w:eastAsia="方正仿宋_GBK"/>
          <w:sz w:val="32"/>
          <w:szCs w:val="27"/>
        </w:rPr>
        <w:t>万元，卫生了健康支出增加了1</w:t>
      </w:r>
      <w:r>
        <w:rPr>
          <w:rFonts w:eastAsia="方正仿宋_GBK"/>
          <w:sz w:val="32"/>
          <w:szCs w:val="27"/>
        </w:rPr>
        <w:t>.08</w:t>
      </w:r>
      <w:r>
        <w:rPr>
          <w:rFonts w:hint="eastAsia" w:eastAsia="方正仿宋_GBK"/>
          <w:sz w:val="32"/>
          <w:szCs w:val="27"/>
        </w:rPr>
        <w:t>万元，住房保障支出增加了2</w:t>
      </w:r>
      <w:r>
        <w:rPr>
          <w:rFonts w:eastAsia="方正仿宋_GBK"/>
          <w:sz w:val="32"/>
          <w:szCs w:val="27"/>
        </w:rPr>
        <w:t>.49</w:t>
      </w:r>
      <w:r>
        <w:rPr>
          <w:rFonts w:hint="eastAsia" w:eastAsia="方正仿宋_GBK"/>
          <w:sz w:val="32"/>
          <w:szCs w:val="27"/>
        </w:rPr>
        <w:t>万元。较年初预算数增加217.58万元，增长20.6%，主要原因是项目支出增加了1</w:t>
      </w:r>
      <w:r>
        <w:rPr>
          <w:rFonts w:eastAsia="方正仿宋_GBK"/>
          <w:sz w:val="32"/>
          <w:szCs w:val="27"/>
        </w:rPr>
        <w:t>12.57</w:t>
      </w:r>
      <w:r>
        <w:rPr>
          <w:rFonts w:hint="eastAsia" w:eastAsia="方正仿宋_GBK"/>
          <w:sz w:val="32"/>
          <w:szCs w:val="27"/>
        </w:rPr>
        <w:t>万元。</w:t>
      </w:r>
    </w:p>
    <w:p>
      <w:pPr>
        <w:pStyle w:val="4"/>
        <w:shd w:val="clear" w:color="auto" w:fill="FFFFFF"/>
        <w:adjustRightInd w:val="0"/>
        <w:snapToGrid w:val="0"/>
        <w:spacing w:before="0" w:beforeAutospacing="0" w:after="0" w:afterAutospacing="0" w:line="600" w:lineRule="exact"/>
        <w:ind w:firstLine="643" w:firstLineChars="200"/>
      </w:pPr>
      <w:r>
        <w:rPr>
          <w:rStyle w:val="6"/>
          <w:rFonts w:hint="eastAsia" w:eastAsia="方正楷体_GBK"/>
          <w:sz w:val="32"/>
          <w:szCs w:val="27"/>
        </w:rPr>
        <w:t>3.结转结余情况。</w:t>
      </w:r>
      <w:r>
        <w:rPr>
          <w:rFonts w:hint="eastAsia" w:eastAsia="方正仿宋_GBK"/>
          <w:sz w:val="32"/>
          <w:szCs w:val="27"/>
        </w:rPr>
        <w:t>2020年度年末一般公共预算财政拨款结转和结余31.32万元，较上年决算数减少76.37万元，下降70.9%，主要原因是教育支出减少</w:t>
      </w:r>
      <w:r>
        <w:rPr>
          <w:rFonts w:eastAsia="方正仿宋_GBK"/>
          <w:sz w:val="32"/>
          <w:szCs w:val="27"/>
        </w:rPr>
        <w:t>63.78</w:t>
      </w:r>
      <w:r>
        <w:rPr>
          <w:rFonts w:hint="eastAsia" w:eastAsia="方正仿宋_GBK"/>
          <w:sz w:val="32"/>
          <w:szCs w:val="27"/>
        </w:rPr>
        <w:t>万元，社会保障和就业支出减少4</w:t>
      </w:r>
      <w:r>
        <w:rPr>
          <w:rFonts w:eastAsia="方正仿宋_GBK"/>
          <w:sz w:val="32"/>
          <w:szCs w:val="27"/>
        </w:rPr>
        <w:t>.44</w:t>
      </w:r>
      <w:r>
        <w:rPr>
          <w:rFonts w:hint="eastAsia" w:eastAsia="方正仿宋_GBK"/>
          <w:sz w:val="32"/>
          <w:szCs w:val="27"/>
        </w:rPr>
        <w:t>万元，卫生了健康支出减少了1</w:t>
      </w:r>
      <w:r>
        <w:rPr>
          <w:rFonts w:eastAsia="方正仿宋_GBK"/>
          <w:sz w:val="32"/>
          <w:szCs w:val="27"/>
        </w:rPr>
        <w:t>.76</w:t>
      </w:r>
      <w:r>
        <w:rPr>
          <w:rFonts w:hint="eastAsia" w:eastAsia="方正仿宋_GBK"/>
          <w:sz w:val="32"/>
          <w:szCs w:val="27"/>
        </w:rPr>
        <w:t>万元，住房保障支出减少了6</w:t>
      </w:r>
      <w:r>
        <w:rPr>
          <w:rFonts w:eastAsia="方正仿宋_GBK"/>
          <w:sz w:val="32"/>
          <w:szCs w:val="27"/>
        </w:rPr>
        <w:t>.4</w:t>
      </w:r>
      <w:r>
        <w:rPr>
          <w:rFonts w:hint="eastAsia" w:eastAsia="方正仿宋_GBK"/>
          <w:sz w:val="32"/>
          <w:szCs w:val="27"/>
        </w:rPr>
        <w:t>万元。</w:t>
      </w:r>
    </w:p>
    <w:p>
      <w:pPr>
        <w:pStyle w:val="4"/>
        <w:shd w:val="clear" w:color="auto" w:fill="FFFFFF"/>
        <w:adjustRightInd w:val="0"/>
        <w:snapToGrid w:val="0"/>
        <w:spacing w:before="0" w:beforeAutospacing="0" w:after="0" w:afterAutospacing="0" w:line="600" w:lineRule="exact"/>
        <w:ind w:firstLine="643" w:firstLineChars="200"/>
      </w:pPr>
      <w:r>
        <w:rPr>
          <w:rStyle w:val="6"/>
          <w:rFonts w:hint="eastAsia" w:eastAsia="方正楷体_GBK"/>
          <w:sz w:val="32"/>
          <w:szCs w:val="27"/>
        </w:rPr>
        <w:t>4.比较情况</w:t>
      </w:r>
      <w:r>
        <w:rPr>
          <w:rFonts w:hint="eastAsia" w:eastAsia="方正仿宋_GBK"/>
          <w:sz w:val="32"/>
          <w:szCs w:val="27"/>
        </w:rPr>
        <w:t>。本部门2020年度一般公共预算财政拨款支出主要用于以下几个方面：</w:t>
      </w:r>
    </w:p>
    <w:p>
      <w:pPr>
        <w:pStyle w:val="4"/>
        <w:shd w:val="clear" w:color="auto" w:fill="FFFFFF"/>
        <w:adjustRightInd w:val="0"/>
        <w:snapToGrid w:val="0"/>
        <w:spacing w:before="0" w:beforeAutospacing="0" w:after="0" w:afterAutospacing="0" w:line="600" w:lineRule="exact"/>
        <w:ind w:firstLine="640" w:firstLineChars="200"/>
      </w:pPr>
      <w:r>
        <w:rPr>
          <w:rFonts w:hint="eastAsia" w:eastAsia="方正仿宋_GBK"/>
          <w:sz w:val="32"/>
          <w:szCs w:val="27"/>
        </w:rPr>
        <w:t>（1）教育支出949.84万元，占74.5%，较年初预算数增加172.19万元，增长22.1%，主要原因是学前教育增加了1</w:t>
      </w:r>
      <w:r>
        <w:rPr>
          <w:rFonts w:eastAsia="方正仿宋_GBK"/>
          <w:sz w:val="32"/>
          <w:szCs w:val="27"/>
        </w:rPr>
        <w:t>7.06</w:t>
      </w:r>
      <w:r>
        <w:rPr>
          <w:rFonts w:hint="eastAsia" w:eastAsia="方正仿宋_GBK"/>
          <w:sz w:val="32"/>
          <w:szCs w:val="27"/>
        </w:rPr>
        <w:t>万元，小学教育增加了1</w:t>
      </w:r>
      <w:r>
        <w:rPr>
          <w:rFonts w:eastAsia="方正仿宋_GBK"/>
          <w:sz w:val="32"/>
          <w:szCs w:val="27"/>
        </w:rPr>
        <w:t>29.28</w:t>
      </w:r>
      <w:r>
        <w:rPr>
          <w:rFonts w:hint="eastAsia" w:eastAsia="方正仿宋_GBK"/>
          <w:sz w:val="32"/>
          <w:szCs w:val="27"/>
        </w:rPr>
        <w:t>万元，特殊教育增加了2</w:t>
      </w:r>
      <w:r>
        <w:rPr>
          <w:rFonts w:eastAsia="方正仿宋_GBK"/>
          <w:sz w:val="32"/>
          <w:szCs w:val="27"/>
        </w:rPr>
        <w:t>6</w:t>
      </w:r>
      <w:r>
        <w:rPr>
          <w:rFonts w:hint="eastAsia" w:eastAsia="方正仿宋_GBK"/>
          <w:sz w:val="32"/>
          <w:szCs w:val="27"/>
        </w:rPr>
        <w:t>万元。</w:t>
      </w:r>
    </w:p>
    <w:p>
      <w:pPr>
        <w:pStyle w:val="4"/>
        <w:shd w:val="clear" w:color="auto" w:fill="FFFFFF"/>
        <w:adjustRightInd w:val="0"/>
        <w:snapToGrid w:val="0"/>
        <w:spacing w:before="0" w:beforeAutospacing="0" w:after="0" w:afterAutospacing="0" w:line="600" w:lineRule="exact"/>
        <w:ind w:firstLine="640" w:firstLineChars="200"/>
        <w:rPr>
          <w:rFonts w:eastAsia="方正仿宋_GBK"/>
          <w:sz w:val="32"/>
          <w:szCs w:val="27"/>
        </w:rPr>
      </w:pPr>
      <w:r>
        <w:rPr>
          <w:rFonts w:hint="eastAsia" w:eastAsia="方正仿宋_GBK"/>
          <w:sz w:val="32"/>
          <w:szCs w:val="27"/>
        </w:rPr>
        <w:t>（</w:t>
      </w:r>
      <w:r>
        <w:rPr>
          <w:rFonts w:eastAsia="方正仿宋_GBK"/>
          <w:sz w:val="32"/>
          <w:szCs w:val="27"/>
        </w:rPr>
        <w:t>2</w:t>
      </w:r>
      <w:r>
        <w:rPr>
          <w:rFonts w:hint="eastAsia" w:eastAsia="方正仿宋_GBK"/>
          <w:sz w:val="32"/>
          <w:szCs w:val="27"/>
        </w:rPr>
        <w:t>）社会保障与就业支出218.52万元，占17.1%，较年初预算数增加50.45万元，增长30%，主要原因是</w:t>
      </w:r>
      <w:r>
        <w:rPr>
          <w:rFonts w:eastAsia="方正仿宋_GBK"/>
          <w:sz w:val="32"/>
          <w:szCs w:val="27"/>
        </w:rPr>
        <w:t>机关事业单位基本养老保险缴费支出</w:t>
      </w:r>
      <w:r>
        <w:rPr>
          <w:rFonts w:hint="eastAsia" w:eastAsia="方正仿宋_GBK"/>
          <w:sz w:val="32"/>
          <w:szCs w:val="27"/>
        </w:rPr>
        <w:t>增加了2</w:t>
      </w:r>
      <w:r>
        <w:rPr>
          <w:rFonts w:eastAsia="方正仿宋_GBK"/>
          <w:sz w:val="32"/>
          <w:szCs w:val="27"/>
        </w:rPr>
        <w:t>.96</w:t>
      </w:r>
      <w:r>
        <w:rPr>
          <w:rFonts w:hint="eastAsia" w:eastAsia="方正仿宋_GBK"/>
          <w:sz w:val="32"/>
          <w:szCs w:val="27"/>
        </w:rPr>
        <w:t>万元，机关事业单位职业年金缴费支出增加了1</w:t>
      </w:r>
      <w:r>
        <w:rPr>
          <w:rFonts w:eastAsia="方正仿宋_GBK"/>
          <w:sz w:val="32"/>
          <w:szCs w:val="27"/>
        </w:rPr>
        <w:t>1.95</w:t>
      </w:r>
      <w:r>
        <w:rPr>
          <w:rFonts w:hint="eastAsia" w:eastAsia="方正仿宋_GBK"/>
          <w:sz w:val="32"/>
          <w:szCs w:val="27"/>
        </w:rPr>
        <w:t>万元，</w:t>
      </w:r>
      <w:r>
        <w:rPr>
          <w:rFonts w:eastAsia="方正仿宋_GBK"/>
          <w:sz w:val="32"/>
          <w:szCs w:val="27"/>
        </w:rPr>
        <w:t>其他行政事业单位养老支出</w:t>
      </w:r>
      <w:r>
        <w:rPr>
          <w:rFonts w:hint="eastAsia" w:eastAsia="方正仿宋_GBK"/>
          <w:sz w:val="32"/>
          <w:szCs w:val="27"/>
        </w:rPr>
        <w:t>增加了2</w:t>
      </w:r>
      <w:r>
        <w:rPr>
          <w:rFonts w:eastAsia="方正仿宋_GBK"/>
          <w:sz w:val="32"/>
          <w:szCs w:val="27"/>
        </w:rPr>
        <w:t>6.70</w:t>
      </w:r>
      <w:r>
        <w:rPr>
          <w:rFonts w:hint="eastAsia" w:eastAsia="方正仿宋_GBK"/>
          <w:sz w:val="32"/>
          <w:szCs w:val="27"/>
        </w:rPr>
        <w:t>万元。</w:t>
      </w:r>
      <w:r>
        <w:rPr>
          <w:rFonts w:eastAsia="方正仿宋_GBK"/>
          <w:sz w:val="32"/>
          <w:szCs w:val="27"/>
        </w:rPr>
        <w:tab/>
      </w:r>
    </w:p>
    <w:p>
      <w:pPr>
        <w:pStyle w:val="4"/>
        <w:shd w:val="clear" w:color="auto" w:fill="FFFFFF"/>
        <w:adjustRightInd w:val="0"/>
        <w:snapToGrid w:val="0"/>
        <w:spacing w:before="0" w:beforeAutospacing="0" w:after="0" w:afterAutospacing="0" w:line="600" w:lineRule="exact"/>
        <w:ind w:firstLine="640" w:firstLineChars="200"/>
      </w:pPr>
      <w:r>
        <w:rPr>
          <w:rFonts w:hint="eastAsia" w:eastAsia="方正仿宋_GBK"/>
          <w:sz w:val="32"/>
          <w:szCs w:val="27"/>
        </w:rPr>
        <w:t>（</w:t>
      </w:r>
      <w:r>
        <w:rPr>
          <w:rFonts w:eastAsia="方正仿宋_GBK"/>
          <w:sz w:val="32"/>
          <w:szCs w:val="27"/>
        </w:rPr>
        <w:t>3</w:t>
      </w:r>
      <w:r>
        <w:rPr>
          <w:rFonts w:hint="eastAsia" w:eastAsia="方正仿宋_GBK"/>
          <w:sz w:val="32"/>
          <w:szCs w:val="27"/>
        </w:rPr>
        <w:t>）卫生健康支出55.52万元，占4.4%，较年初预算数增加2.40万元，增长4.5%，主要原因是</w:t>
      </w:r>
      <w:r>
        <w:rPr>
          <w:rFonts w:hint="eastAsia" w:eastAsia="方正仿宋_GBK"/>
          <w:sz w:val="32"/>
          <w:szCs w:val="27"/>
          <w:lang w:eastAsia="zh-CN"/>
        </w:rPr>
        <w:t>年末</w:t>
      </w:r>
      <w:r>
        <w:rPr>
          <w:rFonts w:hint="eastAsia" w:eastAsia="方正仿宋_GBK"/>
          <w:sz w:val="32"/>
          <w:szCs w:val="27"/>
        </w:rPr>
        <w:t>人员变化导致支出减少。</w:t>
      </w:r>
    </w:p>
    <w:p>
      <w:pPr>
        <w:pStyle w:val="4"/>
        <w:shd w:val="clear" w:color="auto" w:fill="FFFFFF"/>
        <w:adjustRightInd w:val="0"/>
        <w:snapToGrid w:val="0"/>
        <w:spacing w:before="0" w:beforeAutospacing="0" w:after="0" w:afterAutospacing="0" w:line="600" w:lineRule="exact"/>
        <w:ind w:firstLine="640" w:firstLineChars="200"/>
      </w:pPr>
      <w:r>
        <w:rPr>
          <w:rFonts w:hint="eastAsia" w:eastAsia="方正仿宋_GBK"/>
          <w:sz w:val="32"/>
          <w:szCs w:val="27"/>
        </w:rPr>
        <w:t>（</w:t>
      </w:r>
      <w:r>
        <w:rPr>
          <w:rFonts w:eastAsia="方正仿宋_GBK"/>
          <w:sz w:val="32"/>
          <w:szCs w:val="27"/>
        </w:rPr>
        <w:t>4</w:t>
      </w:r>
      <w:r>
        <w:rPr>
          <w:rFonts w:hint="eastAsia" w:eastAsia="方正仿宋_GBK"/>
          <w:sz w:val="32"/>
          <w:szCs w:val="27"/>
        </w:rPr>
        <w:t>）住房保障支出50.32万元，占3.9%，较年初预算数减少7.47万元，下降12.9%，主要原因是</w:t>
      </w:r>
      <w:r>
        <w:rPr>
          <w:rFonts w:hint="eastAsia" w:eastAsia="方正仿宋_GBK"/>
          <w:sz w:val="32"/>
          <w:szCs w:val="27"/>
          <w:lang w:eastAsia="zh-CN"/>
        </w:rPr>
        <w:t>年末</w:t>
      </w:r>
      <w:r>
        <w:rPr>
          <w:rFonts w:hint="eastAsia" w:eastAsia="方正仿宋_GBK"/>
          <w:sz w:val="32"/>
          <w:szCs w:val="27"/>
        </w:rPr>
        <w:t>人员变化导致支出减少。</w:t>
      </w:r>
    </w:p>
    <w:p>
      <w:pPr>
        <w:pStyle w:val="4"/>
        <w:shd w:val="clear" w:color="auto" w:fill="FFFFFF"/>
        <w:adjustRightInd w:val="0"/>
        <w:snapToGrid w:val="0"/>
        <w:spacing w:before="0" w:beforeAutospacing="0" w:after="0" w:afterAutospacing="0" w:line="600" w:lineRule="exact"/>
        <w:ind w:firstLine="640" w:firstLineChars="200"/>
        <w:rPr>
          <w:rStyle w:val="6"/>
          <w:rFonts w:ascii="方正楷体_GBK" w:eastAsia="方正楷体_GBK"/>
          <w:b w:val="0"/>
          <w:sz w:val="32"/>
          <w:szCs w:val="32"/>
        </w:rPr>
      </w:pPr>
      <w:r>
        <w:rPr>
          <w:rStyle w:val="6"/>
          <w:rFonts w:hint="eastAsia" w:ascii="方正楷体_GBK" w:eastAsia="方正楷体_GBK"/>
          <w:b w:val="0"/>
          <w:sz w:val="32"/>
          <w:szCs w:val="32"/>
        </w:rPr>
        <w:t>（四）一般公共预算财政拨款基本支出决算情况说明</w:t>
      </w:r>
    </w:p>
    <w:p>
      <w:pPr>
        <w:pStyle w:val="4"/>
        <w:shd w:val="clear" w:color="auto" w:fill="FFFFFF"/>
        <w:adjustRightInd w:val="0"/>
        <w:snapToGrid w:val="0"/>
        <w:spacing w:before="0" w:beforeAutospacing="0" w:after="0" w:afterAutospacing="0" w:line="600" w:lineRule="exact"/>
        <w:ind w:firstLine="640" w:firstLineChars="200"/>
      </w:pPr>
      <w:r>
        <w:rPr>
          <w:rFonts w:hint="eastAsia" w:eastAsia="方正仿宋_GBK"/>
          <w:sz w:val="32"/>
          <w:szCs w:val="27"/>
        </w:rPr>
        <w:t>2020年度一般公共财政拨款基本支出1,118.00万元。其中：人员经费1,053.94万元，较上年决算数增加92.03万元，增长9.6%，主要原因是工资福利支出增加4</w:t>
      </w:r>
      <w:r>
        <w:rPr>
          <w:rFonts w:eastAsia="方正仿宋_GBK"/>
          <w:sz w:val="32"/>
          <w:szCs w:val="27"/>
        </w:rPr>
        <w:t>5.56</w:t>
      </w:r>
      <w:r>
        <w:rPr>
          <w:rFonts w:hint="eastAsia" w:eastAsia="方正仿宋_GBK"/>
          <w:sz w:val="32"/>
          <w:szCs w:val="27"/>
        </w:rPr>
        <w:t>万元，对个人和家庭的补助支出增加4</w:t>
      </w:r>
      <w:r>
        <w:rPr>
          <w:rFonts w:eastAsia="方正仿宋_GBK"/>
          <w:sz w:val="32"/>
          <w:szCs w:val="27"/>
        </w:rPr>
        <w:t>6.46</w:t>
      </w:r>
      <w:r>
        <w:rPr>
          <w:rFonts w:hint="eastAsia" w:eastAsia="方正仿宋_GBK"/>
          <w:sz w:val="32"/>
          <w:szCs w:val="27"/>
        </w:rPr>
        <w:t>万元。人员经费用途主要包括津贴补贴、</w:t>
      </w:r>
      <w:r>
        <w:rPr>
          <w:rFonts w:eastAsia="方正仿宋_GBK"/>
          <w:sz w:val="32"/>
          <w:szCs w:val="27"/>
        </w:rPr>
        <w:t>绩效工资、机关事业单位基本养老保险费、职业年金缴费、职工基本医疗保险缴费、其他社会保障缴费、住房公积金、医疗费、生活补助、医疗费补助、奖励金</w:t>
      </w:r>
      <w:r>
        <w:rPr>
          <w:rFonts w:hint="eastAsia" w:eastAsia="方正仿宋_GBK"/>
          <w:sz w:val="32"/>
          <w:szCs w:val="27"/>
        </w:rPr>
        <w:t>等。公用经费64.06万元，较上年决算数减少4.37万元，下降6.4%，主要原因是商品服务支出减少3</w:t>
      </w:r>
      <w:r>
        <w:rPr>
          <w:rFonts w:eastAsia="方正仿宋_GBK"/>
          <w:sz w:val="32"/>
          <w:szCs w:val="27"/>
        </w:rPr>
        <w:t>.03</w:t>
      </w:r>
      <w:r>
        <w:rPr>
          <w:rFonts w:hint="eastAsia" w:eastAsia="方正仿宋_GBK"/>
          <w:sz w:val="32"/>
          <w:szCs w:val="27"/>
        </w:rPr>
        <w:t>万元，资本性支出减少1</w:t>
      </w:r>
      <w:r>
        <w:rPr>
          <w:rFonts w:eastAsia="方正仿宋_GBK"/>
          <w:sz w:val="32"/>
          <w:szCs w:val="27"/>
        </w:rPr>
        <w:t>.34</w:t>
      </w:r>
      <w:r>
        <w:rPr>
          <w:rFonts w:hint="eastAsia" w:eastAsia="方正仿宋_GBK"/>
          <w:sz w:val="32"/>
          <w:szCs w:val="27"/>
        </w:rPr>
        <w:t>万元。公用经费用途主要包括劳务费</w:t>
      </w:r>
      <w:r>
        <w:rPr>
          <w:rFonts w:eastAsia="方正仿宋_GBK"/>
          <w:sz w:val="32"/>
          <w:szCs w:val="27"/>
        </w:rPr>
        <w:t>15.37万元，办公费15.09万元，差旅费8.42万元，工会经费7.79万元，福利费7.16万元，电费3.22万元，维修（护）费2.52万元，培训费1.9万元，物业管理费1.37万元，专用材料费0.44万元，邮电费0.28万元，水费0.23万元，印刷费0.14万元，会议费0.13万元</w:t>
      </w:r>
      <w:r>
        <w:rPr>
          <w:rFonts w:hint="eastAsia" w:eastAsia="方正仿宋_GBK"/>
          <w:sz w:val="32"/>
          <w:szCs w:val="27"/>
        </w:rPr>
        <w:t>。</w:t>
      </w:r>
    </w:p>
    <w:p>
      <w:pPr>
        <w:pStyle w:val="4"/>
        <w:shd w:val="clear" w:color="auto" w:fill="FFFFFF"/>
        <w:adjustRightInd w:val="0"/>
        <w:snapToGrid w:val="0"/>
        <w:spacing w:before="0" w:beforeAutospacing="0" w:after="0" w:afterAutospacing="0" w:line="600" w:lineRule="exact"/>
        <w:ind w:firstLine="640" w:firstLineChars="200"/>
        <w:rPr>
          <w:rStyle w:val="6"/>
          <w:rFonts w:ascii="方正楷体_GBK" w:eastAsia="方正楷体_GBK"/>
          <w:b w:val="0"/>
          <w:sz w:val="32"/>
          <w:szCs w:val="32"/>
        </w:rPr>
      </w:pPr>
      <w:r>
        <w:rPr>
          <w:rStyle w:val="6"/>
          <w:rFonts w:hint="eastAsia" w:ascii="方正楷体_GBK" w:eastAsia="方正楷体_GBK"/>
          <w:b w:val="0"/>
          <w:sz w:val="32"/>
          <w:szCs w:val="32"/>
        </w:rPr>
        <w:t>（五）政府性基金预算收支决算情况说明</w:t>
      </w:r>
    </w:p>
    <w:p>
      <w:pPr>
        <w:pStyle w:val="4"/>
        <w:shd w:val="clear" w:color="auto" w:fill="FFFFFF"/>
        <w:adjustRightInd w:val="0"/>
        <w:snapToGrid w:val="0"/>
        <w:spacing w:before="0" w:beforeAutospacing="0" w:after="0" w:afterAutospacing="0" w:line="600" w:lineRule="exact"/>
        <w:ind w:firstLine="640" w:firstLineChars="200"/>
      </w:pPr>
      <w:r>
        <w:rPr>
          <w:rFonts w:hint="eastAsia" w:eastAsia="方正仿宋_GBK"/>
          <w:sz w:val="32"/>
          <w:szCs w:val="27"/>
        </w:rPr>
        <w:t>2020年度政府性基金预算财政拨款年初结转结余0.00万元，年末结转结余0.00万元。本年收支1,200.00万元，较上年决算数增加1,200.00万元，主要原因是幼儿园建设资金1</w:t>
      </w:r>
      <w:r>
        <w:rPr>
          <w:rFonts w:eastAsia="方正仿宋_GBK"/>
          <w:sz w:val="32"/>
          <w:szCs w:val="27"/>
        </w:rPr>
        <w:t>200</w:t>
      </w:r>
      <w:r>
        <w:rPr>
          <w:rFonts w:hint="eastAsia" w:eastAsia="方正仿宋_GBK"/>
          <w:sz w:val="32"/>
          <w:szCs w:val="27"/>
        </w:rPr>
        <w:t>万元，先划拨到本单位，后因指标调剂，支付到实验幼儿园通惠校区。</w:t>
      </w:r>
    </w:p>
    <w:p>
      <w:pPr>
        <w:pStyle w:val="4"/>
        <w:shd w:val="clear" w:color="auto" w:fill="FFFFFF"/>
        <w:adjustRightInd w:val="0"/>
        <w:snapToGrid w:val="0"/>
        <w:spacing w:before="0" w:beforeAutospacing="0" w:after="0" w:afterAutospacing="0" w:line="600" w:lineRule="exact"/>
        <w:ind w:firstLine="640" w:firstLineChars="200"/>
        <w:rPr>
          <w:rStyle w:val="6"/>
          <w:rFonts w:ascii="方正楷体_GBK" w:eastAsia="方正楷体_GBK"/>
          <w:b w:val="0"/>
          <w:sz w:val="32"/>
          <w:szCs w:val="32"/>
        </w:rPr>
      </w:pPr>
      <w:r>
        <w:rPr>
          <w:rStyle w:val="6"/>
          <w:rFonts w:hint="eastAsia" w:ascii="方正楷体_GBK" w:eastAsia="方正楷体_GBK"/>
          <w:b w:val="0"/>
          <w:sz w:val="32"/>
          <w:szCs w:val="32"/>
        </w:rPr>
        <w:t>（六）国有资本经营预算财政拨款</w:t>
      </w:r>
      <w:r>
        <w:rPr>
          <w:rStyle w:val="6"/>
          <w:rFonts w:hint="eastAsia" w:ascii="方正楷体_GBK" w:eastAsia="方正楷体_GBK"/>
          <w:b w:val="0"/>
          <w:sz w:val="32"/>
          <w:szCs w:val="32"/>
          <w:lang w:eastAsia="zh-CN"/>
        </w:rPr>
        <w:t>支出</w:t>
      </w:r>
      <w:r>
        <w:rPr>
          <w:rStyle w:val="6"/>
          <w:rFonts w:hint="eastAsia" w:ascii="方正楷体_GBK" w:eastAsia="方正楷体_GBK"/>
          <w:b w:val="0"/>
          <w:sz w:val="32"/>
          <w:szCs w:val="32"/>
        </w:rPr>
        <w:t>决算情况说明。</w:t>
      </w:r>
    </w:p>
    <w:p>
      <w:pPr>
        <w:pStyle w:val="4"/>
        <w:shd w:val="clear" w:color="auto" w:fill="FFFFFF"/>
        <w:adjustRightInd w:val="0"/>
        <w:snapToGrid w:val="0"/>
        <w:spacing w:before="0" w:beforeAutospacing="0" w:after="0" w:afterAutospacing="0" w:line="600" w:lineRule="exact"/>
        <w:ind w:firstLine="640" w:firstLineChars="200"/>
        <w:rPr>
          <w:rFonts w:eastAsia="方正仿宋_GBK"/>
          <w:sz w:val="32"/>
          <w:szCs w:val="27"/>
        </w:rPr>
      </w:pPr>
      <w:r>
        <w:rPr>
          <w:rFonts w:hint="eastAsia" w:eastAsia="方正仿宋_GBK"/>
          <w:sz w:val="32"/>
          <w:szCs w:val="27"/>
        </w:rPr>
        <w:t>本部门2020年度无国有资本经营预算财政拨款支出。</w:t>
      </w:r>
    </w:p>
    <w:p>
      <w:pPr>
        <w:pStyle w:val="4"/>
        <w:shd w:val="clear" w:color="auto" w:fill="FFFFFF"/>
        <w:adjustRightInd w:val="0"/>
        <w:snapToGrid w:val="0"/>
        <w:spacing w:before="0" w:beforeAutospacing="0" w:after="0" w:afterAutospacing="0" w:line="600" w:lineRule="exact"/>
        <w:ind w:firstLine="640" w:firstLineChars="200"/>
        <w:rPr>
          <w:rStyle w:val="6"/>
          <w:rFonts w:ascii="方正黑体_GBK" w:hAnsi="黑体" w:eastAsia="方正黑体_GBK"/>
          <w:b w:val="0"/>
          <w:bCs w:val="0"/>
          <w:sz w:val="32"/>
          <w:szCs w:val="32"/>
        </w:rPr>
      </w:pPr>
      <w:r>
        <w:rPr>
          <w:rStyle w:val="6"/>
          <w:rFonts w:hint="eastAsia" w:ascii="方正黑体_GBK" w:hAnsi="黑体" w:eastAsia="方正黑体_GBK"/>
          <w:b w:val="0"/>
          <w:bCs w:val="0"/>
          <w:sz w:val="32"/>
          <w:szCs w:val="32"/>
        </w:rPr>
        <w:t>三、“三公”经费情况说明</w:t>
      </w:r>
    </w:p>
    <w:p>
      <w:pPr>
        <w:pStyle w:val="4"/>
        <w:shd w:val="clear" w:color="auto" w:fill="FFFFFF"/>
        <w:adjustRightInd w:val="0"/>
        <w:snapToGrid w:val="0"/>
        <w:spacing w:before="0" w:beforeAutospacing="0" w:after="0" w:afterAutospacing="0" w:line="600" w:lineRule="exact"/>
        <w:ind w:firstLine="640" w:firstLineChars="200"/>
        <w:rPr>
          <w:rStyle w:val="6"/>
          <w:rFonts w:ascii="方正楷体_GBK" w:eastAsia="方正楷体_GBK"/>
          <w:b w:val="0"/>
          <w:sz w:val="32"/>
          <w:szCs w:val="32"/>
        </w:rPr>
      </w:pPr>
      <w:r>
        <w:rPr>
          <w:rStyle w:val="6"/>
          <w:rFonts w:hint="eastAsia" w:ascii="方正楷体_GBK" w:eastAsia="方正楷体_GBK"/>
          <w:b w:val="0"/>
          <w:sz w:val="32"/>
          <w:szCs w:val="32"/>
        </w:rPr>
        <w:t>（一）“三公”经费支出总体情况说明</w:t>
      </w:r>
    </w:p>
    <w:p>
      <w:pPr>
        <w:pStyle w:val="4"/>
        <w:shd w:val="clear" w:color="auto" w:fill="FFFFFF"/>
        <w:adjustRightInd w:val="0"/>
        <w:snapToGrid w:val="0"/>
        <w:spacing w:before="0" w:beforeAutospacing="0" w:after="0" w:afterAutospacing="0" w:line="600" w:lineRule="exact"/>
        <w:ind w:firstLine="640" w:firstLineChars="200"/>
      </w:pPr>
      <w:r>
        <w:rPr>
          <w:rFonts w:hint="eastAsia" w:eastAsia="方正仿宋_GBK"/>
          <w:sz w:val="32"/>
          <w:szCs w:val="27"/>
        </w:rPr>
        <w:t>本单位</w:t>
      </w:r>
      <w:r>
        <w:rPr>
          <w:rFonts w:eastAsia="方正仿宋_GBK"/>
          <w:sz w:val="32"/>
          <w:szCs w:val="27"/>
        </w:rPr>
        <w:t>2020年度未发生</w:t>
      </w:r>
      <w:r>
        <w:rPr>
          <w:rFonts w:hint="eastAsia" w:eastAsia="方正仿宋_GBK"/>
          <w:sz w:val="32"/>
          <w:szCs w:val="27"/>
        </w:rPr>
        <w:t>“三公”经费</w:t>
      </w:r>
      <w:r>
        <w:rPr>
          <w:rFonts w:eastAsia="方正仿宋_GBK"/>
          <w:sz w:val="32"/>
          <w:szCs w:val="27"/>
        </w:rPr>
        <w:t>支出</w:t>
      </w:r>
      <w:r>
        <w:rPr>
          <w:rFonts w:hint="eastAsia" w:eastAsia="方正仿宋_GBK"/>
          <w:sz w:val="32"/>
          <w:szCs w:val="27"/>
        </w:rPr>
        <w:t>。</w:t>
      </w:r>
    </w:p>
    <w:p>
      <w:pPr>
        <w:pStyle w:val="4"/>
        <w:shd w:val="clear" w:color="auto" w:fill="FFFFFF"/>
        <w:adjustRightInd w:val="0"/>
        <w:snapToGrid w:val="0"/>
        <w:spacing w:before="0" w:beforeAutospacing="0" w:after="0" w:afterAutospacing="0" w:line="600" w:lineRule="exact"/>
        <w:ind w:firstLine="640" w:firstLineChars="200"/>
        <w:rPr>
          <w:rStyle w:val="6"/>
          <w:rFonts w:ascii="方正黑体_GBK" w:hAnsi="黑体" w:eastAsia="方正黑体_GBK"/>
          <w:b w:val="0"/>
          <w:bCs w:val="0"/>
          <w:sz w:val="32"/>
          <w:szCs w:val="32"/>
        </w:rPr>
      </w:pPr>
      <w:r>
        <w:rPr>
          <w:rStyle w:val="6"/>
          <w:rFonts w:hint="eastAsia" w:ascii="方正黑体_GBK" w:hAnsi="黑体" w:eastAsia="方正黑体_GBK"/>
          <w:b w:val="0"/>
          <w:bCs w:val="0"/>
          <w:sz w:val="32"/>
          <w:szCs w:val="32"/>
        </w:rPr>
        <w:t>四、其他需要说明的事项</w:t>
      </w:r>
    </w:p>
    <w:p>
      <w:pPr>
        <w:pStyle w:val="4"/>
        <w:shd w:val="clear" w:color="auto" w:fill="FFFFFF"/>
        <w:adjustRightInd w:val="0"/>
        <w:snapToGrid w:val="0"/>
        <w:spacing w:before="0" w:beforeAutospacing="0" w:after="0" w:afterAutospacing="0" w:line="600" w:lineRule="exact"/>
        <w:ind w:firstLine="640" w:firstLineChars="200"/>
        <w:rPr>
          <w:rStyle w:val="6"/>
          <w:rFonts w:ascii="方正楷体_GBK" w:eastAsia="方正楷体_GBK"/>
          <w:b w:val="0"/>
          <w:sz w:val="32"/>
          <w:szCs w:val="32"/>
        </w:rPr>
      </w:pPr>
      <w:r>
        <w:rPr>
          <w:rStyle w:val="6"/>
          <w:rFonts w:hint="eastAsia" w:ascii="方正楷体_GBK" w:eastAsia="方正楷体_GBK"/>
          <w:b w:val="0"/>
          <w:sz w:val="32"/>
          <w:szCs w:val="32"/>
        </w:rPr>
        <w:t>（一）机关运行经费情况说明</w:t>
      </w:r>
    </w:p>
    <w:p>
      <w:pPr>
        <w:pStyle w:val="4"/>
        <w:shd w:val="clear" w:color="auto" w:fill="FFFFFF"/>
        <w:adjustRightInd w:val="0"/>
        <w:snapToGrid w:val="0"/>
        <w:spacing w:before="0" w:beforeAutospacing="0" w:after="0" w:afterAutospacing="0" w:line="600" w:lineRule="exact"/>
        <w:ind w:firstLine="640" w:firstLineChars="200"/>
        <w:rPr>
          <w:rFonts w:eastAsia="方正仿宋_GBK"/>
          <w:sz w:val="32"/>
          <w:szCs w:val="27"/>
        </w:rPr>
      </w:pPr>
      <w:r>
        <w:rPr>
          <w:rFonts w:hint="eastAsia" w:eastAsia="方正仿宋_GBK"/>
          <w:sz w:val="32"/>
          <w:szCs w:val="27"/>
        </w:rPr>
        <w:t>不在机关运行经费统计范围之内。</w:t>
      </w:r>
    </w:p>
    <w:p>
      <w:pPr>
        <w:pStyle w:val="4"/>
        <w:shd w:val="clear" w:color="auto" w:fill="FFFFFF"/>
        <w:adjustRightInd w:val="0"/>
        <w:snapToGrid w:val="0"/>
        <w:spacing w:before="0" w:beforeAutospacing="0" w:after="0" w:afterAutospacing="0" w:line="600" w:lineRule="exact"/>
        <w:ind w:firstLine="640" w:firstLineChars="200"/>
      </w:pPr>
      <w:r>
        <w:rPr>
          <w:rFonts w:hint="eastAsia" w:eastAsia="方正仿宋_GBK"/>
          <w:sz w:val="32"/>
          <w:szCs w:val="27"/>
        </w:rPr>
        <w:t>本年度会议费支出0.13万元，较上年决算数增加0.13万元</w:t>
      </w:r>
      <w:r>
        <w:rPr>
          <w:rFonts w:hint="eastAsia" w:eastAsia="方正仿宋_GBK"/>
          <w:color w:val="FF0000"/>
          <w:sz w:val="32"/>
          <w:szCs w:val="27"/>
        </w:rPr>
        <w:t>。</w:t>
      </w:r>
      <w:r>
        <w:rPr>
          <w:rFonts w:hint="eastAsia" w:eastAsia="方正仿宋_GBK"/>
          <w:sz w:val="32"/>
          <w:szCs w:val="27"/>
        </w:rPr>
        <w:t>本年度培训费支出1.90万元，较上年决算数减少3.08万元，下降61.8%，主要原因是</w:t>
      </w:r>
      <w:bookmarkStart w:id="1" w:name="_GoBack"/>
      <w:bookmarkEnd w:id="1"/>
      <w:r>
        <w:rPr>
          <w:rFonts w:hint="eastAsia" w:eastAsia="方正仿宋_GBK"/>
          <w:sz w:val="32"/>
          <w:szCs w:val="27"/>
        </w:rPr>
        <w:t>2</w:t>
      </w:r>
      <w:r>
        <w:rPr>
          <w:rFonts w:eastAsia="方正仿宋_GBK"/>
          <w:sz w:val="32"/>
          <w:szCs w:val="27"/>
        </w:rPr>
        <w:t>020</w:t>
      </w:r>
      <w:r>
        <w:rPr>
          <w:rFonts w:hint="eastAsia" w:eastAsia="方正仿宋_GBK"/>
          <w:sz w:val="32"/>
          <w:szCs w:val="27"/>
        </w:rPr>
        <w:t>年疫情影响，培训人次减少，故培训费支出减少。</w:t>
      </w:r>
    </w:p>
    <w:p>
      <w:pPr>
        <w:pStyle w:val="4"/>
        <w:shd w:val="clear" w:color="auto" w:fill="FFFFFF"/>
        <w:adjustRightInd w:val="0"/>
        <w:snapToGrid w:val="0"/>
        <w:spacing w:before="0" w:beforeAutospacing="0" w:after="0" w:afterAutospacing="0" w:line="600" w:lineRule="exact"/>
        <w:ind w:firstLine="640" w:firstLineChars="200"/>
        <w:rPr>
          <w:rStyle w:val="6"/>
          <w:rFonts w:ascii="方正楷体_GBK" w:eastAsia="方正楷体_GBK"/>
          <w:b w:val="0"/>
          <w:sz w:val="32"/>
          <w:szCs w:val="32"/>
        </w:rPr>
      </w:pPr>
      <w:r>
        <w:rPr>
          <w:rStyle w:val="6"/>
          <w:rFonts w:hint="eastAsia" w:ascii="方正楷体_GBK" w:eastAsia="方正楷体_GBK"/>
          <w:b w:val="0"/>
          <w:sz w:val="32"/>
          <w:szCs w:val="32"/>
        </w:rPr>
        <w:t>（二）国有资产占用情况说明</w:t>
      </w:r>
    </w:p>
    <w:p>
      <w:pPr>
        <w:pStyle w:val="4"/>
        <w:shd w:val="clear" w:color="auto" w:fill="FFFFFF"/>
        <w:adjustRightInd w:val="0"/>
        <w:snapToGrid w:val="0"/>
        <w:spacing w:before="0" w:beforeAutospacing="0" w:after="0" w:afterAutospacing="0" w:line="600" w:lineRule="exact"/>
        <w:ind w:firstLine="640" w:firstLineChars="200"/>
      </w:pPr>
      <w:r>
        <w:rPr>
          <w:rFonts w:hint="eastAsia" w:eastAsia="方正仿宋_GBK"/>
          <w:sz w:val="32"/>
          <w:szCs w:val="27"/>
        </w:rPr>
        <w:t>截至2020年12月31日，本部门共有车辆0辆，其中，副部（省）级及以上领导用车0辆、主要领导干部用车0辆、机要通信用车0辆、应急保障用车0辆、执法执勤用车0辆，特种专业技术用车0辆，离退休干部用车0辆，其他用车0辆</w:t>
      </w:r>
      <w:r>
        <w:rPr>
          <w:rFonts w:hint="eastAsia" w:eastAsia="方正仿宋_GBK"/>
          <w:color w:val="FF0000"/>
          <w:sz w:val="32"/>
          <w:szCs w:val="27"/>
        </w:rPr>
        <w:t>。</w:t>
      </w:r>
      <w:r>
        <w:rPr>
          <w:rFonts w:hint="eastAsia" w:eastAsia="方正仿宋_GBK"/>
          <w:sz w:val="32"/>
          <w:szCs w:val="27"/>
        </w:rPr>
        <w:t>单价50万元（含）以上通用设备0台（套），单价100万元（含）以上专用设备0台（套）。</w:t>
      </w:r>
    </w:p>
    <w:p>
      <w:pPr>
        <w:pStyle w:val="4"/>
        <w:shd w:val="clear" w:color="auto" w:fill="FFFFFF"/>
        <w:adjustRightInd w:val="0"/>
        <w:snapToGrid w:val="0"/>
        <w:spacing w:before="0" w:beforeAutospacing="0" w:after="0" w:afterAutospacing="0" w:line="600" w:lineRule="exact"/>
        <w:ind w:firstLine="640" w:firstLineChars="200"/>
        <w:rPr>
          <w:rStyle w:val="6"/>
          <w:rFonts w:ascii="方正楷体_GBK" w:eastAsia="方正楷体_GBK"/>
          <w:b w:val="0"/>
          <w:sz w:val="32"/>
          <w:szCs w:val="32"/>
        </w:rPr>
      </w:pPr>
      <w:r>
        <w:rPr>
          <w:rStyle w:val="6"/>
          <w:rFonts w:hint="eastAsia" w:ascii="方正楷体_GBK" w:eastAsia="方正楷体_GBK"/>
          <w:b w:val="0"/>
          <w:sz w:val="32"/>
          <w:szCs w:val="32"/>
        </w:rPr>
        <w:t>（三）政府采购支出情况说明</w:t>
      </w:r>
    </w:p>
    <w:p>
      <w:pPr>
        <w:pStyle w:val="4"/>
        <w:shd w:val="clear" w:color="auto" w:fill="FFFFFF"/>
        <w:adjustRightInd w:val="0"/>
        <w:snapToGrid w:val="0"/>
        <w:spacing w:before="0" w:beforeAutospacing="0" w:after="0" w:afterAutospacing="0" w:line="600" w:lineRule="exact"/>
        <w:ind w:firstLine="640" w:firstLineChars="200"/>
      </w:pPr>
      <w:r>
        <w:rPr>
          <w:rFonts w:eastAsia="方正仿宋_GBK"/>
          <w:sz w:val="32"/>
          <w:szCs w:val="27"/>
        </w:rPr>
        <w:t>2020年度我单位未发生政府采购事项，无相关经费支出。</w:t>
      </w:r>
    </w:p>
    <w:p>
      <w:pPr>
        <w:pStyle w:val="4"/>
        <w:shd w:val="clear" w:color="auto" w:fill="FFFFFF"/>
        <w:adjustRightInd w:val="0"/>
        <w:snapToGrid w:val="0"/>
        <w:spacing w:before="0" w:beforeAutospacing="0" w:after="0" w:afterAutospacing="0" w:line="600" w:lineRule="exact"/>
        <w:ind w:firstLine="640" w:firstLineChars="200"/>
        <w:rPr>
          <w:rStyle w:val="6"/>
          <w:rFonts w:ascii="方正黑体_GBK" w:hAnsi="黑体" w:eastAsia="方正黑体_GBK"/>
          <w:b w:val="0"/>
          <w:bCs w:val="0"/>
          <w:sz w:val="32"/>
          <w:szCs w:val="32"/>
        </w:rPr>
      </w:pPr>
      <w:r>
        <w:rPr>
          <w:rStyle w:val="6"/>
          <w:rFonts w:hint="eastAsia" w:ascii="方正黑体_GBK" w:hAnsi="黑体" w:eastAsia="方正黑体_GBK"/>
          <w:b w:val="0"/>
          <w:bCs w:val="0"/>
          <w:sz w:val="32"/>
          <w:szCs w:val="32"/>
        </w:rPr>
        <w:t>五、预算绩效管理情况说明</w:t>
      </w:r>
    </w:p>
    <w:p>
      <w:pPr>
        <w:pStyle w:val="4"/>
        <w:shd w:val="clear" w:color="auto" w:fill="FFFFFF"/>
        <w:adjustRightInd w:val="0"/>
        <w:snapToGrid w:val="0"/>
        <w:spacing w:before="0" w:beforeAutospacing="0" w:after="0" w:afterAutospacing="0" w:line="600" w:lineRule="exact"/>
        <w:ind w:firstLine="640" w:firstLineChars="200"/>
        <w:rPr>
          <w:rStyle w:val="6"/>
          <w:rFonts w:ascii="方正楷体_GBK" w:eastAsia="方正楷体_GBK"/>
          <w:b w:val="0"/>
          <w:sz w:val="32"/>
          <w:szCs w:val="32"/>
        </w:rPr>
      </w:pPr>
      <w:r>
        <w:rPr>
          <w:rStyle w:val="6"/>
          <w:rFonts w:hint="eastAsia" w:ascii="方正楷体_GBK" w:eastAsia="方正楷体_GBK"/>
          <w:b w:val="0"/>
          <w:sz w:val="32"/>
          <w:szCs w:val="32"/>
        </w:rPr>
        <w:t>（一）预算绩效管理工作开展情况（必须公开内容）</w:t>
      </w:r>
    </w:p>
    <w:p>
      <w:pPr>
        <w:pStyle w:val="4"/>
        <w:shd w:val="clear" w:color="auto" w:fill="FFFFFF"/>
        <w:adjustRightInd w:val="0"/>
        <w:snapToGrid w:val="0"/>
        <w:spacing w:before="0" w:beforeAutospacing="0" w:after="0" w:afterAutospacing="0" w:line="600" w:lineRule="exact"/>
        <w:ind w:firstLine="640" w:firstLineChars="200"/>
      </w:pPr>
      <w:r>
        <w:rPr>
          <w:rFonts w:hint="eastAsia" w:eastAsia="方正仿宋_GBK"/>
          <w:sz w:val="32"/>
          <w:szCs w:val="27"/>
        </w:rPr>
        <w:t>根据预算绩效管理要求，本部门对1</w:t>
      </w:r>
      <w:r>
        <w:rPr>
          <w:rFonts w:eastAsia="方正仿宋_GBK"/>
          <w:sz w:val="32"/>
          <w:szCs w:val="27"/>
        </w:rPr>
        <w:t>1</w:t>
      </w:r>
      <w:r>
        <w:rPr>
          <w:rFonts w:hint="eastAsia" w:eastAsia="方正仿宋_GBK"/>
          <w:sz w:val="32"/>
          <w:szCs w:val="27"/>
        </w:rPr>
        <w:t>个项目开展了绩效自评，其中，以填报目标自评表形式开展自评</w:t>
      </w:r>
      <w:r>
        <w:rPr>
          <w:rFonts w:eastAsia="方正仿宋_GBK"/>
          <w:color w:val="FF0000"/>
          <w:sz w:val="32"/>
          <w:szCs w:val="27"/>
        </w:rPr>
        <w:t>11</w:t>
      </w:r>
      <w:r>
        <w:rPr>
          <w:rFonts w:hint="eastAsia" w:eastAsia="方正仿宋_GBK"/>
          <w:sz w:val="32"/>
          <w:szCs w:val="27"/>
        </w:rPr>
        <w:t>项，涉及资金</w:t>
      </w:r>
      <w:r>
        <w:rPr>
          <w:rFonts w:eastAsia="方正仿宋_GBK"/>
          <w:color w:val="FF0000"/>
          <w:sz w:val="32"/>
          <w:szCs w:val="27"/>
        </w:rPr>
        <w:t>1287.04</w:t>
      </w:r>
      <w:r>
        <w:rPr>
          <w:rFonts w:hint="eastAsia" w:eastAsia="方正仿宋_GBK"/>
          <w:sz w:val="32"/>
          <w:szCs w:val="27"/>
        </w:rPr>
        <w:t>万元</w:t>
      </w:r>
      <w:r>
        <w:rPr>
          <w:rFonts w:hint="eastAsia" w:eastAsia="方正仿宋_GBK"/>
          <w:sz w:val="32"/>
          <w:szCs w:val="27"/>
          <w:lang w:eastAsia="zh-CN"/>
        </w:rPr>
        <w:t>。</w:t>
      </w:r>
    </w:p>
    <w:p>
      <w:pPr>
        <w:pStyle w:val="4"/>
        <w:shd w:val="clear" w:color="auto" w:fill="FFFFFF"/>
        <w:adjustRightInd w:val="0"/>
        <w:snapToGrid w:val="0"/>
        <w:spacing w:before="0" w:beforeAutospacing="0" w:after="0" w:afterAutospacing="0" w:line="600" w:lineRule="exact"/>
        <w:ind w:firstLine="640" w:firstLineChars="200"/>
        <w:rPr>
          <w:rStyle w:val="6"/>
          <w:rFonts w:ascii="方正楷体_GBK" w:eastAsia="方正楷体_GBK"/>
          <w:b w:val="0"/>
          <w:sz w:val="32"/>
          <w:szCs w:val="32"/>
        </w:rPr>
      </w:pPr>
      <w:r>
        <w:rPr>
          <w:rStyle w:val="6"/>
          <w:rFonts w:hint="eastAsia" w:ascii="方正楷体_GBK" w:eastAsia="方正楷体_GBK"/>
          <w:b w:val="0"/>
          <w:sz w:val="32"/>
          <w:szCs w:val="32"/>
        </w:rPr>
        <w:t>（二）绩效自评结果</w:t>
      </w:r>
    </w:p>
    <w:p>
      <w:pPr>
        <w:pStyle w:val="4"/>
        <w:shd w:val="clear" w:color="auto" w:fill="FFFFFF"/>
        <w:adjustRightInd w:val="0"/>
        <w:snapToGrid w:val="0"/>
        <w:spacing w:before="0" w:beforeAutospacing="0" w:after="0" w:afterAutospacing="0"/>
        <w:ind w:firstLine="643" w:firstLineChars="200"/>
      </w:pPr>
      <w:r>
        <w:rPr>
          <w:rStyle w:val="6"/>
          <w:rFonts w:hint="eastAsia" w:eastAsia="方正楷体_GBK"/>
          <w:sz w:val="32"/>
          <w:szCs w:val="27"/>
        </w:rPr>
        <w:t>1.绩效自评表</w:t>
      </w:r>
    </w:p>
    <w:p>
      <w:pPr>
        <w:pStyle w:val="4"/>
        <w:shd w:val="clear" w:color="auto" w:fill="FFFFFF"/>
        <w:adjustRightInd w:val="0"/>
        <w:snapToGrid w:val="0"/>
        <w:spacing w:before="0" w:beforeAutospacing="0" w:after="0" w:afterAutospacing="0"/>
        <w:ind w:firstLine="480" w:firstLineChars="200"/>
      </w:pPr>
      <w:r>
        <w:rPr>
          <w:rFonts w:hint="eastAsia"/>
        </w:rPr>
        <w:drawing>
          <wp:inline distT="0" distB="0" distL="0" distR="0">
            <wp:extent cx="5336540" cy="6743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340204" cy="6748248"/>
                    </a:xfrm>
                    <a:prstGeom prst="rect">
                      <a:avLst/>
                    </a:prstGeom>
                    <a:noFill/>
                    <a:ln>
                      <a:noFill/>
                    </a:ln>
                  </pic:spPr>
                </pic:pic>
              </a:graphicData>
            </a:graphic>
          </wp:inline>
        </w:drawing>
      </w:r>
    </w:p>
    <w:p>
      <w:pPr>
        <w:pStyle w:val="4"/>
        <w:shd w:val="clear" w:color="auto" w:fill="FFFFFF"/>
        <w:adjustRightInd w:val="0"/>
        <w:snapToGrid w:val="0"/>
        <w:spacing w:before="0" w:beforeAutospacing="0" w:after="0" w:afterAutospacing="0"/>
        <w:ind w:firstLine="480" w:firstLineChars="200"/>
        <w:rPr>
          <w:rStyle w:val="6"/>
          <w:b w:val="0"/>
          <w:bCs w:val="0"/>
        </w:rPr>
      </w:pPr>
      <w:r>
        <w:rPr>
          <w:rStyle w:val="6"/>
          <w:rFonts w:hint="eastAsia"/>
          <w:b w:val="0"/>
          <w:bCs w:val="0"/>
        </w:rPr>
        <w:drawing>
          <wp:inline distT="0" distB="0" distL="0" distR="0">
            <wp:extent cx="5016500" cy="6937375"/>
            <wp:effectExtent l="0" t="0" r="12700" b="158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016500" cy="6937375"/>
                    </a:xfrm>
                    <a:prstGeom prst="rect">
                      <a:avLst/>
                    </a:prstGeom>
                    <a:noFill/>
                    <a:ln>
                      <a:noFill/>
                    </a:ln>
                  </pic:spPr>
                </pic:pic>
              </a:graphicData>
            </a:graphic>
          </wp:inline>
        </w:drawing>
      </w:r>
    </w:p>
    <w:p>
      <w:pPr>
        <w:rPr>
          <w:rStyle w:val="6"/>
          <w:rFonts w:ascii="方正黑体_GBK" w:hAnsi="黑体" w:eastAsia="方正黑体_GBK"/>
          <w:b w:val="0"/>
          <w:bCs w:val="0"/>
          <w:sz w:val="32"/>
          <w:szCs w:val="32"/>
        </w:rPr>
      </w:pPr>
      <w:r>
        <w:rPr>
          <w:rStyle w:val="6"/>
          <w:rFonts w:hint="eastAsia" w:ascii="方正黑体_GBK" w:hAnsi="黑体" w:eastAsia="方正黑体_GBK"/>
          <w:b w:val="0"/>
          <w:bCs w:val="0"/>
          <w:sz w:val="32"/>
          <w:szCs w:val="32"/>
        </w:rPr>
        <w:br w:type="page"/>
      </w:r>
    </w:p>
    <w:p>
      <w:pPr>
        <w:pStyle w:val="4"/>
        <w:shd w:val="clear" w:color="auto" w:fill="FFFFFF"/>
        <w:adjustRightInd w:val="0"/>
        <w:snapToGrid w:val="0"/>
        <w:spacing w:before="0" w:beforeAutospacing="0" w:after="0" w:afterAutospacing="0"/>
        <w:ind w:firstLine="640" w:firstLineChars="200"/>
        <w:rPr>
          <w:rStyle w:val="6"/>
          <w:rFonts w:ascii="方正黑体_GBK" w:hAnsi="黑体" w:eastAsia="方正黑体_GBK"/>
          <w:b w:val="0"/>
          <w:bCs w:val="0"/>
          <w:sz w:val="32"/>
          <w:szCs w:val="32"/>
        </w:rPr>
      </w:pPr>
      <w:r>
        <w:rPr>
          <w:rStyle w:val="6"/>
          <w:rFonts w:hint="eastAsia" w:ascii="方正黑体_GBK" w:hAnsi="黑体" w:eastAsia="方正黑体_GBK"/>
          <w:b w:val="0"/>
          <w:bCs w:val="0"/>
          <w:sz w:val="32"/>
          <w:szCs w:val="32"/>
        </w:rPr>
        <w:t>六、专业名词解释</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ascii="方正楷体_GBK" w:eastAsia="方正楷体_GBK"/>
          <w:b w:val="0"/>
          <w:sz w:val="32"/>
          <w:szCs w:val="32"/>
        </w:rPr>
        <w:t>（一）财政拨款收入</w:t>
      </w:r>
      <w:r>
        <w:rPr>
          <w:rStyle w:val="6"/>
          <w:rFonts w:hint="eastAsia" w:ascii="方正楷体_GBK" w:eastAsia="方正楷体_GBK"/>
          <w:szCs w:val="32"/>
        </w:rPr>
        <w:t>：</w:t>
      </w:r>
      <w:r>
        <w:rPr>
          <w:rFonts w:hint="eastAsia" w:eastAsia="方正仿宋_GBK"/>
          <w:sz w:val="32"/>
          <w:szCs w:val="27"/>
        </w:rPr>
        <w:t>指本年度从本级财政部门取得的财政拨款，包括一般公共预算财政拨款和政府性基金预算财政拨款。</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ascii="方正楷体_GBK" w:eastAsia="方正楷体_GBK"/>
          <w:b w:val="0"/>
          <w:sz w:val="32"/>
          <w:szCs w:val="32"/>
        </w:rPr>
        <w:t>（二）事业收入</w:t>
      </w:r>
      <w:r>
        <w:rPr>
          <w:rStyle w:val="6"/>
          <w:rFonts w:hint="eastAsia" w:ascii="方正楷体_GBK" w:eastAsia="方正楷体_GBK"/>
          <w:szCs w:val="32"/>
        </w:rPr>
        <w:t>：</w:t>
      </w:r>
      <w:r>
        <w:rPr>
          <w:rFonts w:hint="eastAsia" w:eastAsia="方正仿宋_GBK"/>
          <w:sz w:val="32"/>
          <w:szCs w:val="27"/>
        </w:rPr>
        <w:t>指事业单位开展专业业务活动及其辅助活动取得的现金流入；事业单位收到的财政专户实际核拨的教育收费等资金在此反映。</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ascii="方正楷体_GBK" w:eastAsia="方正楷体_GBK"/>
          <w:b w:val="0"/>
          <w:sz w:val="32"/>
          <w:szCs w:val="32"/>
        </w:rPr>
        <w:t>（三）经营收入</w:t>
      </w:r>
      <w:r>
        <w:rPr>
          <w:rStyle w:val="6"/>
          <w:rFonts w:hint="eastAsia" w:ascii="方正楷体_GBK" w:eastAsia="方正楷体_GBK"/>
          <w:szCs w:val="32"/>
        </w:rPr>
        <w:t>：</w:t>
      </w:r>
      <w:r>
        <w:rPr>
          <w:rFonts w:hint="eastAsia" w:eastAsia="方正仿宋_GBK"/>
          <w:sz w:val="32"/>
          <w:szCs w:val="27"/>
        </w:rPr>
        <w:t>指事业单位在专业业务活动及其辅助活动之外开展非独立核算经营活动取得的现金流入。</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ascii="方正楷体_GBK" w:eastAsia="方正楷体_GBK"/>
          <w:b w:val="0"/>
          <w:sz w:val="32"/>
          <w:szCs w:val="32"/>
        </w:rPr>
        <w:t>（四）其他收入</w:t>
      </w:r>
      <w:r>
        <w:rPr>
          <w:rStyle w:val="6"/>
          <w:rFonts w:hint="eastAsia" w:ascii="方正楷体_GBK" w:eastAsia="方正楷体_GBK"/>
          <w:szCs w:val="32"/>
        </w:rPr>
        <w:t>：</w:t>
      </w:r>
      <w:r>
        <w:rPr>
          <w:rFonts w:hint="eastAsia" w:eastAsia="方正仿宋_GBK"/>
          <w:sz w:val="32"/>
          <w:szCs w:val="27"/>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ascii="方正楷体_GBK" w:eastAsia="方正楷体_GBK"/>
          <w:b w:val="0"/>
          <w:sz w:val="32"/>
          <w:szCs w:val="32"/>
        </w:rPr>
        <w:t>（五）使用非财政拨款结余</w:t>
      </w:r>
      <w:r>
        <w:rPr>
          <w:rStyle w:val="6"/>
          <w:rFonts w:hint="eastAsia" w:ascii="方正楷体_GBK" w:eastAsia="方正楷体_GBK"/>
          <w:szCs w:val="32"/>
        </w:rPr>
        <w:t>：</w:t>
      </w:r>
      <w:r>
        <w:rPr>
          <w:rFonts w:hint="eastAsia" w:eastAsia="方正仿宋_GBK"/>
          <w:sz w:val="32"/>
          <w:szCs w:val="27"/>
        </w:rPr>
        <w:t>指单位在当年的“财政拨款收入”、“事业收入”、“经营收入”、“其他收入”等不足以安排当年支出的情况下，使用以前年度积累的非财政拨款结余弥补本年度收支缺口的资金。</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ascii="方正楷体_GBK" w:eastAsia="方正楷体_GBK"/>
          <w:b w:val="0"/>
          <w:sz w:val="32"/>
          <w:szCs w:val="32"/>
        </w:rPr>
        <w:t>（六）年初结转和结余</w:t>
      </w:r>
      <w:r>
        <w:rPr>
          <w:rStyle w:val="6"/>
          <w:rFonts w:hint="eastAsia" w:ascii="方正楷体_GBK" w:eastAsia="方正楷体_GBK"/>
          <w:szCs w:val="32"/>
        </w:rPr>
        <w:t>：</w:t>
      </w:r>
      <w:r>
        <w:rPr>
          <w:rFonts w:hint="eastAsia" w:eastAsia="方正仿宋_GBK"/>
          <w:sz w:val="32"/>
          <w:szCs w:val="27"/>
        </w:rPr>
        <w:t>指单位上年结转本年使用的基本支出结转、项目支出结转和结余、经营结余。</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ascii="方正楷体_GBK" w:eastAsia="方正楷体_GBK"/>
          <w:b w:val="0"/>
          <w:sz w:val="32"/>
          <w:szCs w:val="32"/>
        </w:rPr>
        <w:t>（七）结余分配</w:t>
      </w:r>
      <w:r>
        <w:rPr>
          <w:rStyle w:val="6"/>
          <w:rFonts w:hint="eastAsia" w:ascii="方正楷体_GBK" w:eastAsia="方正楷体_GBK"/>
          <w:szCs w:val="32"/>
        </w:rPr>
        <w:t>：</w:t>
      </w:r>
      <w:r>
        <w:rPr>
          <w:rFonts w:hint="eastAsia" w:eastAsia="方正仿宋_GBK"/>
          <w:sz w:val="32"/>
          <w:szCs w:val="27"/>
        </w:rPr>
        <w:t>指单位按照国家有关规定，缴纳所得税、提取专用基金、转入非财政拨款结余等当年结余的分配情况。</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ascii="方正楷体_GBK" w:eastAsia="方正楷体_GBK"/>
          <w:b w:val="0"/>
          <w:sz w:val="32"/>
          <w:szCs w:val="32"/>
        </w:rPr>
        <w:t>（八）年末结转和结余</w:t>
      </w:r>
      <w:r>
        <w:rPr>
          <w:rStyle w:val="6"/>
          <w:rFonts w:hint="eastAsia" w:ascii="方正楷体_GBK" w:eastAsia="方正楷体_GBK"/>
          <w:szCs w:val="32"/>
        </w:rPr>
        <w:t>：</w:t>
      </w:r>
      <w:r>
        <w:rPr>
          <w:rFonts w:hint="eastAsia" w:eastAsia="方正仿宋_GBK"/>
          <w:sz w:val="32"/>
          <w:szCs w:val="27"/>
        </w:rPr>
        <w:t>指单位结转下年的基本支出结转、项目支出结转和结余、经营结余。</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ascii="方正楷体_GBK" w:eastAsia="方正楷体_GBK"/>
          <w:b w:val="0"/>
          <w:sz w:val="32"/>
          <w:szCs w:val="32"/>
        </w:rPr>
        <w:t>（九）基本支出</w:t>
      </w:r>
      <w:r>
        <w:rPr>
          <w:rStyle w:val="6"/>
          <w:rFonts w:hint="eastAsia" w:ascii="方正楷体_GBK" w:eastAsia="方正楷体_GBK"/>
          <w:szCs w:val="32"/>
        </w:rPr>
        <w:t>：</w:t>
      </w:r>
      <w:r>
        <w:rPr>
          <w:rFonts w:hint="eastAsia" w:eastAsia="方正仿宋_GBK"/>
          <w:sz w:val="32"/>
          <w:szCs w:val="27"/>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ascii="方正楷体_GBK" w:eastAsia="方正楷体_GBK"/>
          <w:b w:val="0"/>
          <w:sz w:val="32"/>
          <w:szCs w:val="32"/>
        </w:rPr>
        <w:t>（十）项目支出</w:t>
      </w:r>
      <w:r>
        <w:rPr>
          <w:rStyle w:val="6"/>
          <w:rFonts w:hint="eastAsia" w:ascii="方正楷体_GBK" w:eastAsia="方正楷体_GBK"/>
          <w:szCs w:val="32"/>
        </w:rPr>
        <w:t>：</w:t>
      </w:r>
      <w:r>
        <w:rPr>
          <w:rFonts w:hint="eastAsia" w:eastAsia="方正仿宋_GBK"/>
          <w:sz w:val="32"/>
          <w:szCs w:val="27"/>
        </w:rPr>
        <w:t>指在基本支出之外为完成特定行政任务和事业发展目标所发生的支出。</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ascii="方正楷体_GBK" w:eastAsia="方正楷体_GBK"/>
          <w:b w:val="0"/>
          <w:sz w:val="32"/>
          <w:szCs w:val="32"/>
        </w:rPr>
        <w:t>（十一）经营支出</w:t>
      </w:r>
      <w:r>
        <w:rPr>
          <w:rStyle w:val="6"/>
          <w:rFonts w:hint="eastAsia" w:ascii="方正楷体_GBK" w:eastAsia="方正楷体_GBK"/>
          <w:szCs w:val="32"/>
        </w:rPr>
        <w:t>：</w:t>
      </w:r>
      <w:r>
        <w:rPr>
          <w:rFonts w:hint="eastAsia" w:eastAsia="方正仿宋_GBK"/>
          <w:sz w:val="32"/>
          <w:szCs w:val="27"/>
        </w:rPr>
        <w:t>指事业单位在专业业务活动及其辅助活动之外开展非独立核算经营活动发生的支出。</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ascii="方正楷体_GBK" w:eastAsia="方正楷体_GBK"/>
          <w:b w:val="0"/>
          <w:sz w:val="32"/>
          <w:szCs w:val="32"/>
        </w:rPr>
        <w:t>（十二）“三公”经费</w:t>
      </w:r>
      <w:r>
        <w:rPr>
          <w:rStyle w:val="6"/>
          <w:rFonts w:hint="eastAsia" w:ascii="方正楷体_GBK" w:eastAsia="方正楷体_GBK"/>
          <w:szCs w:val="32"/>
        </w:rPr>
        <w:t>：</w:t>
      </w:r>
      <w:r>
        <w:rPr>
          <w:rFonts w:hint="eastAsia" w:eastAsia="方正仿宋_GBK"/>
          <w:sz w:val="32"/>
          <w:szCs w:val="27"/>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ascii="方正楷体_GBK" w:eastAsia="方正楷体_GBK"/>
          <w:b w:val="0"/>
          <w:sz w:val="32"/>
          <w:szCs w:val="32"/>
        </w:rPr>
        <w:t>（十三）机关运行经费</w:t>
      </w:r>
      <w:r>
        <w:rPr>
          <w:rStyle w:val="6"/>
          <w:rFonts w:hint="eastAsia" w:ascii="方正楷体_GBK" w:eastAsia="方正楷体_GBK"/>
          <w:szCs w:val="32"/>
        </w:rPr>
        <w:t>：</w:t>
      </w:r>
      <w:r>
        <w:rPr>
          <w:rFonts w:hint="eastAsia" w:eastAsia="方正仿宋_GBK"/>
          <w:sz w:val="32"/>
          <w:szCs w:val="27"/>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ascii="方正楷体_GBK" w:eastAsia="方正楷体_GBK"/>
          <w:b w:val="0"/>
          <w:sz w:val="32"/>
          <w:szCs w:val="32"/>
        </w:rPr>
        <w:t>（十四）工资福利支出（支出经济分类科目类级）</w:t>
      </w:r>
      <w:r>
        <w:rPr>
          <w:rStyle w:val="6"/>
          <w:rFonts w:hint="eastAsia" w:ascii="方正楷体_GBK" w:eastAsia="方正楷体_GBK"/>
          <w:szCs w:val="32"/>
        </w:rPr>
        <w:t>：</w:t>
      </w:r>
      <w:r>
        <w:rPr>
          <w:rFonts w:hint="eastAsia" w:eastAsia="方正仿宋_GBK"/>
          <w:sz w:val="32"/>
          <w:szCs w:val="27"/>
        </w:rPr>
        <w:t>反映单位开支的在职职工和编制外长期聘用人员的各类劳动报酬，以及为上述人员缴纳的各项社会保险费等。</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eastAsia="方正楷体_GBK"/>
          <w:b w:val="0"/>
          <w:sz w:val="32"/>
          <w:szCs w:val="27"/>
        </w:rPr>
        <w:t>（十五）商品和服务支出（支出经济分类科目类级）</w:t>
      </w:r>
      <w:r>
        <w:rPr>
          <w:rFonts w:hint="eastAsia" w:eastAsia="方正仿宋_GBK"/>
          <w:sz w:val="32"/>
          <w:szCs w:val="27"/>
        </w:rPr>
        <w:t>：反映单位购买商品和服务的支出（不包括用于购置固定资产的支出、战略性和应急储备支出）。</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eastAsia="方正楷体_GBK"/>
          <w:b w:val="0"/>
          <w:sz w:val="32"/>
          <w:szCs w:val="27"/>
        </w:rPr>
        <w:t>（十六）对个人和家庭的补助（支出经济分类科目类级）</w:t>
      </w:r>
      <w:r>
        <w:rPr>
          <w:rFonts w:hint="eastAsia" w:eastAsia="方正仿宋_GBK"/>
          <w:sz w:val="32"/>
          <w:szCs w:val="27"/>
        </w:rPr>
        <w:t>：反映用于对个人和家庭的补助支出。</w:t>
      </w:r>
    </w:p>
    <w:p>
      <w:pPr>
        <w:pStyle w:val="4"/>
        <w:shd w:val="clear" w:color="auto" w:fill="FFFFFF"/>
        <w:adjustRightInd w:val="0"/>
        <w:snapToGrid w:val="0"/>
        <w:spacing w:before="0" w:beforeAutospacing="0" w:after="0" w:afterAutospacing="0" w:line="600" w:lineRule="exact"/>
        <w:ind w:firstLine="640" w:firstLineChars="200"/>
      </w:pPr>
      <w:r>
        <w:rPr>
          <w:rStyle w:val="6"/>
          <w:rFonts w:hint="eastAsia" w:eastAsia="方正楷体_GBK"/>
          <w:b w:val="0"/>
          <w:sz w:val="32"/>
          <w:szCs w:val="27"/>
        </w:rPr>
        <w:t>（十七）其他资本性支出（支出经济分类科目类级）</w:t>
      </w:r>
      <w:r>
        <w:rPr>
          <w:rFonts w:hint="eastAsia" w:eastAsia="方正仿宋_GBK"/>
          <w:sz w:val="32"/>
          <w:szCs w:val="27"/>
        </w:rPr>
        <w:t>：反映非各级发展与改革部门集中安排的用于购置固定资产、战略性和应急性储备、土地和无形资产，以及构建基础设施、大型修缮和财政支持企业更新改造所发生的支出。</w:t>
      </w:r>
    </w:p>
    <w:p>
      <w:pPr>
        <w:pStyle w:val="4"/>
        <w:shd w:val="clear" w:color="auto" w:fill="FFFFFF"/>
        <w:adjustRightInd w:val="0"/>
        <w:snapToGrid w:val="0"/>
        <w:spacing w:before="0" w:beforeAutospacing="0" w:after="0" w:afterAutospacing="0" w:line="600" w:lineRule="exact"/>
        <w:ind w:firstLine="640" w:firstLineChars="200"/>
        <w:rPr>
          <w:rStyle w:val="6"/>
          <w:rFonts w:ascii="方正黑体_GBK" w:hAnsi="黑体" w:eastAsia="方正黑体_GBK"/>
          <w:b w:val="0"/>
          <w:bCs w:val="0"/>
          <w:sz w:val="32"/>
          <w:szCs w:val="32"/>
        </w:rPr>
      </w:pPr>
      <w:r>
        <w:rPr>
          <w:rStyle w:val="6"/>
          <w:rFonts w:hint="eastAsia" w:ascii="方正黑体_GBK" w:hAnsi="黑体" w:eastAsia="方正黑体_GBK"/>
          <w:b w:val="0"/>
          <w:bCs w:val="0"/>
          <w:sz w:val="32"/>
          <w:szCs w:val="32"/>
        </w:rPr>
        <w:t>七、决算公开联系方式及信息反馈渠道</w:t>
      </w:r>
    </w:p>
    <w:p>
      <w:pPr>
        <w:pStyle w:val="4"/>
        <w:shd w:val="clear" w:color="auto" w:fill="FFFFFF"/>
        <w:adjustRightInd w:val="0"/>
        <w:snapToGrid w:val="0"/>
        <w:spacing w:before="0" w:beforeAutospacing="0" w:after="0" w:afterAutospacing="0" w:line="600" w:lineRule="exact"/>
        <w:ind w:firstLine="640" w:firstLineChars="200"/>
      </w:pPr>
      <w:r>
        <w:rPr>
          <w:rFonts w:hint="eastAsia" w:eastAsia="方正仿宋_GBK"/>
          <w:sz w:val="32"/>
          <w:szCs w:val="27"/>
        </w:rPr>
        <w:t>本单位决算公开信息反馈和联系方式：023-48740020</w:t>
      </w:r>
    </w:p>
    <w:sectPr>
      <w:pgSz w:w="11907" w:h="16840"/>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EzYWYxYTY4NzQ3ZjAxZTg4Njg0OTUxNTYxM2Y5ZGQifQ=="/>
  </w:docVars>
  <w:rsids>
    <w:rsidRoot w:val="00766DBE"/>
    <w:rsid w:val="00057A59"/>
    <w:rsid w:val="000627E6"/>
    <w:rsid w:val="001014C5"/>
    <w:rsid w:val="001B14B0"/>
    <w:rsid w:val="00205CED"/>
    <w:rsid w:val="00260F43"/>
    <w:rsid w:val="0027583B"/>
    <w:rsid w:val="0028280F"/>
    <w:rsid w:val="002E78D3"/>
    <w:rsid w:val="0034467A"/>
    <w:rsid w:val="004E4B6A"/>
    <w:rsid w:val="00644D66"/>
    <w:rsid w:val="006F3DD3"/>
    <w:rsid w:val="00766DBE"/>
    <w:rsid w:val="007A5C75"/>
    <w:rsid w:val="009A0B88"/>
    <w:rsid w:val="00A75B9C"/>
    <w:rsid w:val="00AA55E6"/>
    <w:rsid w:val="00AE5336"/>
    <w:rsid w:val="00C05493"/>
    <w:rsid w:val="00C25ED5"/>
    <w:rsid w:val="00C43CC4"/>
    <w:rsid w:val="00D410B1"/>
    <w:rsid w:val="00D9546D"/>
    <w:rsid w:val="00DA38E6"/>
    <w:rsid w:val="00DF08B7"/>
    <w:rsid w:val="00E06A53"/>
    <w:rsid w:val="00E977F8"/>
    <w:rsid w:val="00F14553"/>
    <w:rsid w:val="00F546AA"/>
    <w:rsid w:val="00F8325F"/>
    <w:rsid w:val="00FB0849"/>
    <w:rsid w:val="2E567A62"/>
    <w:rsid w:val="4F356EBF"/>
    <w:rsid w:val="572320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100" w:beforeAutospacing="1" w:after="100" w:afterAutospacing="1"/>
    </w:pPr>
  </w:style>
  <w:style w:type="character" w:styleId="6">
    <w:name w:val="Strong"/>
    <w:basedOn w:val="5"/>
    <w:qFormat/>
    <w:uiPriority w:val="22"/>
    <w:rPr>
      <w:b/>
      <w:bCs/>
    </w:rPr>
  </w:style>
  <w:style w:type="paragraph" w:customStyle="1" w:styleId="8">
    <w:name w:val="msonormal"/>
    <w:basedOn w:val="1"/>
    <w:semiHidden/>
    <w:qFormat/>
    <w:uiPriority w:val="99"/>
    <w:pPr>
      <w:spacing w:before="100" w:beforeAutospacing="1" w:after="100" w:afterAutospacing="1"/>
    </w:pPr>
  </w:style>
  <w:style w:type="character" w:customStyle="1" w:styleId="9">
    <w:name w:val="页眉 字符"/>
    <w:basedOn w:val="5"/>
    <w:link w:val="3"/>
    <w:qFormat/>
    <w:uiPriority w:val="99"/>
    <w:rPr>
      <w:rFonts w:ascii="宋体" w:hAnsi="宋体" w:eastAsia="宋体" w:cs="宋体"/>
      <w:sz w:val="18"/>
      <w:szCs w:val="18"/>
    </w:rPr>
  </w:style>
  <w:style w:type="character" w:customStyle="1" w:styleId="10">
    <w:name w:val="页脚 字符"/>
    <w:basedOn w:val="5"/>
    <w:link w:val="2"/>
    <w:qFormat/>
    <w:uiPriority w:val="99"/>
    <w:rPr>
      <w:rFonts w:ascii="宋体" w:hAnsi="宋体" w:eastAsia="宋体" w:cs="宋体"/>
      <w:sz w:val="18"/>
      <w:szCs w:val="18"/>
    </w:rPr>
  </w:style>
  <w:style w:type="paragraph" w:styleId="11">
    <w:name w:val="List Paragraph"/>
    <w:basedOn w:val="1"/>
    <w:qFormat/>
    <w:uiPriority w:val="34"/>
    <w:pPr>
      <w:widowControl w:val="0"/>
      <w:ind w:firstLine="420" w:firstLineChars="200"/>
      <w:jc w:val="both"/>
    </w:pPr>
    <w:rPr>
      <w:rFonts w:ascii="Times New Roman" w:hAnsi="Times New Roman" w:cs="Times New Roman"/>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emf"/><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4121</Words>
  <Characters>4768</Characters>
  <Lines>34</Lines>
  <Paragraphs>9</Paragraphs>
  <TotalTime>2</TotalTime>
  <ScaleCrop>false</ScaleCrop>
  <LinksUpToDate>false</LinksUpToDate>
  <CharactersWithSpaces>4771</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2022-08-31T09:41:00Z</dcterms:created>
  <dc:creator>Administrator</dc:creator>
  <cp:lastModifiedBy>Administrator</cp:lastModifiedBy>
  <dcterms:modified xsi:type="dcterms:W3CDTF">2024-11-14T03:24:57Z</dcterms:modified>
  <dc:title>公开报告模板</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D92E2B8131254A4FA31F8BB4AE835A09</vt:lpwstr>
  </property>
</Properties>
</file>