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eastAsia="方正小标宋_GBK"/>
          <w:sz w:val="44"/>
          <w:szCs w:val="44"/>
        </w:rPr>
      </w:pPr>
      <w:r>
        <w:rPr>
          <w:rFonts w:hint="eastAsia" w:ascii="方正小标宋_GBK" w:eastAsia="方正小标宋_GBK"/>
          <w:sz w:val="44"/>
          <w:szCs w:val="44"/>
        </w:rPr>
        <w:t>重庆市綦江区教育考试中心</w:t>
      </w:r>
    </w:p>
    <w:p>
      <w:pPr>
        <w:spacing w:line="600" w:lineRule="exact"/>
        <w:jc w:val="center"/>
        <w:rPr>
          <w:rFonts w:ascii="方正小标宋_GBK" w:eastAsia="方正小标宋_GBK"/>
          <w:sz w:val="44"/>
          <w:szCs w:val="44"/>
        </w:rPr>
      </w:pPr>
      <w:r>
        <w:rPr>
          <w:rFonts w:hint="eastAsia" w:ascii="方正小标宋_GBK" w:eastAsia="方正小标宋_GBK"/>
          <w:sz w:val="44"/>
          <w:szCs w:val="44"/>
        </w:rPr>
        <w:t>2020年度部门决算情况说明</w:t>
      </w:r>
    </w:p>
    <w:p>
      <w:pPr>
        <w:spacing w:line="600" w:lineRule="exact"/>
        <w:rPr>
          <w:rFonts w:ascii="方正仿宋_GBK" w:eastAsia="方正仿宋_GBK"/>
          <w:sz w:val="32"/>
          <w:szCs w:val="32"/>
        </w:rPr>
      </w:pPr>
      <w:r>
        <w:rPr>
          <w:rFonts w:hint="eastAsia" w:ascii="方正仿宋_GBK" w:eastAsia="方正仿宋_GBK"/>
          <w:sz w:val="32"/>
          <w:szCs w:val="32"/>
        </w:rPr>
        <w:t> </w:t>
      </w:r>
    </w:p>
    <w:p>
      <w:pPr>
        <w:spacing w:line="600" w:lineRule="exact"/>
        <w:ind w:firstLine="643" w:firstLineChars="200"/>
        <w:rPr>
          <w:rFonts w:ascii="方正黑体_GBK" w:eastAsia="方正黑体_GBK"/>
          <w:sz w:val="32"/>
          <w:szCs w:val="32"/>
        </w:rPr>
      </w:pPr>
      <w:r>
        <w:rPr>
          <w:rStyle w:val="6"/>
          <w:rFonts w:hint="eastAsia" w:ascii="方正黑体_GBK" w:eastAsia="方正黑体_GBK"/>
          <w:sz w:val="32"/>
          <w:szCs w:val="32"/>
        </w:rPr>
        <w:t>一、部门基本情况</w:t>
      </w:r>
    </w:p>
    <w:p>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 xml:space="preserve">  </w:t>
      </w:r>
      <w:r>
        <w:rPr>
          <w:rStyle w:val="6"/>
          <w:rFonts w:hint="eastAsia" w:ascii="方正楷体_GBK" w:eastAsia="方正楷体_GBK"/>
          <w:sz w:val="32"/>
          <w:szCs w:val="32"/>
        </w:rPr>
        <w:t>（一）职能职责</w:t>
      </w:r>
    </w:p>
    <w:p>
      <w:pPr>
        <w:spacing w:line="600" w:lineRule="exact"/>
        <w:ind w:firstLine="640" w:firstLineChars="200"/>
        <w:rPr>
          <w:rFonts w:ascii="方正仿宋_GBK" w:hAnsi="仿宋_GB2312" w:eastAsia="方正仿宋_GBK" w:cs="仿宋_GB2312"/>
          <w:kern w:val="2"/>
          <w:sz w:val="32"/>
          <w:szCs w:val="32"/>
        </w:rPr>
      </w:pPr>
      <w:r>
        <w:rPr>
          <w:rFonts w:hint="eastAsia" w:ascii="方正仿宋_GBK" w:hAnsi="仿宋_GB2312" w:eastAsia="方正仿宋_GBK" w:cs="仿宋_GB2312"/>
          <w:kern w:val="2"/>
          <w:sz w:val="32"/>
          <w:szCs w:val="32"/>
        </w:rPr>
        <w:t>1.负责统筹全区普通高等院校招生考试考务工作。</w:t>
      </w:r>
    </w:p>
    <w:p>
      <w:pPr>
        <w:spacing w:line="600" w:lineRule="exact"/>
        <w:ind w:firstLine="640" w:firstLineChars="200"/>
        <w:rPr>
          <w:rFonts w:ascii="方正仿宋_GBK" w:hAnsi="仿宋_GB2312" w:eastAsia="方正仿宋_GBK" w:cs="仿宋_GB2312"/>
          <w:kern w:val="2"/>
          <w:sz w:val="32"/>
          <w:szCs w:val="32"/>
        </w:rPr>
      </w:pPr>
      <w:r>
        <w:rPr>
          <w:rFonts w:hint="eastAsia" w:ascii="方正仿宋_GBK" w:hAnsi="仿宋_GB2312" w:eastAsia="方正仿宋_GBK" w:cs="仿宋_GB2312"/>
          <w:kern w:val="2"/>
          <w:sz w:val="32"/>
          <w:szCs w:val="32"/>
        </w:rPr>
        <w:t>2.负责全区成人高校招生入学考试考务工作。</w:t>
      </w:r>
    </w:p>
    <w:p>
      <w:pPr>
        <w:spacing w:line="600" w:lineRule="exact"/>
        <w:ind w:firstLine="640" w:firstLineChars="200"/>
        <w:rPr>
          <w:rFonts w:ascii="方正仿宋_GBK" w:hAnsi="仿宋_GB2312" w:eastAsia="方正仿宋_GBK" w:cs="仿宋_GB2312"/>
          <w:kern w:val="2"/>
          <w:sz w:val="32"/>
          <w:szCs w:val="32"/>
        </w:rPr>
      </w:pPr>
      <w:r>
        <w:rPr>
          <w:rFonts w:hint="eastAsia" w:ascii="方正仿宋_GBK" w:hAnsi="仿宋_GB2312" w:eastAsia="方正仿宋_GBK" w:cs="仿宋_GB2312"/>
          <w:kern w:val="2"/>
          <w:sz w:val="32"/>
          <w:szCs w:val="32"/>
        </w:rPr>
        <w:t>3.负责成人自学考试等相关考试考务工作。</w:t>
      </w:r>
    </w:p>
    <w:p>
      <w:pPr>
        <w:spacing w:line="600" w:lineRule="exact"/>
        <w:ind w:firstLine="640" w:firstLineChars="200"/>
        <w:rPr>
          <w:rFonts w:ascii="方正仿宋_GBK" w:hAnsi="仿宋_GB2312" w:eastAsia="方正仿宋_GBK" w:cs="仿宋_GB2312"/>
          <w:kern w:val="2"/>
          <w:sz w:val="32"/>
          <w:szCs w:val="32"/>
        </w:rPr>
      </w:pPr>
      <w:r>
        <w:rPr>
          <w:rFonts w:hint="eastAsia" w:ascii="方正仿宋_GBK" w:hAnsi="仿宋_GB2312" w:eastAsia="方正仿宋_GBK" w:cs="仿宋_GB2312"/>
          <w:kern w:val="2"/>
          <w:sz w:val="32"/>
          <w:szCs w:val="32"/>
        </w:rPr>
        <w:t>4.负责全区中招考试、高中学业水平考试考务工作。</w:t>
      </w:r>
    </w:p>
    <w:p>
      <w:pPr>
        <w:spacing w:line="600" w:lineRule="exact"/>
        <w:ind w:firstLine="640" w:firstLineChars="200"/>
        <w:rPr>
          <w:rFonts w:ascii="方正仿宋_GBK" w:hAnsi="仿宋_GB2312" w:eastAsia="方正仿宋_GBK" w:cs="仿宋_GB2312"/>
          <w:kern w:val="2"/>
          <w:sz w:val="32"/>
          <w:szCs w:val="32"/>
        </w:rPr>
      </w:pPr>
      <w:r>
        <w:rPr>
          <w:rFonts w:hint="eastAsia" w:ascii="方正仿宋_GBK" w:hAnsi="仿宋_GB2312" w:eastAsia="方正仿宋_GBK" w:cs="仿宋_GB2312"/>
          <w:kern w:val="2"/>
          <w:sz w:val="32"/>
          <w:szCs w:val="32"/>
        </w:rPr>
        <w:t>5.负责教师资格考试及全区社会化相关考试考务工作。</w:t>
      </w:r>
    </w:p>
    <w:p>
      <w:pPr>
        <w:spacing w:line="600" w:lineRule="exact"/>
        <w:ind w:firstLine="640" w:firstLineChars="200"/>
        <w:rPr>
          <w:rFonts w:ascii="方正仿宋_GBK" w:eastAsia="方正仿宋_GBK"/>
          <w:sz w:val="32"/>
          <w:szCs w:val="32"/>
        </w:rPr>
      </w:pPr>
      <w:r>
        <w:rPr>
          <w:rFonts w:hint="eastAsia" w:ascii="方正仿宋_GBK" w:hAnsi="仿宋_GB2312" w:eastAsia="方正仿宋_GBK" w:cs="仿宋_GB2312"/>
          <w:kern w:val="2"/>
          <w:sz w:val="32"/>
          <w:szCs w:val="32"/>
        </w:rPr>
        <w:t>6.负责全区中小学学业水平考试和教育水平、教育质量的研究工作。</w:t>
      </w:r>
    </w:p>
    <w:p>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 xml:space="preserve">  </w:t>
      </w:r>
      <w:r>
        <w:rPr>
          <w:rFonts w:hint="eastAsia" w:ascii="方正楷体_GBK" w:eastAsia="方正楷体_GBK"/>
          <w:b/>
          <w:bCs/>
          <w:sz w:val="32"/>
          <w:szCs w:val="32"/>
        </w:rPr>
        <w:t>（二）机构设置</w:t>
      </w:r>
    </w:p>
    <w:p>
      <w:pPr>
        <w:spacing w:line="600" w:lineRule="exact"/>
        <w:ind w:firstLine="640" w:firstLineChars="200"/>
        <w:rPr>
          <w:rFonts w:ascii="方正仿宋_GBK" w:eastAsia="方正仿宋_GBK"/>
          <w:sz w:val="32"/>
          <w:szCs w:val="32"/>
        </w:rPr>
      </w:pPr>
      <w:r>
        <w:rPr>
          <w:rFonts w:hint="eastAsia" w:ascii="方正仿宋_GBK" w:eastAsia="方正仿宋_GBK"/>
          <w:color w:val="FF0000"/>
          <w:sz w:val="32"/>
          <w:szCs w:val="32"/>
        </w:rPr>
        <w:t> </w:t>
      </w:r>
      <w:r>
        <w:rPr>
          <w:rFonts w:hint="eastAsia" w:ascii="方正仿宋_GBK" w:hAnsi="仿宋_GB2312" w:eastAsia="方正仿宋_GBK" w:cs="仿宋_GB2312"/>
          <w:sz w:val="32"/>
          <w:szCs w:val="32"/>
        </w:rPr>
        <w:t>根据《重庆市綦江区机构编制委员会关于调整重庆市綦江区教育委员会所属事业单位机构编制方案的通知》（綦编〔2012〕287号）文件精神，设立重庆市綦江区教育考试中心，为重庆市綦江区教育委员会所属事业单位。</w:t>
      </w:r>
    </w:p>
    <w:p>
      <w:pPr>
        <w:spacing w:line="600" w:lineRule="exact"/>
        <w:ind w:firstLine="640" w:firstLineChars="200"/>
        <w:rPr>
          <w:rFonts w:ascii="方正楷体_GBK" w:eastAsia="方正楷体_GBK"/>
          <w:sz w:val="32"/>
          <w:szCs w:val="32"/>
        </w:rPr>
      </w:pPr>
      <w:r>
        <w:rPr>
          <w:rFonts w:hint="eastAsia" w:ascii="方正楷体_GBK" w:eastAsia="方正楷体_GBK"/>
          <w:sz w:val="32"/>
          <w:szCs w:val="32"/>
        </w:rPr>
        <w:t xml:space="preserve">  </w:t>
      </w:r>
      <w:r>
        <w:rPr>
          <w:rFonts w:hint="eastAsia" w:ascii="方正楷体_GBK" w:eastAsia="方正楷体_GBK"/>
          <w:b/>
          <w:bCs/>
          <w:sz w:val="32"/>
          <w:szCs w:val="32"/>
        </w:rPr>
        <w:t>（三）单位构成</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 本单位无下级预算单位。</w:t>
      </w:r>
    </w:p>
    <w:p>
      <w:pPr>
        <w:spacing w:line="600" w:lineRule="exact"/>
        <w:ind w:firstLine="643" w:firstLineChars="200"/>
        <w:rPr>
          <w:rStyle w:val="6"/>
          <w:rFonts w:ascii="方正黑体_GBK" w:eastAsia="方正黑体_GBK"/>
        </w:rPr>
      </w:pPr>
      <w:r>
        <w:rPr>
          <w:rStyle w:val="6"/>
          <w:rFonts w:hint="eastAsia" w:ascii="方正黑体_GBK" w:eastAsia="方正黑体_GBK"/>
          <w:sz w:val="32"/>
          <w:szCs w:val="32"/>
        </w:rPr>
        <w:t>二、部门决算情况说明</w:t>
      </w:r>
    </w:p>
    <w:p>
      <w:pPr>
        <w:spacing w:line="600" w:lineRule="exact"/>
        <w:ind w:firstLine="643" w:firstLineChars="200"/>
        <w:rPr>
          <w:rFonts w:ascii="方正仿宋_GBK" w:eastAsia="方正仿宋_GBK"/>
          <w:sz w:val="32"/>
          <w:szCs w:val="32"/>
        </w:rPr>
      </w:pPr>
      <w:r>
        <w:rPr>
          <w:rFonts w:hint="eastAsia" w:ascii="方正楷体_GBK" w:eastAsia="方正楷体_GBK"/>
          <w:b/>
          <w:bCs/>
          <w:sz w:val="32"/>
          <w:szCs w:val="32"/>
        </w:rPr>
        <w:t>（一）收入支出决算总体情况说明</w:t>
      </w:r>
    </w:p>
    <w:p>
      <w:pPr>
        <w:spacing w:line="600" w:lineRule="exact"/>
        <w:ind w:firstLine="643" w:firstLineChars="200"/>
        <w:rPr>
          <w:rFonts w:ascii="方正仿宋_GBK" w:hAnsi="仿宋" w:eastAsia="方正仿宋_GBK"/>
          <w:sz w:val="32"/>
          <w:szCs w:val="32"/>
        </w:rPr>
      </w:pPr>
      <w:r>
        <w:rPr>
          <w:rStyle w:val="6"/>
          <w:rFonts w:hint="eastAsia" w:ascii="方正仿宋_GBK" w:eastAsia="方正仿宋_GBK"/>
          <w:sz w:val="32"/>
          <w:szCs w:val="32"/>
        </w:rPr>
        <w:t>1.总体情况</w:t>
      </w:r>
      <w:r>
        <w:rPr>
          <w:rFonts w:hint="eastAsia" w:ascii="方正仿宋_GBK" w:eastAsia="方正仿宋_GBK"/>
          <w:sz w:val="32"/>
          <w:szCs w:val="32"/>
        </w:rPr>
        <w:t>。2020年度收入总计432.04万元，支出总计432.04万元。收支较上年决算数 减少149.75万元、 下降</w:t>
      </w:r>
      <w:r>
        <w:rPr>
          <w:rFonts w:hint="eastAsia" w:ascii="方正仿宋_GBK" w:eastAsia="方正仿宋_GBK"/>
          <w:vanish/>
          <w:sz w:val="32"/>
          <w:szCs w:val="32"/>
        </w:rPr>
        <w:t xml:space="preserve"> </w:t>
      </w:r>
      <w:r>
        <w:rPr>
          <w:rFonts w:hint="eastAsia" w:ascii="方正仿宋_GBK" w:eastAsia="方正仿宋_GBK"/>
          <w:sz w:val="32"/>
          <w:szCs w:val="32"/>
        </w:rPr>
        <w:t>25.7%，主要原因</w:t>
      </w:r>
      <w:r>
        <w:rPr>
          <w:rFonts w:hint="eastAsia" w:ascii="方正仿宋_GBK" w:hAnsi="仿宋" w:eastAsia="方正仿宋_GBK"/>
          <w:sz w:val="32"/>
          <w:szCs w:val="32"/>
        </w:rPr>
        <w:t>本年一般财政预算拨款</w:t>
      </w:r>
      <w:r>
        <w:rPr>
          <w:rFonts w:hint="eastAsia" w:ascii="方正仿宋_GBK" w:eastAsia="方正仿宋_GBK"/>
          <w:sz w:val="32"/>
          <w:szCs w:val="32"/>
        </w:rPr>
        <w:t>320.29</w:t>
      </w:r>
      <w:r>
        <w:rPr>
          <w:rFonts w:hint="eastAsia" w:ascii="方正仿宋_GBK" w:hAnsi="仿宋" w:eastAsia="方正仿宋_GBK"/>
          <w:sz w:val="32"/>
          <w:szCs w:val="32"/>
        </w:rPr>
        <w:t>2万元，事业收入</w:t>
      </w:r>
      <w:r>
        <w:rPr>
          <w:rFonts w:hint="eastAsia" w:ascii="方正仿宋_GBK" w:eastAsia="方正仿宋_GBK"/>
          <w:sz w:val="32"/>
          <w:szCs w:val="32"/>
        </w:rPr>
        <w:t>82.49</w:t>
      </w:r>
      <w:r>
        <w:rPr>
          <w:rFonts w:hint="eastAsia" w:ascii="方正仿宋_GBK" w:hAnsi="仿宋" w:eastAsia="方正仿宋_GBK"/>
          <w:sz w:val="32"/>
          <w:szCs w:val="32"/>
        </w:rPr>
        <w:t>万元，年初结转和结余有</w:t>
      </w:r>
      <w:r>
        <w:rPr>
          <w:rFonts w:hint="eastAsia" w:ascii="方正仿宋_GBK" w:eastAsia="方正仿宋_GBK"/>
          <w:sz w:val="32"/>
          <w:szCs w:val="32"/>
        </w:rPr>
        <w:t>29.26</w:t>
      </w:r>
      <w:r>
        <w:rPr>
          <w:rFonts w:hint="eastAsia" w:ascii="方正仿宋_GBK" w:hAnsi="仿宋" w:eastAsia="方正仿宋_GBK"/>
          <w:sz w:val="32"/>
          <w:szCs w:val="32"/>
        </w:rPr>
        <w:t>万元。</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2.收入情况。</w:t>
      </w:r>
      <w:r>
        <w:rPr>
          <w:rFonts w:hint="eastAsia" w:ascii="方正仿宋_GBK" w:eastAsia="方正仿宋_GBK"/>
          <w:sz w:val="32"/>
          <w:szCs w:val="32"/>
        </w:rPr>
        <w:t>2020年度收入合计402.77万元，较上年决算数减少89.93万元，下降18.3%，主要原因是考生考试报名费由市考院收取。其中：财政拨款收入320.29万元，占79.5%；事业收入82.49万元，占20.5%；经营收入0.00万元，占0%；其他收入0.00万元，占0%。此外，使用非财政拨款结余0.00万元，年初结转和结余29.26万元。</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3.支出情况。</w:t>
      </w:r>
      <w:r>
        <w:rPr>
          <w:rFonts w:hint="eastAsia" w:ascii="方正仿宋_GBK" w:eastAsia="方正仿宋_GBK"/>
          <w:sz w:val="32"/>
          <w:szCs w:val="32"/>
        </w:rPr>
        <w:t>2020年度支出合计413.83万元，较上年决算数减少142.36万元，下降25.6%，主要原因是考生考试报名费由市考试院直接收取。其中：基本支出 134.29万元，占32.5%；项目支出279.54万元，占67.5%；经营支出0.00万元，占0%。此外，结余分配0.00万元。</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4.结转结余情况。</w:t>
      </w:r>
      <w:r>
        <w:rPr>
          <w:rFonts w:hint="eastAsia" w:ascii="方正仿宋_GBK" w:eastAsia="方正仿宋_GBK"/>
          <w:sz w:val="32"/>
          <w:szCs w:val="32"/>
        </w:rPr>
        <w:t>2020年度年末结转和结余18.20万元，较上年决算数减少7.40万元，下降28.9%，主要原因是考试考务费结余减少</w:t>
      </w:r>
    </w:p>
    <w:p>
      <w:pPr>
        <w:spacing w:line="600" w:lineRule="exact"/>
        <w:ind w:firstLine="643" w:firstLineChars="200"/>
        <w:rPr>
          <w:rFonts w:ascii="方正楷体_GBK" w:eastAsia="方正楷体_GBK"/>
          <w:b/>
          <w:bCs/>
          <w:sz w:val="32"/>
          <w:szCs w:val="32"/>
        </w:rPr>
      </w:pPr>
      <w:r>
        <w:rPr>
          <w:rStyle w:val="6"/>
          <w:rFonts w:hint="eastAsia" w:ascii="方正仿宋_GBK" w:eastAsia="方正仿宋_GBK"/>
          <w:sz w:val="32"/>
          <w:szCs w:val="32"/>
        </w:rPr>
        <w:t>（</w:t>
      </w:r>
      <w:r>
        <w:rPr>
          <w:rFonts w:hint="eastAsia" w:ascii="方正楷体_GBK" w:eastAsia="方正楷体_GBK"/>
          <w:b/>
          <w:sz w:val="32"/>
          <w:szCs w:val="32"/>
        </w:rPr>
        <w:t>二）财政拨款收入支出决算总体情况说明</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  2020年度财政拨款收、支总计349.55万元。与2019年相比，财政拨款收、支总计各增加19.94万 元，增长6%。主要原因是人员工资、考试考务费等支出增加。</w:t>
      </w:r>
    </w:p>
    <w:p>
      <w:pPr>
        <w:spacing w:line="600" w:lineRule="exact"/>
        <w:ind w:firstLine="643" w:firstLineChars="200"/>
        <w:rPr>
          <w:rFonts w:ascii="方正楷体_GBK" w:eastAsia="方正楷体_GBK"/>
          <w:b/>
          <w:sz w:val="32"/>
          <w:szCs w:val="32"/>
        </w:rPr>
      </w:pPr>
      <w:r>
        <w:rPr>
          <w:rFonts w:hint="eastAsia" w:ascii="方正楷体_GBK" w:eastAsia="方正楷体_GBK"/>
          <w:b/>
          <w:bCs/>
          <w:sz w:val="32"/>
          <w:szCs w:val="32"/>
        </w:rPr>
        <w:t>（三）一般公共预算财政拨款支出决算情况说明</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1.收入情况。</w:t>
      </w:r>
      <w:r>
        <w:rPr>
          <w:rFonts w:hint="eastAsia" w:ascii="方正仿宋_GBK" w:eastAsia="方正仿宋_GBK"/>
          <w:sz w:val="32"/>
          <w:szCs w:val="32"/>
        </w:rPr>
        <w:t>2020年度一般公共预算财政拨款收入320.29万元，较上年决算数增加79.77万元，增长33.2%。主要原因是</w:t>
      </w:r>
      <w:r>
        <w:rPr>
          <w:rFonts w:hint="eastAsia" w:ascii="方正仿宋_GBK" w:hAnsi="仿宋" w:eastAsia="方正仿宋_GBK"/>
          <w:sz w:val="32"/>
          <w:szCs w:val="32"/>
        </w:rPr>
        <w:t>人员类经费超额绩效调标及社保费增加、</w:t>
      </w:r>
      <w:r>
        <w:rPr>
          <w:rFonts w:hint="eastAsia" w:ascii="方正仿宋_GBK" w:eastAsia="方正仿宋_GBK"/>
          <w:sz w:val="32"/>
          <w:szCs w:val="32"/>
        </w:rPr>
        <w:t>考试考务费增加。较年初预算数 增加75.66万元，增长30.9%。主要原因是</w:t>
      </w:r>
      <w:r>
        <w:rPr>
          <w:rFonts w:hint="eastAsia" w:ascii="方正仿宋_GBK" w:hAnsi="仿宋" w:eastAsia="方正仿宋_GBK"/>
          <w:sz w:val="32"/>
          <w:szCs w:val="32"/>
        </w:rPr>
        <w:t>人员类经费超额绩效调标及社保费增加、</w:t>
      </w:r>
      <w:r>
        <w:rPr>
          <w:rFonts w:hint="eastAsia" w:ascii="方正仿宋_GBK" w:eastAsia="方正仿宋_GBK"/>
          <w:sz w:val="32"/>
          <w:szCs w:val="32"/>
        </w:rPr>
        <w:t>考试考务费增加。此外，年初财政拨款结转和结余29.26万元。</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2.支出情况。</w:t>
      </w:r>
      <w:r>
        <w:rPr>
          <w:rFonts w:hint="eastAsia" w:ascii="方正仿宋_GBK" w:eastAsia="方正仿宋_GBK"/>
          <w:sz w:val="32"/>
          <w:szCs w:val="32"/>
        </w:rPr>
        <w:t>2020年度一般公共预算财政拨款支出343.83万元，较上年决算数增加39.81万元，增长13.1%。主要原因是</w:t>
      </w:r>
      <w:r>
        <w:rPr>
          <w:rFonts w:hint="eastAsia" w:ascii="方正仿宋_GBK" w:hAnsi="仿宋" w:eastAsia="方正仿宋_GBK"/>
          <w:sz w:val="32"/>
          <w:szCs w:val="32"/>
        </w:rPr>
        <w:t>人员类经费超额绩效调标及社保费增加、</w:t>
      </w:r>
      <w:r>
        <w:rPr>
          <w:rFonts w:hint="eastAsia" w:ascii="方正仿宋_GBK" w:eastAsia="方正仿宋_GBK"/>
          <w:sz w:val="32"/>
          <w:szCs w:val="32"/>
        </w:rPr>
        <w:t>考试考务费增加。较年初预算数 增加73.61万 元，增长27.2%。主要原因是</w:t>
      </w:r>
      <w:r>
        <w:rPr>
          <w:rFonts w:hint="eastAsia" w:ascii="方正仿宋_GBK" w:hAnsi="仿宋" w:eastAsia="方正仿宋_GBK"/>
          <w:sz w:val="32"/>
          <w:szCs w:val="32"/>
        </w:rPr>
        <w:t>人员类经费超额绩效调标及社保费增加、</w:t>
      </w:r>
      <w:r>
        <w:rPr>
          <w:rFonts w:hint="eastAsia" w:ascii="方正仿宋_GBK" w:eastAsia="方正仿宋_GBK"/>
          <w:sz w:val="32"/>
          <w:szCs w:val="32"/>
        </w:rPr>
        <w:t>考试考务费增加。</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3.结转结余情况。</w:t>
      </w:r>
      <w:r>
        <w:rPr>
          <w:rFonts w:hint="eastAsia" w:ascii="方正仿宋_GBK" w:eastAsia="方正仿宋_GBK"/>
          <w:sz w:val="32"/>
          <w:szCs w:val="32"/>
        </w:rPr>
        <w:t>2020年度年末一般公共预算财政拨款结转和结余5.72万元，较上年决算数减少19.88万元，下降77.7%，主要原因是. 考试考务费增加，导致资金结余减少。</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4.比较情况</w:t>
      </w:r>
      <w:r>
        <w:rPr>
          <w:rFonts w:hint="eastAsia" w:ascii="方正仿宋_GBK" w:eastAsia="方正仿宋_GBK"/>
          <w:sz w:val="32"/>
          <w:szCs w:val="32"/>
        </w:rPr>
        <w:t xml:space="preserve">。本部门2020年度一般公共预算财政拨款支出主要用于以下几个方面： </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（1）教育支出317.40万元，占92.3%，较年初预算数增加72.20万 元，增长29.4%，主要原因是</w:t>
      </w:r>
      <w:r>
        <w:rPr>
          <w:rFonts w:hint="eastAsia" w:ascii="方正仿宋_GBK" w:hAnsi="仿宋" w:eastAsia="方正仿宋_GBK"/>
          <w:sz w:val="32"/>
          <w:szCs w:val="32"/>
        </w:rPr>
        <w:t>人员类经费超额绩效调标及社保费增加、</w:t>
      </w:r>
      <w:r>
        <w:rPr>
          <w:rFonts w:hint="eastAsia" w:ascii="方正仿宋_GBK" w:eastAsia="方正仿宋_GBK"/>
          <w:sz w:val="32"/>
          <w:szCs w:val="32"/>
        </w:rPr>
        <w:t>考试考务费增加。</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（2）社会保障与就业支出14.04万元，占4.1%，较年初预算数增加1.89万 元，增长15.5%，主要原因是</w:t>
      </w:r>
      <w:r>
        <w:rPr>
          <w:rFonts w:hint="eastAsia" w:ascii="方正仿宋_GBK" w:hAnsi="仿宋" w:eastAsia="方正仿宋_GBK"/>
          <w:sz w:val="32"/>
          <w:szCs w:val="32"/>
        </w:rPr>
        <w:t>人员类经费超额绩效调标。</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（3）卫生健康支出5.46万元，占1.6%，较年初预算数减少0.31万 元，下降5.4%，主要原因是预算时包含了季度考核绩效，实际在缴纳时未纳入缴费基数。</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（4）住房保障支出6.94万元，占2%，较年初预算数减少0.16万 元，下降2.3%，主要原因是预算时包含了季度考核绩效，实际在缴纳时未纳入缴费基数。</w:t>
      </w:r>
    </w:p>
    <w:p>
      <w:pPr>
        <w:spacing w:line="600" w:lineRule="exact"/>
        <w:ind w:firstLine="643" w:firstLineChars="200"/>
        <w:rPr>
          <w:rFonts w:ascii="方正楷体_GBK" w:eastAsia="方正楷体_GBK"/>
          <w:sz w:val="32"/>
          <w:szCs w:val="32"/>
        </w:rPr>
      </w:pPr>
      <w:r>
        <w:rPr>
          <w:rStyle w:val="6"/>
          <w:rFonts w:hint="eastAsia" w:ascii="方正楷体_GBK" w:eastAsia="方正楷体_GBK"/>
          <w:sz w:val="32"/>
          <w:szCs w:val="32"/>
        </w:rPr>
        <w:t>（四）一般公共预算财政拨款基本支出决算情况说明</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  2020年度一般公共财政拨款基本支出134.29万元。其中：人员经费111.74万元，较上年决算数增加36.24万 元，增长48%，主要原因是人员类经费超额绩效调标及社保费增加。人员经费用途主要包括工资福利，保障与就业支出，卫生健康支出，住房保障支出。公用经费22.55万元，较上年决算数增加7.39万元，增长48.7%，主要原因是人员增加，单位费用增加。公用经费用途主要包括. 办公费、差旅费，劳务费等。</w:t>
      </w:r>
    </w:p>
    <w:p>
      <w:pPr>
        <w:spacing w:line="600" w:lineRule="exact"/>
        <w:ind w:firstLine="643" w:firstLineChars="200"/>
        <w:rPr>
          <w:rFonts w:ascii="方正楷体_GBK" w:eastAsia="方正楷体_GBK"/>
          <w:sz w:val="32"/>
          <w:szCs w:val="32"/>
        </w:rPr>
      </w:pPr>
      <w:r>
        <w:rPr>
          <w:rStyle w:val="6"/>
          <w:rFonts w:hint="eastAsia" w:ascii="方正楷体_GBK" w:eastAsia="方正楷体_GBK"/>
          <w:sz w:val="32"/>
          <w:szCs w:val="32"/>
        </w:rPr>
        <w:t>（五）政府性基金预算收支决算情况说明</w:t>
      </w:r>
    </w:p>
    <w:p>
      <w:pPr>
        <w:spacing w:line="600" w:lineRule="exact"/>
        <w:ind w:firstLine="640" w:firstLineChars="200"/>
        <w:rPr>
          <w:rFonts w:ascii="方正仿宋_GBK" w:eastAsia="方正仿宋_GBK"/>
          <w:sz w:val="32"/>
          <w:szCs w:val="32"/>
        </w:rPr>
      </w:pPr>
      <w:r>
        <w:rPr>
          <w:rFonts w:hint="eastAsia" w:ascii="方正仿宋_GBK" w:eastAsia="方正仿宋_GBK"/>
          <w:bCs/>
          <w:sz w:val="32"/>
          <w:szCs w:val="32"/>
        </w:rPr>
        <w:t>本部门2020年度无政府性基金预算财政拨款收支。</w:t>
      </w:r>
    </w:p>
    <w:p>
      <w:pPr>
        <w:spacing w:line="600" w:lineRule="exact"/>
        <w:ind w:firstLine="640" w:firstLineChars="200"/>
        <w:rPr>
          <w:rFonts w:ascii="方正仿宋_GBK" w:eastAsia="方正仿宋_GBK"/>
          <w:bCs/>
          <w:sz w:val="32"/>
          <w:szCs w:val="32"/>
        </w:rPr>
      </w:pPr>
      <w:r>
        <w:rPr>
          <w:rStyle w:val="6"/>
          <w:rFonts w:hint="eastAsia" w:ascii="方正黑体_GBK" w:eastAsia="方正黑体_GBK"/>
          <w:b w:val="0"/>
          <w:sz w:val="32"/>
          <w:szCs w:val="32"/>
        </w:rPr>
        <w:t>（六）国有资本经营预</w:t>
      </w:r>
      <w:r>
        <w:rPr>
          <w:rStyle w:val="6"/>
          <w:rFonts w:hint="eastAsia" w:ascii="方正黑体_GBK" w:eastAsia="方正黑体_GBK"/>
          <w:b w:val="0"/>
          <w:sz w:val="32"/>
          <w:szCs w:val="32"/>
          <w:lang w:eastAsia="zh-CN"/>
        </w:rPr>
        <w:t>财政拨款</w:t>
      </w:r>
      <w:bookmarkStart w:id="0" w:name="_GoBack"/>
      <w:bookmarkEnd w:id="0"/>
      <w:r>
        <w:rPr>
          <w:rStyle w:val="6"/>
          <w:rFonts w:hint="eastAsia" w:ascii="方正黑体_GBK" w:eastAsia="方正黑体_GBK"/>
          <w:b w:val="0"/>
          <w:sz w:val="32"/>
          <w:szCs w:val="32"/>
        </w:rPr>
        <w:t>拨</w:t>
      </w:r>
      <w:r>
        <w:rPr>
          <w:rStyle w:val="6"/>
          <w:rFonts w:hint="eastAsia" w:ascii="方正黑体_GBK" w:eastAsia="方正黑体_GBK"/>
          <w:b w:val="0"/>
          <w:sz w:val="32"/>
          <w:szCs w:val="32"/>
          <w:lang w:eastAsia="zh-CN"/>
        </w:rPr>
        <w:t>支出</w:t>
      </w:r>
      <w:r>
        <w:rPr>
          <w:rStyle w:val="6"/>
          <w:rFonts w:hint="eastAsia" w:ascii="方正黑体_GBK" w:eastAsia="方正黑体_GBK"/>
          <w:b w:val="0"/>
          <w:sz w:val="32"/>
          <w:szCs w:val="32"/>
        </w:rPr>
        <w:t>支决算情况说明。</w:t>
      </w:r>
      <w:r>
        <w:rPr>
          <w:rFonts w:hint="eastAsia" w:ascii="方正黑体_GBK" w:eastAsia="方正黑体_GBK"/>
          <w:sz w:val="32"/>
          <w:szCs w:val="32"/>
        </w:rPr>
        <w:br w:type="textWrapping"/>
      </w:r>
      <w:r>
        <w:rPr>
          <w:rFonts w:hint="eastAsia" w:ascii="方正仿宋_GBK" w:eastAsia="方正仿宋_GBK"/>
          <w:sz w:val="32"/>
          <w:szCs w:val="32"/>
        </w:rPr>
        <w:t> </w:t>
      </w:r>
      <w:r>
        <w:rPr>
          <w:rFonts w:hint="eastAsia" w:ascii="方正仿宋_GBK" w:eastAsia="方正仿宋_GBK"/>
          <w:bCs/>
          <w:sz w:val="32"/>
          <w:szCs w:val="32"/>
        </w:rPr>
        <w:t>本部门2020年度无国有资本经营预算财政拨款支出。</w:t>
      </w:r>
    </w:p>
    <w:p>
      <w:pPr>
        <w:spacing w:line="600" w:lineRule="exact"/>
        <w:ind w:firstLine="643" w:firstLineChars="200"/>
        <w:rPr>
          <w:rStyle w:val="6"/>
          <w:rFonts w:ascii="方正黑体_GBK" w:eastAsia="方正黑体_GBK"/>
        </w:rPr>
      </w:pPr>
      <w:r>
        <w:rPr>
          <w:rStyle w:val="6"/>
          <w:rFonts w:hint="eastAsia" w:ascii="方正黑体_GBK" w:eastAsia="方正黑体_GBK"/>
          <w:sz w:val="32"/>
          <w:szCs w:val="32"/>
        </w:rPr>
        <w:t>三、“三公”经费情况说明</w:t>
      </w:r>
    </w:p>
    <w:p>
      <w:pPr>
        <w:spacing w:line="600" w:lineRule="exact"/>
        <w:ind w:firstLine="643" w:firstLineChars="200"/>
        <w:rPr>
          <w:rFonts w:ascii="方正楷体_GBK" w:eastAsia="方正楷体_GBK"/>
          <w:sz w:val="32"/>
          <w:szCs w:val="32"/>
        </w:rPr>
      </w:pPr>
      <w:r>
        <w:rPr>
          <w:rStyle w:val="6"/>
          <w:rFonts w:hint="eastAsia" w:ascii="方正楷体_GBK" w:eastAsia="方正楷体_GBK"/>
          <w:sz w:val="32"/>
          <w:szCs w:val="32"/>
        </w:rPr>
        <w:t>（一）“三公”经费支出总体情况说明</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2020年度“三公”经费支出共计3.70万元，较年初预算数减少5.41万元，下降59.4%，主要原因是</w:t>
      </w:r>
      <w:r>
        <w:rPr>
          <w:rFonts w:hint="eastAsia" w:ascii="方正仿宋_GBK" w:hAnsi="仿宋" w:eastAsia="方正仿宋_GBK"/>
          <w:sz w:val="32"/>
          <w:szCs w:val="32"/>
        </w:rPr>
        <w:t>严格执行公务用车管理制度，切实减少公务用车运行维护费。</w:t>
      </w:r>
      <w:r>
        <w:rPr>
          <w:rFonts w:hint="eastAsia" w:ascii="方正仿宋_GBK" w:eastAsia="方正仿宋_GBK"/>
          <w:sz w:val="32"/>
          <w:szCs w:val="32"/>
        </w:rPr>
        <w:t>支出数增加0.66万 元，增长21.7%，主要原因是</w:t>
      </w:r>
      <w:r>
        <w:rPr>
          <w:rFonts w:hint="eastAsia" w:ascii="方正仿宋_GBK" w:hAnsi="仿宋" w:eastAsia="方正仿宋_GBK"/>
          <w:sz w:val="32"/>
          <w:szCs w:val="32"/>
        </w:rPr>
        <w:t>严格执行公务用车管理制度，切实减少公务用车运行维护费</w:t>
      </w:r>
      <w:r>
        <w:rPr>
          <w:rFonts w:hint="eastAsia" w:ascii="方正仿宋_GBK" w:eastAsia="方正仿宋_GBK"/>
          <w:sz w:val="32"/>
          <w:szCs w:val="32"/>
        </w:rPr>
        <w:t>。</w:t>
      </w:r>
    </w:p>
    <w:p>
      <w:pPr>
        <w:spacing w:line="600" w:lineRule="exact"/>
        <w:ind w:firstLine="643" w:firstLineChars="200"/>
        <w:rPr>
          <w:rFonts w:ascii="方正楷体_GBK" w:eastAsia="方正楷体_GBK"/>
          <w:sz w:val="32"/>
          <w:szCs w:val="32"/>
        </w:rPr>
      </w:pPr>
      <w:r>
        <w:rPr>
          <w:rStyle w:val="6"/>
          <w:rFonts w:hint="eastAsia" w:ascii="方正楷体_GBK" w:eastAsia="方正楷体_GBK"/>
          <w:sz w:val="32"/>
          <w:szCs w:val="32"/>
        </w:rPr>
        <w:t>（二）“三公”经费分项支出情况</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2020年度本部门因公出国（境）费用0.00万元。费用支出较年初预算数增加0.00万元，增长%。较上年支出数增加0.00万元，增长%。</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公务车购置费0.00万元。费用支出较年初预算数增加0.00万元，增长%。较上年支出数增加0.00万元，增长%。</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公务车运行维护费3.70万元，主要用于单位公务用车、考试接送各类考试考卷。费用支出较年初预算数减少5.41万元，下降59.4%，主要原因是</w:t>
      </w:r>
      <w:r>
        <w:rPr>
          <w:rFonts w:hint="eastAsia" w:ascii="方正仿宋_GBK" w:hAnsi="仿宋" w:eastAsia="方正仿宋_GBK"/>
          <w:sz w:val="32"/>
          <w:szCs w:val="32"/>
        </w:rPr>
        <w:t>严格执行公务用车管理制度，切实减少公务用车运行维护费</w:t>
      </w:r>
      <w:r>
        <w:rPr>
          <w:rFonts w:hint="eastAsia" w:ascii="方正仿宋_GBK" w:eastAsia="方正仿宋_GBK"/>
          <w:sz w:val="32"/>
          <w:szCs w:val="32"/>
        </w:rPr>
        <w:t>。较上年支出数增加0.66万元，增长21.7%，主要原因是本年各类考试次数增加。</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公务接待费0.00万元。费用支出较年初预算数增加0.00万元，增长%。较上年支出数增加0.00万元，增长%。</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（三）“三公”经费实物量情况</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2020年度本部门因公出国（境）共计0个团组，0人；公务用车购置0辆，公务车保有量为2辆；国内公务接待0批次0人，其中：国内外 事接待0批次，0人；国（境）外公务接待0批次，0人。2020年本部门人均接待费0.00元，车均购置费0.00万元，车均维护费1.85万元。</w:t>
      </w:r>
    </w:p>
    <w:p>
      <w:pPr>
        <w:spacing w:line="600" w:lineRule="exact"/>
        <w:ind w:firstLine="643" w:firstLineChars="200"/>
        <w:rPr>
          <w:rStyle w:val="6"/>
          <w:rFonts w:ascii="方正黑体_GBK" w:eastAsia="方正黑体_GBK"/>
        </w:rPr>
      </w:pPr>
      <w:r>
        <w:rPr>
          <w:rStyle w:val="6"/>
          <w:rFonts w:hint="eastAsia" w:ascii="方正黑体_GBK" w:eastAsia="方正黑体_GBK"/>
          <w:sz w:val="32"/>
          <w:szCs w:val="32"/>
        </w:rPr>
        <w:t>四、其他需要说明的事项</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（一）机关运行经费情况说明</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2020年度本部门不在机关运行经费统计范围之内。</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本年度会议费支出0.76万元，较上年决算数增加0.67万元，增长744.4%，主要原因是本年度发生高考等各类考试会务组织相关费用。本年度培训费支出 0.03万元，较上年决算数减少0.66万元，下降95.7%，主要原因是节约考试培训相关支出。</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（二）国有资产占用情况说明</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截至2020年12月31日，本部门共有车辆2辆，其中，副部（省）级及以上领导用车0辆、主要领导干部用车0辆、机要通信用车0辆、应急保障用车2辆、执法执勤用车0辆，特种专业技术用车0辆，离退休干部用车0辆，其他用车0辆。单价50万元（含）以上通用设备0台（套），单价100万元（含）以上专用设备0台（套）。</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（三）政府采购支出情况说明</w:t>
      </w:r>
    </w:p>
    <w:p>
      <w:pPr>
        <w:spacing w:line="600" w:lineRule="exact"/>
        <w:ind w:firstLine="640" w:firstLineChars="200"/>
        <w:rPr>
          <w:rFonts w:ascii="方正仿宋_GBK" w:hAnsi="仿宋" w:eastAsia="方正仿宋_GBK"/>
          <w:sz w:val="32"/>
          <w:szCs w:val="32"/>
        </w:rPr>
      </w:pPr>
      <w:r>
        <w:rPr>
          <w:rFonts w:hint="eastAsia" w:ascii="方正仿宋_GBK" w:hAnsi="仿宋" w:eastAsia="方正仿宋_GBK"/>
          <w:sz w:val="32"/>
          <w:szCs w:val="32"/>
        </w:rPr>
        <w:t xml:space="preserve"> </w:t>
      </w:r>
      <w:r>
        <w:rPr>
          <w:rFonts w:hint="eastAsia" w:ascii="方正仿宋_GBK" w:hAnsi="仿宋" w:eastAsia="方正仿宋_GBK"/>
          <w:b/>
          <w:bCs/>
          <w:sz w:val="32"/>
          <w:szCs w:val="32"/>
        </w:rPr>
        <w:t>2020年度我单位未发生政府采购事项，无相关经费支出。</w:t>
      </w:r>
    </w:p>
    <w:p>
      <w:pPr>
        <w:spacing w:line="600" w:lineRule="exact"/>
        <w:ind w:firstLine="643" w:firstLineChars="200"/>
        <w:rPr>
          <w:rStyle w:val="6"/>
          <w:rFonts w:ascii="方正黑体_GBK" w:eastAsia="方正黑体_GBK"/>
        </w:rPr>
      </w:pPr>
      <w:r>
        <w:rPr>
          <w:rStyle w:val="6"/>
          <w:rFonts w:hint="eastAsia" w:ascii="方正黑体_GBK" w:eastAsia="方正黑体_GBK"/>
          <w:sz w:val="32"/>
          <w:szCs w:val="32"/>
        </w:rPr>
        <w:t>五、预算绩效管理情况说明</w:t>
      </w:r>
    </w:p>
    <w:p>
      <w:pPr>
        <w:spacing w:line="600" w:lineRule="exact"/>
        <w:ind w:firstLine="643" w:firstLineChars="200"/>
        <w:rPr>
          <w:rFonts w:ascii="方正楷体_GBK" w:eastAsia="方正楷体_GBK"/>
          <w:sz w:val="32"/>
          <w:szCs w:val="32"/>
        </w:rPr>
      </w:pPr>
      <w:r>
        <w:rPr>
          <w:rStyle w:val="6"/>
          <w:rFonts w:hint="eastAsia" w:ascii="方正楷体_GBK" w:eastAsia="方正楷体_GBK"/>
          <w:sz w:val="32"/>
          <w:szCs w:val="32"/>
        </w:rPr>
        <w:t>（一）预算绩效管理工作开展情况</w:t>
      </w:r>
    </w:p>
    <w:p>
      <w:pPr>
        <w:spacing w:line="600" w:lineRule="exact"/>
        <w:ind w:firstLine="640" w:firstLineChars="200"/>
        <w:rPr>
          <w:rFonts w:ascii="方正仿宋_GBK" w:hAnsi="仿宋" w:eastAsia="方正仿宋_GBK"/>
          <w:sz w:val="32"/>
          <w:szCs w:val="32"/>
        </w:rPr>
      </w:pPr>
      <w:r>
        <w:rPr>
          <w:rFonts w:hint="eastAsia" w:ascii="方正仿宋_GBK" w:hAnsi="仿宋" w:eastAsia="方正仿宋_GBK"/>
          <w:sz w:val="32"/>
          <w:szCs w:val="32"/>
        </w:rPr>
        <w:t>根据预算绩效管理要求，本单位2个项目开展了绩效自评，涉及资金170.70万元；无以委托第三方形式开展绩效自评。从评价情况来看，大部分项目实施较好，保障了学校的运行稳定，得到社会充分肯定。</w:t>
      </w:r>
    </w:p>
    <w:p>
      <w:pPr>
        <w:spacing w:line="600" w:lineRule="exact"/>
        <w:ind w:firstLine="643" w:firstLineChars="200"/>
        <w:rPr>
          <w:rFonts w:ascii="方正楷体_GBK" w:eastAsia="方正楷体_GBK"/>
          <w:sz w:val="32"/>
          <w:szCs w:val="32"/>
        </w:rPr>
      </w:pPr>
      <w:r>
        <w:rPr>
          <w:rStyle w:val="6"/>
          <w:rFonts w:hint="eastAsia" w:ascii="方正楷体_GBK" w:eastAsia="方正楷体_GBK"/>
          <w:sz w:val="32"/>
          <w:szCs w:val="32"/>
        </w:rPr>
        <w:t>（二）绩效自评结果</w:t>
      </w:r>
    </w:p>
    <w:p>
      <w:pPr>
        <w:spacing w:line="600" w:lineRule="exact"/>
        <w:rPr>
          <w:rStyle w:val="6"/>
          <w:rFonts w:ascii="方正仿宋_GBK" w:eastAsia="方正仿宋_GBK"/>
          <w:sz w:val="32"/>
          <w:szCs w:val="32"/>
        </w:rPr>
      </w:pPr>
      <w:r>
        <w:rPr>
          <w:rStyle w:val="6"/>
          <w:rFonts w:hint="eastAsia" w:ascii="方正仿宋_GBK" w:eastAsia="方正仿宋_GBK"/>
          <w:sz w:val="32"/>
          <w:szCs w:val="32"/>
        </w:rPr>
        <w:t>1.绩效自评表</w:t>
      </w:r>
    </w:p>
    <w:tbl>
      <w:tblPr>
        <w:tblStyle w:val="4"/>
        <w:tblW w:w="9780" w:type="dxa"/>
        <w:tblInd w:w="93" w:type="dxa"/>
        <w:tblLayout w:type="autofit"/>
        <w:tblCellMar>
          <w:top w:w="0" w:type="dxa"/>
          <w:left w:w="108" w:type="dxa"/>
          <w:bottom w:w="0" w:type="dxa"/>
          <w:right w:w="108" w:type="dxa"/>
        </w:tblCellMar>
      </w:tblPr>
      <w:tblGrid>
        <w:gridCol w:w="940"/>
        <w:gridCol w:w="1940"/>
        <w:gridCol w:w="1300"/>
        <w:gridCol w:w="560"/>
        <w:gridCol w:w="1660"/>
        <w:gridCol w:w="1600"/>
        <w:gridCol w:w="1140"/>
        <w:gridCol w:w="816"/>
      </w:tblGrid>
      <w:tr>
        <w:tblPrEx>
          <w:tblCellMar>
            <w:top w:w="0" w:type="dxa"/>
            <w:left w:w="108" w:type="dxa"/>
            <w:bottom w:w="0" w:type="dxa"/>
            <w:right w:w="108" w:type="dxa"/>
          </w:tblCellMar>
        </w:tblPrEx>
        <w:trPr>
          <w:trHeight w:val="585" w:hRule="atLeast"/>
        </w:trPr>
        <w:tc>
          <w:tcPr>
            <w:tcW w:w="9780" w:type="dxa"/>
            <w:gridSpan w:val="8"/>
            <w:tcBorders>
              <w:top w:val="nil"/>
              <w:left w:val="nil"/>
              <w:bottom w:val="nil"/>
              <w:right w:val="nil"/>
            </w:tcBorders>
            <w:shd w:val="clear" w:color="auto" w:fill="auto"/>
            <w:vAlign w:val="center"/>
          </w:tcPr>
          <w:p>
            <w:pPr>
              <w:jc w:val="center"/>
              <w:rPr>
                <w:b/>
                <w:bCs/>
                <w:color w:val="000000"/>
                <w:sz w:val="32"/>
                <w:szCs w:val="32"/>
              </w:rPr>
            </w:pPr>
            <w:r>
              <w:rPr>
                <w:rFonts w:hint="eastAsia"/>
                <w:b/>
                <w:bCs/>
                <w:color w:val="000000"/>
                <w:sz w:val="32"/>
                <w:szCs w:val="32"/>
              </w:rPr>
              <w:t xml:space="preserve">2020年度区级预算单位项目支出绩效自评表  </w:t>
            </w:r>
          </w:p>
        </w:tc>
      </w:tr>
      <w:tr>
        <w:tblPrEx>
          <w:tblCellMar>
            <w:top w:w="0" w:type="dxa"/>
            <w:left w:w="108" w:type="dxa"/>
            <w:bottom w:w="0" w:type="dxa"/>
            <w:right w:w="108" w:type="dxa"/>
          </w:tblCellMar>
        </w:tblPrEx>
        <w:trPr>
          <w:trHeight w:val="585" w:hRule="atLeast"/>
        </w:trPr>
        <w:tc>
          <w:tcPr>
            <w:tcW w:w="9140" w:type="dxa"/>
            <w:gridSpan w:val="7"/>
            <w:tcBorders>
              <w:top w:val="nil"/>
              <w:left w:val="nil"/>
              <w:bottom w:val="single" w:color="auto" w:sz="4" w:space="0"/>
              <w:right w:val="nil"/>
            </w:tcBorders>
            <w:shd w:val="clear" w:color="auto" w:fill="auto"/>
            <w:vAlign w:val="center"/>
          </w:tcPr>
          <w:p>
            <w:pPr>
              <w:rPr>
                <w:b/>
                <w:bCs/>
                <w:color w:val="000000"/>
                <w:sz w:val="20"/>
                <w:szCs w:val="20"/>
              </w:rPr>
            </w:pPr>
            <w:r>
              <w:rPr>
                <w:rFonts w:hint="eastAsia"/>
                <w:b/>
                <w:bCs/>
                <w:color w:val="000000"/>
                <w:sz w:val="20"/>
                <w:szCs w:val="20"/>
              </w:rPr>
              <w:t>填表单位（盖章）：重庆市綦江区教育考试中心</w:t>
            </w:r>
          </w:p>
        </w:tc>
        <w:tc>
          <w:tcPr>
            <w:tcW w:w="640" w:type="dxa"/>
            <w:tcBorders>
              <w:top w:val="nil"/>
              <w:left w:val="nil"/>
              <w:bottom w:val="nil"/>
              <w:right w:val="nil"/>
            </w:tcBorders>
            <w:shd w:val="clear" w:color="auto" w:fill="auto"/>
            <w:vAlign w:val="center"/>
          </w:tcPr>
          <w:p>
            <w:pPr>
              <w:jc w:val="center"/>
              <w:rPr>
                <w:b/>
                <w:bCs/>
                <w:color w:val="000000"/>
                <w:sz w:val="32"/>
                <w:szCs w:val="32"/>
              </w:rPr>
            </w:pPr>
          </w:p>
        </w:tc>
      </w:tr>
      <w:tr>
        <w:tblPrEx>
          <w:tblCellMar>
            <w:top w:w="0" w:type="dxa"/>
            <w:left w:w="108" w:type="dxa"/>
            <w:bottom w:w="0" w:type="dxa"/>
            <w:right w:w="108" w:type="dxa"/>
          </w:tblCellMar>
        </w:tblPrEx>
        <w:trPr>
          <w:trHeight w:val="64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项目名称</w:t>
            </w:r>
          </w:p>
        </w:tc>
        <w:tc>
          <w:tcPr>
            <w:tcW w:w="380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校园基建维护资金</w:t>
            </w:r>
            <w:r>
              <w:rPr>
                <w:rFonts w:hint="eastAsia"/>
                <w:color w:val="000000"/>
                <w:sz w:val="20"/>
                <w:szCs w:val="20"/>
                <w:lang w:eastAsia="zh-CN"/>
              </w:rPr>
              <w:t>（</w:t>
            </w:r>
            <w:r>
              <w:rPr>
                <w:rFonts w:hint="eastAsia"/>
                <w:color w:val="000000"/>
                <w:sz w:val="20"/>
                <w:szCs w:val="20"/>
              </w:rPr>
              <w:t>教育附加／国家考试专项经费</w:t>
            </w:r>
            <w:r>
              <w:rPr>
                <w:rFonts w:hint="eastAsia"/>
                <w:color w:val="000000"/>
                <w:sz w:val="20"/>
                <w:szCs w:val="20"/>
                <w:lang w:eastAsia="zh-CN"/>
              </w:rPr>
              <w:t>）</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自评总分</w:t>
            </w:r>
            <w:r>
              <w:rPr>
                <w:rFonts w:hint="eastAsia"/>
                <w:color w:val="000000"/>
                <w:sz w:val="20"/>
                <w:szCs w:val="20"/>
              </w:rPr>
              <w:br w:type="textWrapping"/>
            </w:r>
            <w:r>
              <w:rPr>
                <w:rFonts w:hint="eastAsia"/>
                <w:color w:val="000000"/>
                <w:sz w:val="20"/>
                <w:szCs w:val="20"/>
              </w:rPr>
              <w:t>（分</w:t>
            </w:r>
            <w:r>
              <w:rPr>
                <w:rFonts w:hint="eastAsia"/>
                <w:color w:val="000000"/>
                <w:sz w:val="20"/>
                <w:szCs w:val="20"/>
                <w:lang w:eastAsia="zh-CN"/>
              </w:rPr>
              <w:t>）</w:t>
            </w:r>
          </w:p>
        </w:tc>
        <w:tc>
          <w:tcPr>
            <w:tcW w:w="338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98</w:t>
            </w:r>
          </w:p>
        </w:tc>
      </w:tr>
      <w:tr>
        <w:tblPrEx>
          <w:tblCellMar>
            <w:top w:w="0" w:type="dxa"/>
            <w:left w:w="108" w:type="dxa"/>
            <w:bottom w:w="0" w:type="dxa"/>
            <w:right w:w="108" w:type="dxa"/>
          </w:tblCellMar>
        </w:tblPrEx>
        <w:trPr>
          <w:trHeight w:val="64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业务主管部门</w:t>
            </w:r>
          </w:p>
        </w:tc>
        <w:tc>
          <w:tcPr>
            <w:tcW w:w="380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重庆市綦江区教育委员会</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联系人</w:t>
            </w:r>
            <w:r>
              <w:rPr>
                <w:rFonts w:hint="eastAsia"/>
                <w:color w:val="000000"/>
                <w:sz w:val="20"/>
                <w:szCs w:val="20"/>
              </w:rPr>
              <w:br w:type="textWrapping"/>
            </w:r>
            <w:r>
              <w:rPr>
                <w:rFonts w:hint="eastAsia"/>
                <w:color w:val="000000"/>
                <w:sz w:val="20"/>
                <w:szCs w:val="20"/>
              </w:rPr>
              <w:t>及电话</w:t>
            </w:r>
          </w:p>
        </w:tc>
        <w:tc>
          <w:tcPr>
            <w:tcW w:w="338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48662702</w:t>
            </w:r>
          </w:p>
        </w:tc>
      </w:tr>
      <w:tr>
        <w:tblPrEx>
          <w:tblCellMar>
            <w:top w:w="0" w:type="dxa"/>
            <w:left w:w="108" w:type="dxa"/>
            <w:bottom w:w="0" w:type="dxa"/>
            <w:right w:w="108" w:type="dxa"/>
          </w:tblCellMar>
        </w:tblPrEx>
        <w:trPr>
          <w:trHeight w:val="360" w:hRule="atLeast"/>
        </w:trPr>
        <w:tc>
          <w:tcPr>
            <w:tcW w:w="940"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项目资金（万元）</w:t>
            </w:r>
          </w:p>
        </w:tc>
        <w:tc>
          <w:tcPr>
            <w:tcW w:w="1940" w:type="dxa"/>
            <w:tcBorders>
              <w:top w:val="nil"/>
              <w:left w:val="nil"/>
              <w:bottom w:val="single" w:color="auto" w:sz="4" w:space="0"/>
              <w:right w:val="nil"/>
            </w:tcBorders>
            <w:shd w:val="clear" w:color="auto" w:fill="auto"/>
            <w:vAlign w:val="center"/>
          </w:tcPr>
          <w:p>
            <w:pPr>
              <w:rPr>
                <w:color w:val="000000"/>
                <w:sz w:val="20"/>
                <w:szCs w:val="20"/>
              </w:rPr>
            </w:pPr>
            <w:r>
              <w:rPr>
                <w:rFonts w:hint="eastAsia"/>
                <w:color w:val="000000"/>
                <w:sz w:val="20"/>
                <w:szCs w:val="20"/>
              </w:rPr>
              <w:t>　</w:t>
            </w:r>
          </w:p>
        </w:tc>
        <w:tc>
          <w:tcPr>
            <w:tcW w:w="1860" w:type="dxa"/>
            <w:gridSpan w:val="2"/>
            <w:tcBorders>
              <w:top w:val="single" w:color="auto" w:sz="4" w:space="0"/>
              <w:left w:val="single" w:color="auto" w:sz="4" w:space="0"/>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全年预算数（A）</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全年执行数（B）</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执行率%（B/A）</w:t>
            </w:r>
          </w:p>
        </w:tc>
        <w:tc>
          <w:tcPr>
            <w:tcW w:w="178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执行率得分（分）</w:t>
            </w:r>
          </w:p>
        </w:tc>
      </w:tr>
      <w:tr>
        <w:tblPrEx>
          <w:tblCellMar>
            <w:top w:w="0" w:type="dxa"/>
            <w:left w:w="108" w:type="dxa"/>
            <w:bottom w:w="0" w:type="dxa"/>
            <w:right w:w="108" w:type="dxa"/>
          </w:tblCellMar>
        </w:tblPrEx>
        <w:trPr>
          <w:trHeight w:val="360"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rPr>
                <w:color w:val="000000"/>
                <w:sz w:val="20"/>
                <w:szCs w:val="20"/>
              </w:rPr>
            </w:pPr>
            <w:r>
              <w:rPr>
                <w:rFonts w:hint="eastAsia"/>
                <w:color w:val="000000"/>
                <w:sz w:val="20"/>
                <w:szCs w:val="20"/>
              </w:rPr>
              <w:t>年度资金总额：</w:t>
            </w:r>
          </w:p>
        </w:tc>
        <w:tc>
          <w:tcPr>
            <w:tcW w:w="186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95</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95</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78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w:t>
            </w:r>
          </w:p>
        </w:tc>
      </w:tr>
      <w:tr>
        <w:tblPrEx>
          <w:tblCellMar>
            <w:top w:w="0" w:type="dxa"/>
            <w:left w:w="108" w:type="dxa"/>
            <w:bottom w:w="0" w:type="dxa"/>
            <w:right w:w="108" w:type="dxa"/>
          </w:tblCellMar>
        </w:tblPrEx>
        <w:trPr>
          <w:trHeight w:val="360"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其中：中央补助</w:t>
            </w:r>
          </w:p>
        </w:tc>
        <w:tc>
          <w:tcPr>
            <w:tcW w:w="186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78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375"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市级补助</w:t>
            </w:r>
          </w:p>
        </w:tc>
        <w:tc>
          <w:tcPr>
            <w:tcW w:w="186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78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420"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区级资金</w:t>
            </w:r>
          </w:p>
        </w:tc>
        <w:tc>
          <w:tcPr>
            <w:tcW w:w="186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95</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95</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78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330"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其他资金</w:t>
            </w:r>
          </w:p>
        </w:tc>
        <w:tc>
          <w:tcPr>
            <w:tcW w:w="186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78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510" w:hRule="atLeast"/>
        </w:trPr>
        <w:tc>
          <w:tcPr>
            <w:tcW w:w="940"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年度总体目标</w:t>
            </w:r>
          </w:p>
        </w:tc>
        <w:tc>
          <w:tcPr>
            <w:tcW w:w="380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年初设定目标</w:t>
            </w:r>
          </w:p>
        </w:tc>
        <w:tc>
          <w:tcPr>
            <w:tcW w:w="5040" w:type="dxa"/>
            <w:gridSpan w:val="4"/>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全年目标实际完成情况</w:t>
            </w:r>
          </w:p>
        </w:tc>
      </w:tr>
      <w:tr>
        <w:tblPrEx>
          <w:tblCellMar>
            <w:top w:w="0" w:type="dxa"/>
            <w:left w:w="108" w:type="dxa"/>
            <w:bottom w:w="0" w:type="dxa"/>
            <w:right w:w="108" w:type="dxa"/>
          </w:tblCellMar>
        </w:tblPrEx>
        <w:trPr>
          <w:trHeight w:val="1485"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380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为全面组织好各类国家级考试考务工作，确保每位考生考出好成绩，保证考试顺利完成。</w:t>
            </w:r>
          </w:p>
        </w:tc>
        <w:tc>
          <w:tcPr>
            <w:tcW w:w="5040" w:type="dxa"/>
            <w:gridSpan w:val="4"/>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为全面组织好各类国家级考试考务工作，确保每位考生考出好成绩，保证考试顺利完成。</w:t>
            </w:r>
          </w:p>
        </w:tc>
      </w:tr>
      <w:tr>
        <w:tblPrEx>
          <w:tblCellMar>
            <w:top w:w="0" w:type="dxa"/>
            <w:left w:w="108" w:type="dxa"/>
            <w:bottom w:w="0" w:type="dxa"/>
            <w:right w:w="108" w:type="dxa"/>
          </w:tblCellMar>
        </w:tblPrEx>
        <w:trPr>
          <w:trHeight w:val="510" w:hRule="atLeast"/>
        </w:trPr>
        <w:tc>
          <w:tcPr>
            <w:tcW w:w="940"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jc w:val="center"/>
              <w:rPr>
                <w:color w:val="000000"/>
                <w:sz w:val="20"/>
                <w:szCs w:val="20"/>
              </w:rPr>
            </w:pPr>
            <w:r>
              <w:rPr>
                <w:rFonts w:hint="eastAsia"/>
                <w:color w:val="000000"/>
                <w:sz w:val="20"/>
                <w:szCs w:val="20"/>
              </w:rPr>
              <w:t>绩效指标</w:t>
            </w: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指标名称</w:t>
            </w:r>
            <w:r>
              <w:rPr>
                <w:rFonts w:hint="eastAsia"/>
                <w:color w:val="000000"/>
                <w:sz w:val="20"/>
                <w:szCs w:val="20"/>
              </w:rPr>
              <w:br w:type="textWrapping"/>
            </w:r>
            <w:r>
              <w:rPr>
                <w:rFonts w:hint="eastAsia"/>
                <w:color w:val="000000"/>
                <w:sz w:val="20"/>
                <w:szCs w:val="20"/>
              </w:rPr>
              <w:t>（三级指标）</w:t>
            </w:r>
          </w:p>
        </w:tc>
        <w:tc>
          <w:tcPr>
            <w:tcW w:w="1300" w:type="dxa"/>
            <w:tcBorders>
              <w:top w:val="nil"/>
              <w:left w:val="nil"/>
              <w:bottom w:val="single" w:color="auto" w:sz="4" w:space="0"/>
              <w:right w:val="single" w:color="auto" w:sz="4" w:space="0"/>
            </w:tcBorders>
            <w:shd w:val="clear" w:color="auto" w:fill="auto"/>
            <w:noWrap/>
            <w:vAlign w:val="center"/>
          </w:tcPr>
          <w:p>
            <w:pPr>
              <w:jc w:val="center"/>
              <w:rPr>
                <w:color w:val="000000"/>
                <w:sz w:val="20"/>
                <w:szCs w:val="20"/>
              </w:rPr>
            </w:pPr>
            <w:r>
              <w:rPr>
                <w:rFonts w:hint="eastAsia"/>
                <w:color w:val="000000"/>
                <w:sz w:val="20"/>
                <w:szCs w:val="20"/>
              </w:rPr>
              <w:t>计量单位</w:t>
            </w:r>
          </w:p>
        </w:tc>
        <w:tc>
          <w:tcPr>
            <w:tcW w:w="5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指标权重</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指标值</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全年完成值</w:t>
            </w:r>
          </w:p>
        </w:tc>
        <w:tc>
          <w:tcPr>
            <w:tcW w:w="11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得分系数（%）</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指标得分</w:t>
            </w:r>
            <w:r>
              <w:rPr>
                <w:rFonts w:hint="eastAsia"/>
                <w:color w:val="000000"/>
                <w:sz w:val="20"/>
                <w:szCs w:val="20"/>
              </w:rPr>
              <w:br w:type="textWrapping"/>
            </w:r>
            <w:r>
              <w:rPr>
                <w:rFonts w:hint="eastAsia"/>
                <w:color w:val="000000"/>
                <w:sz w:val="20"/>
                <w:szCs w:val="20"/>
              </w:rPr>
              <w:t>（分</w:t>
            </w:r>
            <w:r>
              <w:rPr>
                <w:rFonts w:hint="eastAsia"/>
                <w:color w:val="000000"/>
                <w:sz w:val="20"/>
                <w:szCs w:val="20"/>
                <w:lang w:eastAsia="zh-CN"/>
              </w:rPr>
              <w:t>）</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服务高考学生数</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人</w:t>
            </w:r>
          </w:p>
        </w:tc>
        <w:tc>
          <w:tcPr>
            <w:tcW w:w="5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30</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6300</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6300</w:t>
            </w:r>
          </w:p>
        </w:tc>
        <w:tc>
          <w:tcPr>
            <w:tcW w:w="11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30</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升学率</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5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20</w:t>
            </w:r>
          </w:p>
        </w:tc>
        <w:tc>
          <w:tcPr>
            <w:tcW w:w="1660" w:type="dxa"/>
            <w:tcBorders>
              <w:top w:val="nil"/>
              <w:left w:val="nil"/>
              <w:bottom w:val="single" w:color="auto" w:sz="4" w:space="0"/>
              <w:right w:val="single" w:color="auto" w:sz="4" w:space="0"/>
            </w:tcBorders>
            <w:shd w:val="clear" w:color="auto" w:fill="auto"/>
            <w:noWrap/>
            <w:vAlign w:val="center"/>
          </w:tcPr>
          <w:p>
            <w:pPr>
              <w:jc w:val="center"/>
              <w:rPr>
                <w:color w:val="000000"/>
                <w:sz w:val="20"/>
                <w:szCs w:val="20"/>
              </w:rPr>
            </w:pPr>
            <w:r>
              <w:rPr>
                <w:rFonts w:hint="eastAsia"/>
                <w:color w:val="000000"/>
                <w:sz w:val="20"/>
                <w:szCs w:val="20"/>
              </w:rPr>
              <w:t>100%</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89%</w:t>
            </w:r>
          </w:p>
        </w:tc>
        <w:tc>
          <w:tcPr>
            <w:tcW w:w="11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89%</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18</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确保每位考生能顺利参加高考</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5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30</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1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30</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家长学校满意度</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5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5</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1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社会公众满意度</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5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5</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1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5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1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r>
      <w:tr>
        <w:tblPrEx>
          <w:tblCellMar>
            <w:top w:w="0" w:type="dxa"/>
            <w:left w:w="108" w:type="dxa"/>
            <w:bottom w:w="0" w:type="dxa"/>
            <w:right w:w="108" w:type="dxa"/>
          </w:tblCellMar>
        </w:tblPrEx>
        <w:trPr>
          <w:trHeight w:val="510"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5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6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1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r>
      <w:tr>
        <w:tblPrEx>
          <w:tblCellMar>
            <w:top w:w="0" w:type="dxa"/>
            <w:left w:w="108" w:type="dxa"/>
            <w:bottom w:w="0" w:type="dxa"/>
            <w:right w:w="108" w:type="dxa"/>
          </w:tblCellMar>
        </w:tblPrEx>
        <w:trPr>
          <w:trHeight w:val="2040"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未完成绩效目标或偏离较多的原因、改进措施及其他说明</w:t>
            </w:r>
          </w:p>
        </w:tc>
        <w:tc>
          <w:tcPr>
            <w:tcW w:w="8840" w:type="dxa"/>
            <w:gridSpan w:val="7"/>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r>
      <w:tr>
        <w:tblPrEx>
          <w:tblCellMar>
            <w:top w:w="0" w:type="dxa"/>
            <w:left w:w="108" w:type="dxa"/>
            <w:bottom w:w="0" w:type="dxa"/>
            <w:right w:w="108" w:type="dxa"/>
          </w:tblCellMar>
        </w:tblPrEx>
        <w:trPr>
          <w:trHeight w:val="270" w:hRule="atLeast"/>
        </w:trPr>
        <w:tc>
          <w:tcPr>
            <w:tcW w:w="940" w:type="dxa"/>
            <w:tcBorders>
              <w:top w:val="nil"/>
              <w:left w:val="nil"/>
              <w:bottom w:val="nil"/>
              <w:right w:val="nil"/>
            </w:tcBorders>
            <w:shd w:val="clear" w:color="auto" w:fill="auto"/>
            <w:noWrap/>
            <w:vAlign w:val="center"/>
          </w:tcPr>
          <w:p>
            <w:pPr>
              <w:rPr>
                <w:color w:val="000000"/>
                <w:sz w:val="22"/>
                <w:szCs w:val="22"/>
              </w:rPr>
            </w:pPr>
          </w:p>
        </w:tc>
        <w:tc>
          <w:tcPr>
            <w:tcW w:w="1940" w:type="dxa"/>
            <w:tcBorders>
              <w:top w:val="nil"/>
              <w:left w:val="nil"/>
              <w:bottom w:val="nil"/>
              <w:right w:val="nil"/>
            </w:tcBorders>
            <w:shd w:val="clear" w:color="auto" w:fill="auto"/>
            <w:noWrap/>
            <w:vAlign w:val="center"/>
          </w:tcPr>
          <w:p>
            <w:pPr>
              <w:rPr>
                <w:color w:val="000000"/>
                <w:sz w:val="22"/>
                <w:szCs w:val="22"/>
              </w:rPr>
            </w:pPr>
          </w:p>
        </w:tc>
        <w:tc>
          <w:tcPr>
            <w:tcW w:w="1300" w:type="dxa"/>
            <w:tcBorders>
              <w:top w:val="nil"/>
              <w:left w:val="nil"/>
              <w:bottom w:val="nil"/>
              <w:right w:val="nil"/>
            </w:tcBorders>
            <w:shd w:val="clear" w:color="auto" w:fill="auto"/>
            <w:noWrap/>
            <w:vAlign w:val="center"/>
          </w:tcPr>
          <w:p>
            <w:pPr>
              <w:rPr>
                <w:color w:val="000000"/>
                <w:sz w:val="22"/>
                <w:szCs w:val="22"/>
              </w:rPr>
            </w:pPr>
          </w:p>
        </w:tc>
        <w:tc>
          <w:tcPr>
            <w:tcW w:w="560" w:type="dxa"/>
            <w:tcBorders>
              <w:top w:val="nil"/>
              <w:left w:val="nil"/>
              <w:bottom w:val="nil"/>
              <w:right w:val="nil"/>
            </w:tcBorders>
            <w:shd w:val="clear" w:color="auto" w:fill="auto"/>
            <w:noWrap/>
            <w:vAlign w:val="center"/>
          </w:tcPr>
          <w:p>
            <w:pPr>
              <w:rPr>
                <w:color w:val="000000"/>
                <w:sz w:val="22"/>
                <w:szCs w:val="22"/>
              </w:rPr>
            </w:pPr>
          </w:p>
        </w:tc>
        <w:tc>
          <w:tcPr>
            <w:tcW w:w="1660" w:type="dxa"/>
            <w:tcBorders>
              <w:top w:val="nil"/>
              <w:left w:val="nil"/>
              <w:bottom w:val="nil"/>
              <w:right w:val="nil"/>
            </w:tcBorders>
            <w:shd w:val="clear" w:color="auto" w:fill="auto"/>
            <w:noWrap/>
            <w:vAlign w:val="center"/>
          </w:tcPr>
          <w:p>
            <w:pPr>
              <w:rPr>
                <w:color w:val="000000"/>
                <w:sz w:val="22"/>
                <w:szCs w:val="22"/>
              </w:rPr>
            </w:pPr>
          </w:p>
        </w:tc>
        <w:tc>
          <w:tcPr>
            <w:tcW w:w="1600" w:type="dxa"/>
            <w:tcBorders>
              <w:top w:val="nil"/>
              <w:left w:val="nil"/>
              <w:bottom w:val="nil"/>
              <w:right w:val="nil"/>
            </w:tcBorders>
            <w:shd w:val="clear" w:color="auto" w:fill="auto"/>
            <w:noWrap/>
            <w:vAlign w:val="center"/>
          </w:tcPr>
          <w:p>
            <w:pPr>
              <w:rPr>
                <w:color w:val="000000"/>
                <w:sz w:val="22"/>
                <w:szCs w:val="22"/>
              </w:rPr>
            </w:pPr>
          </w:p>
        </w:tc>
        <w:tc>
          <w:tcPr>
            <w:tcW w:w="1140" w:type="dxa"/>
            <w:tcBorders>
              <w:top w:val="nil"/>
              <w:left w:val="nil"/>
              <w:bottom w:val="nil"/>
              <w:right w:val="nil"/>
            </w:tcBorders>
            <w:shd w:val="clear" w:color="auto" w:fill="auto"/>
            <w:noWrap/>
            <w:vAlign w:val="center"/>
          </w:tcPr>
          <w:p>
            <w:pPr>
              <w:rPr>
                <w:color w:val="000000"/>
                <w:sz w:val="22"/>
                <w:szCs w:val="22"/>
              </w:rPr>
            </w:pPr>
          </w:p>
        </w:tc>
        <w:tc>
          <w:tcPr>
            <w:tcW w:w="640" w:type="dxa"/>
            <w:tcBorders>
              <w:top w:val="nil"/>
              <w:left w:val="nil"/>
              <w:bottom w:val="nil"/>
              <w:right w:val="nil"/>
            </w:tcBorders>
            <w:shd w:val="clear" w:color="auto" w:fill="auto"/>
            <w:noWrap/>
            <w:vAlign w:val="center"/>
          </w:tcPr>
          <w:p>
            <w:pPr>
              <w:rPr>
                <w:color w:val="000000"/>
                <w:sz w:val="22"/>
                <w:szCs w:val="22"/>
              </w:rPr>
            </w:pPr>
          </w:p>
        </w:tc>
      </w:tr>
      <w:tr>
        <w:tblPrEx>
          <w:tblCellMar>
            <w:top w:w="0" w:type="dxa"/>
            <w:left w:w="108" w:type="dxa"/>
            <w:bottom w:w="0" w:type="dxa"/>
            <w:right w:w="108" w:type="dxa"/>
          </w:tblCellMar>
        </w:tblPrEx>
        <w:trPr>
          <w:trHeight w:val="270" w:hRule="atLeast"/>
        </w:trPr>
        <w:tc>
          <w:tcPr>
            <w:tcW w:w="2880" w:type="dxa"/>
            <w:gridSpan w:val="2"/>
            <w:tcBorders>
              <w:top w:val="nil"/>
              <w:left w:val="nil"/>
              <w:bottom w:val="nil"/>
              <w:right w:val="nil"/>
            </w:tcBorders>
            <w:shd w:val="clear" w:color="auto" w:fill="auto"/>
            <w:vAlign w:val="center"/>
          </w:tcPr>
          <w:p>
            <w:pPr>
              <w:rPr>
                <w:sz w:val="20"/>
                <w:szCs w:val="20"/>
              </w:rPr>
            </w:pPr>
            <w:r>
              <w:rPr>
                <w:rFonts w:hint="eastAsia"/>
                <w:sz w:val="20"/>
                <w:szCs w:val="20"/>
              </w:rPr>
              <w:t xml:space="preserve"> 预算单位主要领导： 陈瑞涛          </w:t>
            </w:r>
          </w:p>
        </w:tc>
        <w:tc>
          <w:tcPr>
            <w:tcW w:w="1860" w:type="dxa"/>
            <w:gridSpan w:val="2"/>
            <w:tcBorders>
              <w:top w:val="nil"/>
              <w:left w:val="nil"/>
              <w:bottom w:val="nil"/>
              <w:right w:val="nil"/>
            </w:tcBorders>
            <w:shd w:val="clear" w:color="auto" w:fill="auto"/>
            <w:vAlign w:val="center"/>
          </w:tcPr>
          <w:p>
            <w:pPr>
              <w:jc w:val="right"/>
              <w:rPr>
                <w:sz w:val="20"/>
                <w:szCs w:val="20"/>
              </w:rPr>
            </w:pPr>
            <w:r>
              <w:rPr>
                <w:rFonts w:hint="eastAsia"/>
                <w:sz w:val="20"/>
                <w:szCs w:val="20"/>
              </w:rPr>
              <w:t>绩效评价负责人：</w:t>
            </w:r>
          </w:p>
        </w:tc>
        <w:tc>
          <w:tcPr>
            <w:tcW w:w="1660" w:type="dxa"/>
            <w:tcBorders>
              <w:top w:val="nil"/>
              <w:left w:val="nil"/>
              <w:bottom w:val="nil"/>
              <w:right w:val="nil"/>
            </w:tcBorders>
            <w:shd w:val="clear" w:color="auto" w:fill="auto"/>
            <w:vAlign w:val="center"/>
          </w:tcPr>
          <w:p>
            <w:pPr>
              <w:rPr>
                <w:sz w:val="20"/>
                <w:szCs w:val="20"/>
              </w:rPr>
            </w:pPr>
            <w:r>
              <w:rPr>
                <w:rFonts w:hint="eastAsia"/>
                <w:sz w:val="20"/>
                <w:szCs w:val="20"/>
              </w:rPr>
              <w:t>陈瑞涛</w:t>
            </w:r>
          </w:p>
        </w:tc>
        <w:tc>
          <w:tcPr>
            <w:tcW w:w="1600" w:type="dxa"/>
            <w:tcBorders>
              <w:top w:val="nil"/>
              <w:left w:val="nil"/>
              <w:bottom w:val="nil"/>
              <w:right w:val="nil"/>
            </w:tcBorders>
            <w:shd w:val="clear" w:color="auto" w:fill="auto"/>
            <w:vAlign w:val="center"/>
          </w:tcPr>
          <w:p>
            <w:pPr>
              <w:jc w:val="right"/>
              <w:rPr>
                <w:sz w:val="20"/>
                <w:szCs w:val="20"/>
              </w:rPr>
            </w:pPr>
            <w:r>
              <w:rPr>
                <w:rFonts w:hint="eastAsia"/>
                <w:sz w:val="20"/>
                <w:szCs w:val="20"/>
              </w:rPr>
              <w:t xml:space="preserve"> 经办人：</w:t>
            </w:r>
          </w:p>
        </w:tc>
        <w:tc>
          <w:tcPr>
            <w:tcW w:w="1140" w:type="dxa"/>
            <w:tcBorders>
              <w:top w:val="nil"/>
              <w:left w:val="nil"/>
              <w:bottom w:val="nil"/>
              <w:right w:val="nil"/>
            </w:tcBorders>
            <w:shd w:val="clear" w:color="auto" w:fill="auto"/>
            <w:vAlign w:val="center"/>
          </w:tcPr>
          <w:p>
            <w:pPr>
              <w:rPr>
                <w:sz w:val="20"/>
                <w:szCs w:val="20"/>
              </w:rPr>
            </w:pPr>
            <w:r>
              <w:rPr>
                <w:rFonts w:hint="eastAsia"/>
                <w:sz w:val="20"/>
                <w:szCs w:val="20"/>
              </w:rPr>
              <w:t>王勇</w:t>
            </w:r>
          </w:p>
        </w:tc>
        <w:tc>
          <w:tcPr>
            <w:tcW w:w="640" w:type="dxa"/>
            <w:tcBorders>
              <w:top w:val="nil"/>
              <w:left w:val="nil"/>
              <w:bottom w:val="nil"/>
              <w:right w:val="nil"/>
            </w:tcBorders>
            <w:shd w:val="clear" w:color="auto" w:fill="auto"/>
            <w:noWrap/>
            <w:vAlign w:val="center"/>
          </w:tcPr>
          <w:p>
            <w:pPr>
              <w:rPr>
                <w:color w:val="000000"/>
                <w:sz w:val="22"/>
                <w:szCs w:val="22"/>
              </w:rPr>
            </w:pPr>
          </w:p>
        </w:tc>
      </w:tr>
    </w:tbl>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2.绩效自评报告或案例</w:t>
      </w:r>
    </w:p>
    <w:p>
      <w:pPr>
        <w:spacing w:line="600" w:lineRule="exact"/>
        <w:ind w:firstLine="640" w:firstLineChars="200"/>
        <w:rPr>
          <w:rFonts w:ascii="方正仿宋_GBK" w:hAnsi="仿宋" w:eastAsia="方正仿宋_GBK"/>
          <w:sz w:val="32"/>
          <w:szCs w:val="32"/>
        </w:rPr>
      </w:pPr>
      <w:r>
        <w:rPr>
          <w:rFonts w:hint="eastAsia" w:ascii="方正仿宋_GBK" w:hAnsi="仿宋" w:eastAsia="方正仿宋_GBK"/>
          <w:sz w:val="32"/>
          <w:szCs w:val="32"/>
        </w:rPr>
        <w:t>无委托第三方开展绩效自评。</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（三）重点绩效评价结果</w:t>
      </w:r>
    </w:p>
    <w:p>
      <w:pPr>
        <w:spacing w:line="600" w:lineRule="exact"/>
        <w:ind w:firstLine="640" w:firstLineChars="200"/>
        <w:rPr>
          <w:rFonts w:ascii="方正仿宋_GBK" w:hAnsi="仿宋" w:eastAsia="方正仿宋_GBK"/>
          <w:sz w:val="32"/>
          <w:szCs w:val="32"/>
        </w:rPr>
      </w:pPr>
      <w:r>
        <w:rPr>
          <w:rFonts w:hint="eastAsia" w:ascii="方正仿宋_GBK" w:hAnsi="仿宋" w:eastAsia="方正仿宋_GBK"/>
          <w:sz w:val="32"/>
          <w:szCs w:val="32"/>
        </w:rPr>
        <w:t>无委托第三方对部门政策或项目开展重点绩效评价</w:t>
      </w:r>
    </w:p>
    <w:p>
      <w:pPr>
        <w:spacing w:line="600" w:lineRule="exact"/>
        <w:ind w:firstLine="643" w:firstLineChars="200"/>
        <w:rPr>
          <w:rStyle w:val="6"/>
          <w:rFonts w:ascii="方正黑体_GBK" w:eastAsia="方正黑体_GBK"/>
        </w:rPr>
      </w:pPr>
      <w:r>
        <w:rPr>
          <w:rStyle w:val="6"/>
          <w:rFonts w:hint="eastAsia" w:ascii="方正黑体_GBK" w:eastAsia="方正黑体_GBK"/>
          <w:sz w:val="32"/>
          <w:szCs w:val="32"/>
        </w:rPr>
        <w:t>六、专业名词解释</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（一）财政拨款收入</w:t>
      </w:r>
      <w:r>
        <w:rPr>
          <w:rFonts w:hint="eastAsia" w:ascii="方正仿宋_GBK" w:eastAsia="方正仿宋_GBK"/>
          <w:sz w:val="32"/>
          <w:szCs w:val="32"/>
        </w:rPr>
        <w:t>：指本年度从本级财政部门取得的财政拨款，包括一般公共预算财政拨款和政府性基金预算财政拨款。</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（二）事业收入</w:t>
      </w:r>
      <w:r>
        <w:rPr>
          <w:rFonts w:hint="eastAsia" w:ascii="方正仿宋_GBK" w:eastAsia="方正仿宋_GBK"/>
          <w:sz w:val="32"/>
          <w:szCs w:val="32"/>
        </w:rPr>
        <w:t>：指事业单位开展专业业务活动及其辅助活动取得的现金流入；事业单位收到的财政专户实际核拨的教育收费等资金在此反映。</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（三）经营收入</w:t>
      </w:r>
      <w:r>
        <w:rPr>
          <w:rFonts w:hint="eastAsia" w:ascii="方正仿宋_GBK" w:eastAsia="方正仿宋_GBK"/>
          <w:sz w:val="32"/>
          <w:szCs w:val="32"/>
        </w:rPr>
        <w:t>：指事业单位在专业业务活动及其辅助活动之外开展非独立核算经营活动取得的现金流入。</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（四）其他收入</w:t>
      </w:r>
      <w:r>
        <w:rPr>
          <w:rFonts w:hint="eastAsia" w:ascii="方正仿宋_GBK"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（五）使用非财政拨款结余</w:t>
      </w:r>
      <w:r>
        <w:rPr>
          <w:rFonts w:hint="eastAsia" w:ascii="方正仿宋_GBK" w:eastAsia="方正仿宋_GBK"/>
          <w:sz w:val="32"/>
          <w:szCs w:val="32"/>
        </w:rPr>
        <w:t>：指单位在当年的“财政拨款收入”、“事业收入”、“经营收入”、“其他收入”等不足以安排当年支出的情况下，使用以前年度积累的非财政拨款结余弥补本年度收支缺口的资金。</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（六）年初结转和结余</w:t>
      </w:r>
      <w:r>
        <w:rPr>
          <w:rFonts w:hint="eastAsia" w:ascii="方正仿宋_GBK" w:eastAsia="方正仿宋_GBK"/>
          <w:sz w:val="32"/>
          <w:szCs w:val="32"/>
        </w:rPr>
        <w:t>：指单位上年结转本年使用的基本支出结转、项目支出结转和结余、经营结余。</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（七）结余分配</w:t>
      </w:r>
      <w:r>
        <w:rPr>
          <w:rFonts w:hint="eastAsia" w:ascii="方正仿宋_GBK" w:eastAsia="方正仿宋_GBK"/>
          <w:sz w:val="32"/>
          <w:szCs w:val="32"/>
        </w:rPr>
        <w:t>：指单位按照国家有关规定，缴纳所得税、提取专用基金、转入非财政拨款结余等当年结余的分配情况。</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（八）年末结转和结余</w:t>
      </w:r>
      <w:r>
        <w:rPr>
          <w:rFonts w:hint="eastAsia" w:ascii="方正仿宋_GBK" w:eastAsia="方正仿宋_GBK"/>
          <w:sz w:val="32"/>
          <w:szCs w:val="32"/>
        </w:rPr>
        <w:t>：指单位结转下年的基本支出结转、项目支出结转和结余、经营结余。</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（九）基本支出</w:t>
      </w:r>
      <w:r>
        <w:rPr>
          <w:rFonts w:hint="eastAsia" w:ascii="方正仿宋_GBK"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（十）项目支出</w:t>
      </w:r>
      <w:r>
        <w:rPr>
          <w:rFonts w:hint="eastAsia" w:ascii="方正仿宋_GBK" w:eastAsia="方正仿宋_GBK"/>
          <w:sz w:val="32"/>
          <w:szCs w:val="32"/>
        </w:rPr>
        <w:t>：指在基本支出之外为完成特定行政任务和事业发展目标所发生的支出。</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（十一）经营支出</w:t>
      </w:r>
      <w:r>
        <w:rPr>
          <w:rFonts w:hint="eastAsia" w:ascii="方正仿宋_GBK" w:eastAsia="方正仿宋_GBK"/>
          <w:sz w:val="32"/>
          <w:szCs w:val="32"/>
        </w:rPr>
        <w:t>：指事业单位在专业业务活动及其辅助活动之外开展非独立核算经营活动发生的支出。</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（十二）“三公”经费</w:t>
      </w:r>
      <w:r>
        <w:rPr>
          <w:rFonts w:hint="eastAsia" w:ascii="方正仿宋_GBK"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（十三）机关运行经费</w:t>
      </w:r>
      <w:r>
        <w:rPr>
          <w:rFonts w:hint="eastAsia" w:ascii="方正仿宋_GBK" w:eastAsia="方正仿宋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（十四）工资福利支出（支出经济分类科目类级）</w:t>
      </w:r>
      <w:r>
        <w:rPr>
          <w:rFonts w:hint="eastAsia" w:ascii="方正仿宋_GBK" w:eastAsia="方正仿宋_GBK"/>
          <w:sz w:val="32"/>
          <w:szCs w:val="32"/>
        </w:rPr>
        <w:t>：反映单位开支的在职职工和编制外长期聘用人员的各类劳动报酬，以及为上述人员缴纳的各项社会保险费等。</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（十五）商品和服务支出（支出经济分类科目类级）</w:t>
      </w:r>
      <w:r>
        <w:rPr>
          <w:rFonts w:hint="eastAsia" w:ascii="方正仿宋_GBK" w:eastAsia="方正仿宋_GBK"/>
          <w:sz w:val="32"/>
          <w:szCs w:val="32"/>
        </w:rPr>
        <w:t>：反映单位购买商品和服务的支出（不包括用于购置固定资产的支出、战略性和应急储备支出）。</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（十六）对个人和家庭的补助（支出经济分类科目类级）</w:t>
      </w:r>
      <w:r>
        <w:rPr>
          <w:rFonts w:hint="eastAsia" w:ascii="方正仿宋_GBK" w:eastAsia="方正仿宋_GBK"/>
          <w:sz w:val="32"/>
          <w:szCs w:val="32"/>
        </w:rPr>
        <w:t>：反映用于对个人和家庭的补助支出。</w:t>
      </w:r>
    </w:p>
    <w:p>
      <w:pPr>
        <w:spacing w:line="600" w:lineRule="exact"/>
        <w:ind w:firstLine="643" w:firstLineChars="200"/>
        <w:rPr>
          <w:rFonts w:ascii="方正仿宋_GBK" w:eastAsia="方正仿宋_GBK"/>
          <w:sz w:val="32"/>
          <w:szCs w:val="32"/>
        </w:rPr>
      </w:pPr>
      <w:r>
        <w:rPr>
          <w:rStyle w:val="6"/>
          <w:rFonts w:hint="eastAsia" w:ascii="方正仿宋_GBK" w:eastAsia="方正仿宋_GBK"/>
          <w:sz w:val="32"/>
          <w:szCs w:val="32"/>
        </w:rPr>
        <w:t>（十七）其他资本性支出（支出经济分类科目类级）</w:t>
      </w:r>
      <w:r>
        <w:rPr>
          <w:rFonts w:hint="eastAsia" w:ascii="方正仿宋_GBK"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pPr>
        <w:spacing w:line="600" w:lineRule="exact"/>
        <w:ind w:firstLine="643" w:firstLineChars="200"/>
        <w:rPr>
          <w:rStyle w:val="6"/>
          <w:rFonts w:ascii="方正黑体_GBK" w:eastAsia="方正黑体_GBK"/>
        </w:rPr>
      </w:pPr>
      <w:r>
        <w:rPr>
          <w:rStyle w:val="6"/>
          <w:rFonts w:hint="eastAsia" w:ascii="方正黑体_GBK" w:eastAsia="方正黑体_GBK"/>
          <w:sz w:val="32"/>
          <w:szCs w:val="32"/>
        </w:rPr>
        <w:t>七、决算公开联系方式及信息反馈渠道</w:t>
      </w:r>
    </w:p>
    <w:p>
      <w:pPr>
        <w:spacing w:line="600" w:lineRule="exact"/>
        <w:ind w:firstLine="643" w:firstLineChars="200"/>
        <w:rPr>
          <w:rFonts w:ascii="方正仿宋_GBK" w:hAnsi="仿宋" w:eastAsia="方正仿宋_GBK"/>
          <w:b/>
          <w:sz w:val="32"/>
          <w:szCs w:val="32"/>
        </w:rPr>
      </w:pPr>
      <w:r>
        <w:rPr>
          <w:rFonts w:hint="eastAsia" w:ascii="方正仿宋_GBK" w:hAnsi="仿宋" w:eastAsia="方正仿宋_GBK"/>
          <w:b/>
          <w:sz w:val="32"/>
          <w:szCs w:val="32"/>
        </w:rPr>
        <w:t>本单位决算公开信息反馈和联系方式</w:t>
      </w:r>
    </w:p>
    <w:p>
      <w:pPr>
        <w:spacing w:line="600" w:lineRule="exact"/>
        <w:ind w:firstLine="643" w:firstLineChars="200"/>
        <w:rPr>
          <w:rFonts w:ascii="方正仿宋_GBK" w:hAnsi="仿宋" w:eastAsia="方正仿宋_GBK"/>
          <w:b/>
          <w:sz w:val="32"/>
          <w:szCs w:val="32"/>
        </w:rPr>
      </w:pPr>
      <w:r>
        <w:rPr>
          <w:rFonts w:hint="eastAsia" w:ascii="方正仿宋_GBK" w:hAnsi="仿宋" w:eastAsia="方正仿宋_GBK"/>
          <w:b/>
          <w:sz w:val="32"/>
          <w:szCs w:val="32"/>
        </w:rPr>
        <w:t>联系人：王勇   电话：023-48670127</w:t>
      </w:r>
    </w:p>
    <w:p>
      <w:pPr>
        <w:spacing w:line="600" w:lineRule="exact"/>
        <w:rPr>
          <w:rFonts w:ascii="方正仿宋_GBK" w:eastAsia="方正仿宋_GBK"/>
          <w:sz w:val="32"/>
          <w:szCs w:val="32"/>
        </w:rPr>
      </w:pP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noPunctuationKerning w:val="1"/>
  <w:characterSpacingControl w:val="doNotCompress"/>
  <w:compat>
    <w:doNotSnapToGridInCell/>
    <w:doNotWrapTextWithPunct/>
    <w:doNotUseEastAsianBreakRules/>
    <w:growAutofit/>
    <w:useFELayout/>
    <w:compatSetting w:name="compatibilityMode" w:uri="http://schemas.microsoft.com/office/word" w:val="14"/>
  </w:compat>
  <w:docVars>
    <w:docVar w:name="commondata" w:val="eyJoZGlkIjoiN2QzOWU2OThlZTU0ZDM0MWQ0NWYwODQ4MWQ5MmFiZmMifQ=="/>
  </w:docVars>
  <w:rsids>
    <w:rsidRoot w:val="00A77297"/>
    <w:rsid w:val="000D3DF9"/>
    <w:rsid w:val="000E6413"/>
    <w:rsid w:val="00220CFF"/>
    <w:rsid w:val="002C72B0"/>
    <w:rsid w:val="0043662B"/>
    <w:rsid w:val="005E3D9C"/>
    <w:rsid w:val="005E6C5E"/>
    <w:rsid w:val="00964422"/>
    <w:rsid w:val="00A77297"/>
    <w:rsid w:val="00BA5560"/>
    <w:rsid w:val="00BD78D4"/>
    <w:rsid w:val="00C06970"/>
    <w:rsid w:val="00CB2F47"/>
    <w:rsid w:val="00D64D0A"/>
    <w:rsid w:val="00D868E9"/>
    <w:rsid w:val="00E3160A"/>
    <w:rsid w:val="00E90379"/>
    <w:rsid w:val="00EF3068"/>
    <w:rsid w:val="1C61342D"/>
    <w:rsid w:val="5F132B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widowControl w:val="0"/>
      <w:tabs>
        <w:tab w:val="center" w:pos="4153"/>
        <w:tab w:val="right" w:pos="8306"/>
      </w:tabs>
      <w:snapToGrid w:val="0"/>
    </w:pPr>
    <w:rPr>
      <w:rFonts w:ascii="Times New Roman" w:hAnsi="Times New Roman" w:cs="Times New Roman" w:eastAsiaTheme="minorEastAsia"/>
      <w:kern w:val="2"/>
      <w:sz w:val="18"/>
      <w:szCs w:val="18"/>
    </w:rPr>
  </w:style>
  <w:style w:type="paragraph" w:styleId="3">
    <w:name w:val="Normal (Web)"/>
    <w:basedOn w:val="1"/>
    <w:unhideWhenUsed/>
    <w:uiPriority w:val="99"/>
    <w:pPr>
      <w:spacing w:before="100" w:beforeAutospacing="1" w:after="100" w:afterAutospacing="1"/>
    </w:pPr>
  </w:style>
  <w:style w:type="character" w:styleId="6">
    <w:name w:val="Strong"/>
    <w:basedOn w:val="5"/>
    <w:qFormat/>
    <w:uiPriority w:val="22"/>
    <w:rPr>
      <w:b/>
      <w:bCs/>
    </w:rPr>
  </w:style>
  <w:style w:type="character" w:customStyle="1" w:styleId="7">
    <w:name w:val="页脚 Char"/>
    <w:link w:val="2"/>
    <w:qFormat/>
    <w:uiPriority w:val="0"/>
    <w:rPr>
      <w:kern w:val="2"/>
      <w:sz w:val="18"/>
      <w:szCs w:val="18"/>
    </w:rPr>
  </w:style>
  <w:style w:type="character" w:customStyle="1" w:styleId="8">
    <w:name w:val="页脚 Char1"/>
    <w:basedOn w:val="5"/>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4664</Words>
  <Characters>5206</Characters>
  <Lines>39</Lines>
  <Paragraphs>11</Paragraphs>
  <TotalTime>63</TotalTime>
  <ScaleCrop>false</ScaleCrop>
  <LinksUpToDate>false</LinksUpToDate>
  <CharactersWithSpaces>5298</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2022-08-29T07:47:00Z</dcterms:created>
  <dc:creator>Administrator</dc:creator>
  <cp:lastModifiedBy>陈列</cp:lastModifiedBy>
  <dcterms:modified xsi:type="dcterms:W3CDTF">2022-09-02T01:12:08Z</dcterms:modified>
  <dc:title>公开报告模板</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04F080F04353457C9EC4810BB3AF815B</vt:lpwstr>
  </property>
</Properties>
</file>