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4"/>
        <w:shd w:val="clear" w:color="auto" w:fill="FFFFFF"/>
        <w:spacing w:before="0" w:beforeAutospacing="0" w:after="0" w:afterAutospacing="0" w:line="600" w:lineRule="exact"/>
        <w:jc w:val="center"/>
        <w:rPr>
          <w:rFonts w:ascii="方正小标宋_GBK" w:eastAsia="方正小标宋_GBK"/>
          <w:sz w:val="44"/>
          <w:szCs w:val="44"/>
        </w:rPr>
      </w:pPr>
      <w:r>
        <w:rPr>
          <w:rFonts w:hint="eastAsia" w:ascii="方正小标宋_GBK" w:eastAsia="方正小标宋_GBK"/>
          <w:sz w:val="44"/>
          <w:szCs w:val="44"/>
        </w:rPr>
        <w:t>重庆市綦江职业教育中心</w:t>
      </w:r>
    </w:p>
    <w:p>
      <w:pPr>
        <w:pStyle w:val="4"/>
        <w:shd w:val="clear" w:color="auto" w:fill="FFFFFF"/>
        <w:spacing w:before="0" w:beforeAutospacing="0" w:after="0" w:afterAutospacing="0" w:line="600" w:lineRule="exact"/>
        <w:jc w:val="center"/>
        <w:rPr>
          <w:rFonts w:ascii="方正小标宋_GBK" w:eastAsia="方正小标宋_GBK"/>
          <w:sz w:val="44"/>
          <w:szCs w:val="44"/>
        </w:rPr>
      </w:pPr>
      <w:r>
        <w:rPr>
          <w:rFonts w:hint="eastAsia" w:ascii="方正小标宋_GBK" w:eastAsia="方正小标宋_GBK"/>
          <w:sz w:val="44"/>
          <w:szCs w:val="44"/>
        </w:rPr>
        <w:t>2020年度部门决算情况说明</w:t>
      </w:r>
    </w:p>
    <w:p>
      <w:pPr>
        <w:pStyle w:val="4"/>
        <w:shd w:val="clear" w:color="auto" w:fill="FFFFFF"/>
        <w:spacing w:before="0" w:beforeAutospacing="0" w:after="0" w:afterAutospacing="0" w:line="600" w:lineRule="exact"/>
        <w:ind w:firstLine="482" w:firstLineChars="200"/>
        <w:rPr>
          <w:b/>
          <w:bCs/>
        </w:rPr>
      </w:pPr>
    </w:p>
    <w:p>
      <w:pPr>
        <w:pStyle w:val="4"/>
        <w:shd w:val="clear" w:color="auto" w:fill="FFFFFF"/>
        <w:spacing w:before="0" w:beforeAutospacing="0" w:after="0" w:afterAutospacing="0" w:line="600" w:lineRule="exact"/>
        <w:ind w:firstLine="482" w:firstLineChars="200"/>
        <w:rPr>
          <w:rStyle w:val="7"/>
        </w:rPr>
      </w:pPr>
      <w:r>
        <w:rPr>
          <w:b/>
          <w:bCs/>
        </w:rPr>
        <w:t> </w:t>
      </w:r>
      <w:r>
        <w:rPr>
          <w:rStyle w:val="7"/>
          <w:rFonts w:hint="eastAsia" w:ascii="方正黑体_GBK" w:eastAsia="方正黑体_GBK"/>
          <w:sz w:val="32"/>
          <w:szCs w:val="32"/>
        </w:rPr>
        <w:t>一、部门基本情况</w:t>
      </w:r>
    </w:p>
    <w:p>
      <w:pPr>
        <w:pStyle w:val="4"/>
        <w:shd w:val="clear" w:color="auto" w:fill="FFFFFF"/>
        <w:spacing w:before="0" w:beforeAutospacing="0" w:after="0" w:afterAutospacing="0" w:line="600" w:lineRule="exact"/>
        <w:ind w:firstLine="643" w:firstLineChars="200"/>
        <w:rPr>
          <w:rFonts w:ascii="方正楷体_GBK" w:eastAsia="方正楷体_GBK"/>
          <w:b/>
          <w:bCs/>
          <w:sz w:val="32"/>
          <w:szCs w:val="32"/>
        </w:rPr>
      </w:pPr>
      <w:r>
        <w:rPr>
          <w:rStyle w:val="7"/>
          <w:rFonts w:hint="eastAsia" w:ascii="方正楷体_GBK" w:eastAsia="方正楷体_GBK"/>
          <w:sz w:val="32"/>
          <w:szCs w:val="32"/>
        </w:rPr>
        <w:t>（一）职能职责</w:t>
      </w:r>
    </w:p>
    <w:p>
      <w:pPr>
        <w:spacing w:line="600" w:lineRule="exact"/>
        <w:ind w:firstLine="640" w:firstLineChars="200"/>
        <w:rPr>
          <w:rFonts w:ascii="方正仿宋_GBK" w:eastAsia="方正仿宋_GBK"/>
          <w:sz w:val="32"/>
          <w:szCs w:val="32"/>
        </w:rPr>
      </w:pPr>
      <w:r>
        <w:rPr>
          <w:rFonts w:hint="eastAsia" w:ascii="方正仿宋_GBK" w:eastAsia="方正仿宋_GBK"/>
          <w:sz w:val="32"/>
          <w:szCs w:val="32"/>
        </w:rPr>
        <w:t>1.贯彻执行党和国家的教育方针、政策和法律法规，依法治教。</w:t>
      </w:r>
    </w:p>
    <w:p>
      <w:pPr>
        <w:spacing w:line="600" w:lineRule="exact"/>
        <w:ind w:firstLine="640" w:firstLineChars="200"/>
        <w:rPr>
          <w:rFonts w:ascii="方正仿宋_GBK" w:eastAsia="方正仿宋_GBK"/>
          <w:sz w:val="32"/>
          <w:szCs w:val="32"/>
        </w:rPr>
      </w:pPr>
      <w:r>
        <w:rPr>
          <w:rFonts w:hint="eastAsia" w:ascii="方正仿宋_GBK" w:eastAsia="方正仿宋_GBK"/>
          <w:sz w:val="32"/>
          <w:szCs w:val="32"/>
        </w:rPr>
        <w:t>2.培养高中学历技术应用人才，提高社会职业素质，负责本校职业教育和成人教育。</w:t>
      </w:r>
    </w:p>
    <w:p>
      <w:pPr>
        <w:pStyle w:val="4"/>
        <w:shd w:val="clear" w:color="auto" w:fill="FFFFFF"/>
        <w:spacing w:before="0" w:beforeAutospacing="0" w:after="0" w:afterAutospacing="0" w:line="600" w:lineRule="exact"/>
        <w:ind w:firstLine="640" w:firstLineChars="200"/>
        <w:rPr>
          <w:rFonts w:ascii="方正仿宋_GBK" w:eastAsia="方正仿宋_GBK"/>
          <w:sz w:val="32"/>
          <w:szCs w:val="32"/>
        </w:rPr>
      </w:pPr>
      <w:r>
        <w:rPr>
          <w:rFonts w:hint="eastAsia" w:ascii="方正仿宋_GBK" w:eastAsia="方正仿宋_GBK"/>
          <w:sz w:val="32"/>
          <w:szCs w:val="32"/>
        </w:rPr>
        <w:t>3. 坚持学历教育与职业培训并举，</w:t>
      </w:r>
      <w:r>
        <w:rPr>
          <w:rFonts w:hint="eastAsia" w:ascii="方正仿宋_GBK" w:eastAsia="方正仿宋_GBK"/>
          <w:bCs/>
          <w:sz w:val="32"/>
          <w:szCs w:val="32"/>
        </w:rPr>
        <w:t>职前教育与职后教育并重的多种办学形式</w:t>
      </w:r>
      <w:r>
        <w:rPr>
          <w:rFonts w:hint="eastAsia" w:ascii="方正仿宋_GBK" w:eastAsia="方正仿宋_GBK"/>
          <w:sz w:val="32"/>
          <w:szCs w:val="32"/>
        </w:rPr>
        <w:t>，组织相关职业技术培训。</w:t>
      </w:r>
    </w:p>
    <w:p>
      <w:pPr>
        <w:spacing w:line="600" w:lineRule="exact"/>
        <w:ind w:firstLine="640" w:firstLineChars="200"/>
        <w:rPr>
          <w:rFonts w:ascii="方正仿宋_GBK" w:eastAsia="方正仿宋_GBK"/>
          <w:sz w:val="32"/>
          <w:szCs w:val="32"/>
        </w:rPr>
      </w:pPr>
      <w:r>
        <w:rPr>
          <w:rFonts w:hint="eastAsia" w:ascii="方正仿宋_GBK" w:eastAsia="方正仿宋_GBK"/>
          <w:sz w:val="32"/>
          <w:szCs w:val="32"/>
        </w:rPr>
        <w:t>4.负责本校的学籍管理工作。</w:t>
      </w:r>
    </w:p>
    <w:p>
      <w:pPr>
        <w:spacing w:line="600" w:lineRule="exact"/>
        <w:ind w:firstLine="640" w:firstLineChars="200"/>
        <w:rPr>
          <w:rFonts w:ascii="方正仿宋_GBK" w:eastAsia="方正仿宋_GBK"/>
          <w:sz w:val="32"/>
          <w:szCs w:val="32"/>
        </w:rPr>
      </w:pPr>
      <w:r>
        <w:rPr>
          <w:rFonts w:hint="eastAsia" w:ascii="方正仿宋_GBK" w:eastAsia="方正仿宋_GBK"/>
          <w:sz w:val="32"/>
          <w:szCs w:val="32"/>
        </w:rPr>
        <w:t>5.负责本校各级各类学校的招生工作，学生实习工作。</w:t>
      </w:r>
    </w:p>
    <w:p>
      <w:pPr>
        <w:spacing w:line="600" w:lineRule="exact"/>
        <w:ind w:firstLine="640" w:firstLineChars="200"/>
        <w:rPr>
          <w:rFonts w:ascii="方正仿宋_GBK" w:eastAsia="方正仿宋_GBK"/>
          <w:sz w:val="32"/>
          <w:szCs w:val="32"/>
        </w:rPr>
      </w:pPr>
      <w:r>
        <w:rPr>
          <w:rFonts w:hint="eastAsia" w:ascii="方正仿宋_GBK" w:eastAsia="方正仿宋_GBK"/>
          <w:sz w:val="32"/>
          <w:szCs w:val="32"/>
        </w:rPr>
        <w:t>6.负责本校校园安全保卫工作，综合协调处理本校突发事件和重大事故。</w:t>
      </w:r>
    </w:p>
    <w:p>
      <w:pPr>
        <w:spacing w:line="600" w:lineRule="exact"/>
        <w:ind w:firstLine="640" w:firstLineChars="200"/>
        <w:rPr>
          <w:rFonts w:ascii="方正仿宋_GBK" w:eastAsia="方正仿宋_GBK"/>
          <w:sz w:val="32"/>
          <w:szCs w:val="32"/>
        </w:rPr>
      </w:pPr>
      <w:r>
        <w:rPr>
          <w:rFonts w:hint="eastAsia" w:ascii="方正仿宋_GBK" w:eastAsia="方正仿宋_GBK"/>
          <w:sz w:val="32"/>
          <w:szCs w:val="32"/>
        </w:rPr>
        <w:t>7.承办区委、区政府、区教委和上级有关部门交办的</w:t>
      </w:r>
      <w:r>
        <w:rPr>
          <w:rFonts w:hint="eastAsia" w:ascii="方正仿宋_GBK" w:eastAsia="方正仿宋_GBK"/>
          <w:sz w:val="32"/>
          <w:szCs w:val="32"/>
          <w:lang w:eastAsia="zh-CN"/>
        </w:rPr>
        <w:t>其他事项</w:t>
      </w:r>
      <w:r>
        <w:rPr>
          <w:rFonts w:hint="eastAsia" w:ascii="方正仿宋_GBK" w:eastAsia="方正仿宋_GBK"/>
          <w:sz w:val="32"/>
          <w:szCs w:val="32"/>
        </w:rPr>
        <w:t>。</w:t>
      </w:r>
    </w:p>
    <w:p>
      <w:pPr>
        <w:pStyle w:val="4"/>
        <w:shd w:val="clear" w:color="auto" w:fill="FFFFFF"/>
        <w:spacing w:before="0" w:beforeAutospacing="0" w:after="0" w:afterAutospacing="0" w:line="600" w:lineRule="exact"/>
        <w:ind w:firstLine="643" w:firstLineChars="200"/>
        <w:rPr>
          <w:rStyle w:val="7"/>
          <w:rFonts w:ascii="方正楷体_GBK" w:eastAsia="方正楷体_GBK"/>
          <w:sz w:val="32"/>
          <w:szCs w:val="32"/>
        </w:rPr>
      </w:pPr>
      <w:r>
        <w:rPr>
          <w:rStyle w:val="7"/>
          <w:rFonts w:hint="eastAsia" w:ascii="方正楷体_GBK" w:eastAsia="方正楷体_GBK"/>
          <w:sz w:val="32"/>
          <w:szCs w:val="32"/>
        </w:rPr>
        <w:t>（二）机构设置</w:t>
      </w:r>
    </w:p>
    <w:p>
      <w:pPr>
        <w:pStyle w:val="4"/>
        <w:shd w:val="clear" w:color="auto" w:fill="FFFFFF"/>
        <w:spacing w:before="0" w:beforeAutospacing="0" w:after="0" w:afterAutospacing="0" w:line="600" w:lineRule="exact"/>
        <w:ind w:firstLine="540" w:firstLineChars="200"/>
        <w:rPr>
          <w:rFonts w:ascii="方正仿宋_GBK" w:eastAsia="方正仿宋_GBK"/>
          <w:sz w:val="32"/>
          <w:szCs w:val="32"/>
        </w:rPr>
      </w:pPr>
      <w:r>
        <w:rPr>
          <w:rFonts w:hint="eastAsia"/>
          <w:sz w:val="27"/>
          <w:szCs w:val="27"/>
        </w:rPr>
        <w:t> </w:t>
      </w:r>
      <w:r>
        <w:rPr>
          <w:rFonts w:hint="eastAsia" w:ascii="方正仿宋_GBK" w:eastAsia="方正仿宋_GBK"/>
          <w:sz w:val="32"/>
          <w:szCs w:val="32"/>
        </w:rPr>
        <w:t>根据《重庆市教育委员会关于同意设立重庆市綦江职业教育中心的复函》（渝教函[2008] 60号）和《中共重庆市綦江区委关于重庆市綦江区机构设置方案的实施意见》（綦江委发〔2011〕1号）文件精神，设立重庆市綦江职业教育中心。中共重庆市綦江职业教育中心委员会履行区委规定的职责，与綦江职教中心合署办公。</w:t>
      </w:r>
    </w:p>
    <w:p>
      <w:pPr>
        <w:spacing w:line="600" w:lineRule="exact"/>
        <w:ind w:firstLine="640" w:firstLineChars="200"/>
        <w:rPr>
          <w:rFonts w:ascii="方正仿宋_GBK" w:eastAsia="方正仿宋_GBK"/>
          <w:sz w:val="32"/>
          <w:szCs w:val="32"/>
        </w:rPr>
      </w:pPr>
      <w:r>
        <w:rPr>
          <w:rFonts w:hint="eastAsia" w:ascii="方正仿宋_GBK" w:eastAsia="方正仿宋_GBK"/>
          <w:sz w:val="32"/>
          <w:szCs w:val="32"/>
        </w:rPr>
        <w:t>按照《区委编办关于调整教育系统部分学校领导职数和内设机构设置的复函》（綦委编办〔2021〕8号）文件，本单位为全日制中等职业学校，属事业单位，内设机构9个，分别为办公室、教学处、学生处、培训部、招就办、总务处、财务处、安保处、教科室。</w:t>
      </w:r>
    </w:p>
    <w:p>
      <w:pPr>
        <w:pStyle w:val="4"/>
        <w:shd w:val="clear" w:color="auto" w:fill="FFFFFF"/>
        <w:spacing w:before="0" w:beforeAutospacing="0" w:after="0" w:afterAutospacing="0" w:line="600" w:lineRule="exact"/>
        <w:ind w:firstLine="643" w:firstLineChars="200"/>
        <w:rPr>
          <w:rStyle w:val="7"/>
          <w:rFonts w:ascii="方正楷体_GBK" w:eastAsia="方正楷体_GBK"/>
          <w:bCs w:val="0"/>
          <w:sz w:val="32"/>
          <w:szCs w:val="32"/>
        </w:rPr>
      </w:pPr>
      <w:r>
        <w:rPr>
          <w:rStyle w:val="7"/>
          <w:rFonts w:hint="eastAsia" w:ascii="方正楷体_GBK" w:eastAsia="方正楷体_GBK"/>
          <w:bCs w:val="0"/>
          <w:sz w:val="32"/>
          <w:szCs w:val="32"/>
        </w:rPr>
        <w:t>（三）单位构成</w:t>
      </w:r>
    </w:p>
    <w:p>
      <w:pPr>
        <w:pStyle w:val="4"/>
        <w:shd w:val="clear" w:color="auto" w:fill="FFFFFF"/>
        <w:spacing w:before="0" w:beforeAutospacing="0" w:after="0" w:afterAutospacing="0" w:line="600" w:lineRule="exact"/>
        <w:ind w:firstLine="640" w:firstLineChars="200"/>
        <w:rPr>
          <w:rFonts w:eastAsia="方正楷体_GBK"/>
          <w:sz w:val="32"/>
          <w:szCs w:val="32"/>
        </w:rPr>
      </w:pPr>
      <w:r>
        <w:rPr>
          <w:rFonts w:hint="eastAsia" w:ascii="方正仿宋_GBK" w:eastAsia="方正仿宋_GBK"/>
          <w:sz w:val="32"/>
          <w:szCs w:val="32"/>
        </w:rPr>
        <w:t>本单位无下级预算单位。</w:t>
      </w:r>
    </w:p>
    <w:p>
      <w:pPr>
        <w:pStyle w:val="4"/>
        <w:shd w:val="clear" w:color="auto" w:fill="FFFFFF"/>
        <w:spacing w:before="0" w:beforeAutospacing="0" w:after="0" w:afterAutospacing="0" w:line="600" w:lineRule="exact"/>
        <w:ind w:firstLine="643" w:firstLineChars="200"/>
        <w:rPr>
          <w:rStyle w:val="7"/>
          <w:rFonts w:ascii="方正黑体_GBK" w:eastAsia="方正黑体_GBK"/>
          <w:b w:val="0"/>
          <w:sz w:val="32"/>
          <w:szCs w:val="32"/>
        </w:rPr>
      </w:pPr>
      <w:r>
        <w:rPr>
          <w:rStyle w:val="7"/>
          <w:rFonts w:hint="eastAsia" w:ascii="方正黑体_GBK" w:eastAsia="方正黑体_GBK"/>
          <w:bCs w:val="0"/>
          <w:sz w:val="32"/>
          <w:szCs w:val="32"/>
        </w:rPr>
        <w:t>二、部门决算情况说明</w:t>
      </w:r>
    </w:p>
    <w:p>
      <w:pPr>
        <w:pStyle w:val="4"/>
        <w:shd w:val="clear" w:color="auto" w:fill="FFFFFF"/>
        <w:spacing w:before="0" w:beforeAutospacing="0" w:after="0" w:afterAutospacing="0" w:line="600" w:lineRule="exact"/>
        <w:ind w:firstLine="643" w:firstLineChars="200"/>
        <w:rPr>
          <w:rFonts w:eastAsia="方正楷体_GBK"/>
          <w:sz w:val="32"/>
          <w:szCs w:val="32"/>
        </w:rPr>
      </w:pPr>
      <w:r>
        <w:rPr>
          <w:rFonts w:hint="eastAsia" w:eastAsia="方正楷体_GBK"/>
          <w:b/>
          <w:bCs/>
          <w:sz w:val="32"/>
          <w:szCs w:val="32"/>
        </w:rPr>
        <w:t>（一）收入支出决算总体情况说明</w:t>
      </w:r>
    </w:p>
    <w:p>
      <w:pPr>
        <w:pStyle w:val="4"/>
        <w:shd w:val="clear" w:color="auto" w:fill="FFFFFF"/>
        <w:spacing w:before="0" w:beforeAutospacing="0" w:after="0" w:afterAutospacing="0" w:line="600" w:lineRule="exact"/>
        <w:ind w:firstLine="643" w:firstLineChars="200"/>
        <w:rPr>
          <w:rFonts w:ascii="方正仿宋_GBK" w:eastAsia="方正仿宋_GBK"/>
          <w:sz w:val="32"/>
          <w:szCs w:val="32"/>
        </w:rPr>
      </w:pPr>
      <w:r>
        <w:rPr>
          <w:rFonts w:hint="eastAsia" w:ascii="方正仿宋_GBK" w:eastAsia="方正仿宋_GBK"/>
          <w:b/>
          <w:bCs/>
          <w:sz w:val="32"/>
          <w:szCs w:val="32"/>
        </w:rPr>
        <w:t>1.总体情况</w:t>
      </w:r>
      <w:r>
        <w:rPr>
          <w:rFonts w:hint="eastAsia" w:ascii="方正仿宋_GBK" w:eastAsia="方正仿宋_GBK"/>
          <w:sz w:val="32"/>
          <w:szCs w:val="32"/>
        </w:rPr>
        <w:t>。2020年度收入总计9,278.11万元，支出总计9,278.11万元。收支较上年决算数 减少106.91万元、 下降 1.1%，主要原因是本年发放目标考核绩效和中职学生资助优惠政策落实导致人员支出增加291.35万元，较上年受疫情影响项目支出减少593.41万元，支出结转增加195.15万元，总体收支较上年减少。</w:t>
      </w:r>
    </w:p>
    <w:p>
      <w:pPr>
        <w:pStyle w:val="4"/>
        <w:shd w:val="clear" w:color="auto" w:fill="FFFFFF"/>
        <w:spacing w:before="0" w:beforeAutospacing="0" w:after="0" w:afterAutospacing="0" w:line="600" w:lineRule="exact"/>
        <w:ind w:firstLine="643" w:firstLineChars="200"/>
        <w:rPr>
          <w:rFonts w:ascii="方正仿宋_GBK" w:eastAsia="方正仿宋_GBK"/>
          <w:sz w:val="32"/>
          <w:szCs w:val="32"/>
        </w:rPr>
      </w:pPr>
      <w:r>
        <w:rPr>
          <w:rFonts w:hint="eastAsia" w:ascii="方正仿宋_GBK" w:eastAsia="方正仿宋_GBK"/>
          <w:b/>
          <w:bCs/>
          <w:sz w:val="32"/>
          <w:szCs w:val="32"/>
        </w:rPr>
        <w:t>2.收入情况。</w:t>
      </w:r>
      <w:r>
        <w:rPr>
          <w:rFonts w:hint="eastAsia" w:ascii="方正仿宋_GBK" w:eastAsia="方正仿宋_GBK"/>
          <w:sz w:val="32"/>
          <w:szCs w:val="32"/>
        </w:rPr>
        <w:t>2020年度收入合计7,949.81万元，较上年决算数增加85.93万元，增长1.1%，主要原因是本年教育行政性非税收入增加和调整人员薪金增加财政拨款收入。其中：财政拨款收入7,853.79万元，占98.8%；事业收入96.02万元，占1.2%；年初结转和结余1,328.30万元。</w:t>
      </w:r>
    </w:p>
    <w:p>
      <w:pPr>
        <w:pStyle w:val="4"/>
        <w:shd w:val="clear" w:color="auto" w:fill="FFFFFF"/>
        <w:spacing w:before="0" w:beforeAutospacing="0" w:after="0" w:afterAutospacing="0" w:line="600" w:lineRule="exact"/>
        <w:ind w:firstLine="643" w:firstLineChars="200"/>
        <w:rPr>
          <w:rFonts w:ascii="方正仿宋_GBK" w:eastAsia="方正仿宋_GBK"/>
          <w:sz w:val="32"/>
          <w:szCs w:val="32"/>
        </w:rPr>
      </w:pPr>
      <w:r>
        <w:rPr>
          <w:rFonts w:hint="eastAsia" w:ascii="方正仿宋_GBK" w:eastAsia="方正仿宋_GBK"/>
          <w:b/>
          <w:bCs/>
          <w:sz w:val="32"/>
          <w:szCs w:val="32"/>
        </w:rPr>
        <w:t>3.支出情况。</w:t>
      </w:r>
      <w:r>
        <w:rPr>
          <w:rFonts w:hint="eastAsia" w:ascii="方正仿宋_GBK" w:eastAsia="方正仿宋_GBK"/>
          <w:sz w:val="32"/>
          <w:szCs w:val="32"/>
        </w:rPr>
        <w:t>2020年度支出合计8,145.39万元，较上年决算数减少302.05万元，下降3.6%，主要原因是受疫情影响项目支出减少。其中：基本支出 5,846.95万元，占71.8%；项目支出2,298.43万元，占28.2%。</w:t>
      </w:r>
    </w:p>
    <w:p>
      <w:pPr>
        <w:pStyle w:val="4"/>
        <w:shd w:val="clear" w:color="auto" w:fill="FFFFFF"/>
        <w:spacing w:before="0" w:beforeAutospacing="0" w:after="0" w:afterAutospacing="0" w:line="600" w:lineRule="exact"/>
        <w:ind w:firstLine="643" w:firstLineChars="200"/>
        <w:rPr>
          <w:rFonts w:ascii="方正仿宋_GBK" w:eastAsia="方正仿宋_GBK"/>
          <w:sz w:val="32"/>
          <w:szCs w:val="32"/>
        </w:rPr>
      </w:pPr>
      <w:r>
        <w:rPr>
          <w:rFonts w:hint="eastAsia" w:ascii="方正仿宋_GBK" w:eastAsia="方正仿宋_GBK"/>
          <w:b/>
          <w:bCs/>
          <w:sz w:val="32"/>
          <w:szCs w:val="32"/>
        </w:rPr>
        <w:t>4.结转结余情况。</w:t>
      </w:r>
      <w:r>
        <w:rPr>
          <w:rFonts w:hint="eastAsia" w:ascii="方正仿宋_GBK" w:eastAsia="方正仿宋_GBK"/>
          <w:sz w:val="32"/>
          <w:szCs w:val="32"/>
        </w:rPr>
        <w:t>2020年度年末结转和结余1,132.73万元，较上年决算数增加195.14万元，增长20.8%，主要原因是受疫情影响本年立项的旅游、学前与汽修三个专业市级高水平实训基地项目未建设完成，支出剩余资金结转至下年继续使用，导致本年结转和结余数增加。</w:t>
      </w:r>
    </w:p>
    <w:p>
      <w:pPr>
        <w:pStyle w:val="4"/>
        <w:shd w:val="clear" w:color="auto" w:fill="FFFFFF"/>
        <w:spacing w:before="0" w:beforeAutospacing="0" w:after="0" w:afterAutospacing="0" w:line="600" w:lineRule="exact"/>
        <w:ind w:firstLine="643" w:firstLineChars="200"/>
        <w:rPr>
          <w:rFonts w:eastAsia="方正楷体_GBK"/>
          <w:sz w:val="32"/>
          <w:szCs w:val="32"/>
        </w:rPr>
      </w:pPr>
      <w:r>
        <w:rPr>
          <w:rFonts w:hint="eastAsia" w:eastAsia="方正楷体_GBK"/>
          <w:b/>
          <w:bCs/>
          <w:sz w:val="32"/>
          <w:szCs w:val="32"/>
        </w:rPr>
        <w:t>（二）财政拨款收入支出决算总体情况说明</w:t>
      </w:r>
    </w:p>
    <w:p>
      <w:pPr>
        <w:pStyle w:val="4"/>
        <w:shd w:val="clear" w:color="auto" w:fill="FFFFFF"/>
        <w:spacing w:before="0" w:beforeAutospacing="0" w:after="0" w:afterAutospacing="0" w:line="600" w:lineRule="exact"/>
        <w:ind w:firstLine="540" w:firstLineChars="200"/>
        <w:rPr>
          <w:rFonts w:ascii="方正仿宋_GBK" w:eastAsia="方正仿宋_GBK"/>
          <w:sz w:val="32"/>
          <w:szCs w:val="32"/>
        </w:rPr>
      </w:pPr>
      <w:r>
        <w:rPr>
          <w:rFonts w:hint="eastAsia"/>
          <w:sz w:val="27"/>
          <w:szCs w:val="27"/>
        </w:rPr>
        <w:t> </w:t>
      </w:r>
      <w:r>
        <w:rPr>
          <w:rFonts w:hint="eastAsia" w:ascii="方正仿宋_GBK" w:eastAsia="方正仿宋_GBK"/>
          <w:sz w:val="32"/>
          <w:szCs w:val="32"/>
        </w:rPr>
        <w:t xml:space="preserve"> 2020年度财政拨款收、支总计9,182.09万元。与2019年相比，财政拨款收、支总计各减少148.05万 元，下降1.6%。主要原因是本年发放目标考核绩效和中职学生资助优惠政策落实导致人员支出增加291.35万元，较上年受疫情影响项目支出减少634.55万元，支出结转增加195.15万元，总体收支较上年减少。</w:t>
      </w:r>
    </w:p>
    <w:p>
      <w:pPr>
        <w:pStyle w:val="4"/>
        <w:shd w:val="clear" w:color="auto" w:fill="FFFFFF"/>
        <w:spacing w:before="0" w:beforeAutospacing="0" w:after="0" w:afterAutospacing="0" w:line="600" w:lineRule="exact"/>
        <w:ind w:firstLine="643" w:firstLineChars="200"/>
        <w:rPr>
          <w:rFonts w:eastAsia="方正楷体_GBK"/>
          <w:sz w:val="32"/>
          <w:szCs w:val="32"/>
        </w:rPr>
      </w:pPr>
      <w:r>
        <w:rPr>
          <w:rFonts w:hint="eastAsia" w:eastAsia="方正楷体_GBK"/>
          <w:b/>
          <w:bCs/>
          <w:sz w:val="32"/>
          <w:szCs w:val="32"/>
        </w:rPr>
        <w:t>（三）一般公共预算财政拨款支出决算情况说明</w:t>
      </w:r>
    </w:p>
    <w:p>
      <w:pPr>
        <w:pStyle w:val="4"/>
        <w:shd w:val="clear" w:color="auto" w:fill="FFFFFF"/>
        <w:spacing w:before="0" w:beforeAutospacing="0" w:after="0" w:afterAutospacing="0" w:line="600" w:lineRule="exact"/>
        <w:ind w:firstLine="643" w:firstLineChars="200"/>
        <w:rPr>
          <w:rFonts w:ascii="方正仿宋_GBK" w:eastAsia="方正仿宋_GBK"/>
          <w:sz w:val="32"/>
          <w:szCs w:val="32"/>
        </w:rPr>
      </w:pPr>
      <w:r>
        <w:rPr>
          <w:rFonts w:hint="eastAsia" w:ascii="方正仿宋_GBK" w:eastAsia="方正仿宋_GBK"/>
          <w:b/>
          <w:bCs/>
          <w:sz w:val="32"/>
          <w:szCs w:val="32"/>
        </w:rPr>
        <w:t>1.收入情况。</w:t>
      </w:r>
      <w:r>
        <w:rPr>
          <w:rFonts w:hint="eastAsia" w:ascii="方正仿宋_GBK" w:eastAsia="方正仿宋_GBK"/>
          <w:sz w:val="32"/>
          <w:szCs w:val="32"/>
        </w:rPr>
        <w:t>2020年度一般公共预算财政拨款收入7,853.79万元，较上年决算数增加44.79万元，增长0.6%。主要原因是发放目标考核绩效。较年初预算数 增加2,163.12万元，增长38%。主要原因是年中调整追加项目旅游、学前与汽修三个专业市级高水平实训基地建设项目、防疫特别国债直达资金补助和中职学生资助等预算收入。此外，年初财政拨款结转和结余1,328.30万元。</w:t>
      </w:r>
    </w:p>
    <w:p>
      <w:pPr>
        <w:pStyle w:val="4"/>
        <w:shd w:val="clear" w:color="auto" w:fill="FFFFFF"/>
        <w:spacing w:before="0" w:beforeAutospacing="0" w:after="0" w:afterAutospacing="0" w:line="600" w:lineRule="exact"/>
        <w:ind w:firstLine="643" w:firstLineChars="200"/>
        <w:rPr>
          <w:rFonts w:ascii="方正仿宋_GBK" w:eastAsia="方正仿宋_GBK"/>
          <w:sz w:val="32"/>
          <w:szCs w:val="32"/>
        </w:rPr>
      </w:pPr>
      <w:r>
        <w:rPr>
          <w:rFonts w:hint="eastAsia" w:ascii="方正仿宋_GBK" w:eastAsia="方正仿宋_GBK"/>
          <w:b/>
          <w:bCs/>
          <w:sz w:val="32"/>
          <w:szCs w:val="32"/>
        </w:rPr>
        <w:t>2.支出情况。</w:t>
      </w:r>
      <w:r>
        <w:rPr>
          <w:rFonts w:hint="eastAsia" w:ascii="方正仿宋_GBK" w:eastAsia="方正仿宋_GBK"/>
          <w:sz w:val="32"/>
          <w:szCs w:val="32"/>
        </w:rPr>
        <w:t>2020年度一般公共预算财政拨款支出8,049.36万元，较上年决算数减少343.19万元，下降4.1%。主要原因是本年受疫情影响项目支出减少。较年初预算数 增加1,421.10万 元，增长21.4%。主要原因是年中调整新增防疫特别国债直达资金补助和中职学生资助等预算支出。</w:t>
      </w:r>
    </w:p>
    <w:p>
      <w:pPr>
        <w:pStyle w:val="4"/>
        <w:shd w:val="clear" w:color="auto" w:fill="FFFFFF"/>
        <w:spacing w:before="0" w:beforeAutospacing="0" w:after="0" w:afterAutospacing="0" w:line="600" w:lineRule="exact"/>
        <w:ind w:firstLine="643" w:firstLineChars="200"/>
        <w:rPr>
          <w:rFonts w:ascii="方正仿宋_GBK" w:eastAsia="方正仿宋_GBK"/>
          <w:sz w:val="32"/>
          <w:szCs w:val="32"/>
        </w:rPr>
      </w:pPr>
      <w:r>
        <w:rPr>
          <w:rFonts w:hint="eastAsia" w:ascii="方正仿宋_GBK" w:eastAsia="方正仿宋_GBK"/>
          <w:b/>
          <w:bCs/>
          <w:sz w:val="32"/>
          <w:szCs w:val="32"/>
        </w:rPr>
        <w:t>3.结转结余情况。</w:t>
      </w:r>
      <w:r>
        <w:rPr>
          <w:rFonts w:hint="eastAsia" w:ascii="方正仿宋_GBK" w:eastAsia="方正仿宋_GBK"/>
          <w:sz w:val="32"/>
          <w:szCs w:val="32"/>
        </w:rPr>
        <w:t>2020年度年末一般公共预算财政拨款结转和结余1,132.73万元，较上年决算数增加195.14万元，增长20.8%，主要原因是受疫情影响本年立项的旅游、学前与汽修三个专业市级高水平实训基地项目未建设完成，支出剩余资金结转至下年继续使用，导致本年结转和结余数增加。</w:t>
      </w:r>
    </w:p>
    <w:p>
      <w:pPr>
        <w:pStyle w:val="4"/>
        <w:shd w:val="clear" w:color="auto" w:fill="FFFFFF"/>
        <w:spacing w:before="0" w:beforeAutospacing="0" w:after="0" w:afterAutospacing="0" w:line="600" w:lineRule="exact"/>
        <w:ind w:firstLine="643" w:firstLineChars="200"/>
        <w:rPr>
          <w:rFonts w:ascii="方正仿宋_GBK" w:eastAsia="方正仿宋_GBK"/>
          <w:sz w:val="32"/>
          <w:szCs w:val="32"/>
        </w:rPr>
      </w:pPr>
      <w:r>
        <w:rPr>
          <w:rFonts w:hint="eastAsia" w:ascii="方正仿宋_GBK" w:eastAsia="方正仿宋_GBK"/>
          <w:b/>
          <w:bCs/>
          <w:sz w:val="32"/>
          <w:szCs w:val="32"/>
        </w:rPr>
        <w:t>4.比较情况</w:t>
      </w:r>
      <w:r>
        <w:rPr>
          <w:rFonts w:hint="eastAsia" w:ascii="方正仿宋_GBK" w:eastAsia="方正仿宋_GBK"/>
          <w:sz w:val="32"/>
          <w:szCs w:val="32"/>
        </w:rPr>
        <w:t>。本部门2020年度一般公共预算财政拨款支出主要用于以下几个方面：</w:t>
      </w:r>
    </w:p>
    <w:p>
      <w:pPr>
        <w:pStyle w:val="4"/>
        <w:shd w:val="clear" w:color="auto" w:fill="FFFFFF"/>
        <w:spacing w:before="0" w:beforeAutospacing="0" w:after="0" w:afterAutospacing="0" w:line="600" w:lineRule="exact"/>
        <w:ind w:firstLine="640" w:firstLineChars="200"/>
        <w:rPr>
          <w:rFonts w:ascii="方正仿宋_GBK" w:eastAsia="方正仿宋_GBK"/>
          <w:sz w:val="32"/>
          <w:szCs w:val="32"/>
        </w:rPr>
      </w:pPr>
      <w:r>
        <w:rPr>
          <w:rFonts w:hint="eastAsia" w:ascii="方正仿宋_GBK" w:eastAsia="方正仿宋_GBK"/>
          <w:sz w:val="32"/>
          <w:szCs w:val="32"/>
        </w:rPr>
        <w:t>（1）教育支出6,591.15万元，占81.9%，较年初预算数增加1,237.30万 元，增长23.1%，主要原因是年中调整新增防疫特别国债直达资金补助和中职学生资助等预算支出。</w:t>
      </w:r>
    </w:p>
    <w:p>
      <w:pPr>
        <w:pStyle w:val="4"/>
        <w:shd w:val="clear" w:color="auto" w:fill="FFFFFF"/>
        <w:spacing w:before="0" w:beforeAutospacing="0" w:after="0" w:afterAutospacing="0" w:line="600" w:lineRule="exact"/>
        <w:ind w:firstLine="640" w:firstLineChars="200"/>
        <w:rPr>
          <w:rFonts w:ascii="方正仿宋_GBK" w:eastAsia="方正仿宋_GBK"/>
          <w:sz w:val="32"/>
          <w:szCs w:val="32"/>
        </w:rPr>
      </w:pPr>
      <w:r>
        <w:rPr>
          <w:rFonts w:hint="eastAsia" w:ascii="方正仿宋_GBK" w:eastAsia="方正仿宋_GBK"/>
          <w:sz w:val="32"/>
          <w:szCs w:val="32"/>
        </w:rPr>
        <w:t>（2）社会保障与就业支出870.42万元，占10.8%，较年初预算数增加170.86万 元，增长24.4%，主要原因是做实职业年金缴费和补发离退休人员以前年度综合目标考核奖励。</w:t>
      </w:r>
    </w:p>
    <w:p>
      <w:pPr>
        <w:pStyle w:val="4"/>
        <w:shd w:val="clear" w:color="auto" w:fill="FFFFFF"/>
        <w:spacing w:before="0" w:beforeAutospacing="0" w:after="0" w:afterAutospacing="0" w:line="600" w:lineRule="exact"/>
        <w:ind w:firstLine="640" w:firstLineChars="200"/>
        <w:rPr>
          <w:rFonts w:ascii="方正仿宋_GBK" w:eastAsia="方正仿宋_GBK"/>
          <w:sz w:val="32"/>
          <w:szCs w:val="32"/>
        </w:rPr>
      </w:pPr>
      <w:r>
        <w:rPr>
          <w:rFonts w:hint="eastAsia" w:ascii="方正仿宋_GBK" w:eastAsia="方正仿宋_GBK"/>
          <w:sz w:val="32"/>
          <w:szCs w:val="32"/>
        </w:rPr>
        <w:t>（3）卫生健康支出287.09万元，占3.6%，较年初预算数增加5.72万 元，增长2%，主要原因是人员变动增加医疗保险缴费。</w:t>
      </w:r>
    </w:p>
    <w:p>
      <w:pPr>
        <w:pStyle w:val="4"/>
        <w:shd w:val="clear" w:color="auto" w:fill="FFFFFF"/>
        <w:spacing w:before="0" w:beforeAutospacing="0" w:after="0" w:afterAutospacing="0" w:line="600" w:lineRule="exact"/>
        <w:ind w:firstLine="640" w:firstLineChars="200"/>
        <w:rPr>
          <w:rFonts w:ascii="方正仿宋_GBK" w:eastAsia="方正仿宋_GBK"/>
          <w:sz w:val="32"/>
          <w:szCs w:val="32"/>
        </w:rPr>
      </w:pPr>
      <w:r>
        <w:rPr>
          <w:rFonts w:hint="eastAsia" w:ascii="方正仿宋_GBK" w:eastAsia="方正仿宋_GBK"/>
          <w:sz w:val="32"/>
          <w:szCs w:val="32"/>
        </w:rPr>
        <w:t>（4）住房保障支出300.70万元，占3.7%，较年初预算数增加7.22万 元，增长2.5%，主要原因是人员变动增加住房公积金缴费。</w:t>
      </w:r>
    </w:p>
    <w:p>
      <w:pPr>
        <w:pStyle w:val="4"/>
        <w:shd w:val="clear" w:color="auto" w:fill="FFFFFF"/>
        <w:spacing w:before="0" w:beforeAutospacing="0" w:after="0" w:afterAutospacing="0" w:line="600" w:lineRule="exact"/>
        <w:ind w:firstLine="643" w:firstLineChars="200"/>
        <w:rPr>
          <w:rFonts w:eastAsia="方正楷体_GBK"/>
          <w:sz w:val="32"/>
          <w:szCs w:val="32"/>
        </w:rPr>
      </w:pPr>
      <w:r>
        <w:rPr>
          <w:rFonts w:hint="eastAsia" w:eastAsia="方正楷体_GBK"/>
          <w:b/>
          <w:bCs/>
          <w:sz w:val="32"/>
          <w:szCs w:val="32"/>
        </w:rPr>
        <w:t>（四）一般公共预算财政拨款基本支出决算情况说明</w:t>
      </w:r>
    </w:p>
    <w:p>
      <w:pPr>
        <w:pStyle w:val="4"/>
        <w:shd w:val="clear" w:color="auto" w:fill="FFFFFF"/>
        <w:spacing w:before="0" w:beforeAutospacing="0" w:after="0" w:afterAutospacing="0" w:line="600" w:lineRule="exact"/>
        <w:ind w:firstLine="640" w:firstLineChars="200"/>
        <w:rPr>
          <w:rFonts w:ascii="方正仿宋_GBK" w:eastAsia="方正仿宋_GBK"/>
          <w:sz w:val="32"/>
          <w:szCs w:val="32"/>
        </w:rPr>
      </w:pPr>
      <w:r>
        <w:rPr>
          <w:rFonts w:hint="eastAsia" w:ascii="方正仿宋_GBK" w:eastAsia="方正仿宋_GBK"/>
          <w:sz w:val="32"/>
          <w:szCs w:val="32"/>
        </w:rPr>
        <w:t>2020年度一般公共财政拨款基本支出5,846.95万元。其中：人员经费5,200.68万元，较上年决算数增加304.14万 元，增长6.2%，主要原因是补发综合目标考核绩效和做实职业年金缴费。人员经费用途主要包括职工工资福利支出和对离退休人员、学生个人和家庭的补助。公用经费646.28万元，较上年决算数减少12.78万元，下降1.9%，主要原因是受疫情影响</w:t>
      </w:r>
      <w:r>
        <w:rPr>
          <w:rFonts w:hint="eastAsia" w:ascii="方正仿宋_GBK" w:eastAsia="方正仿宋_GBK"/>
          <w:sz w:val="32"/>
          <w:szCs w:val="32"/>
          <w:lang w:eastAsia="zh-CN"/>
        </w:rPr>
        <w:t>，</w:t>
      </w:r>
      <w:r>
        <w:rPr>
          <w:rFonts w:hint="eastAsia" w:ascii="方正仿宋_GBK" w:eastAsia="方正仿宋_GBK"/>
          <w:sz w:val="32"/>
          <w:szCs w:val="32"/>
        </w:rPr>
        <w:t>上半年三、四月份学生在家线上学习，未到学校上课，致日常公用支出减少。公用经费用途主要包括办公费、水电费、差旅费等日常维持单位正常运转的商品和服务支出。</w:t>
      </w:r>
    </w:p>
    <w:p>
      <w:pPr>
        <w:pStyle w:val="4"/>
        <w:shd w:val="clear" w:color="auto" w:fill="FFFFFF"/>
        <w:spacing w:before="0" w:beforeAutospacing="0" w:after="0" w:afterAutospacing="0" w:line="600" w:lineRule="exact"/>
        <w:ind w:firstLine="643" w:firstLineChars="200"/>
        <w:rPr>
          <w:rFonts w:eastAsia="方正楷体_GBK"/>
          <w:sz w:val="32"/>
          <w:szCs w:val="32"/>
        </w:rPr>
      </w:pPr>
      <w:r>
        <w:rPr>
          <w:rFonts w:hint="eastAsia" w:eastAsia="方正楷体_GBK"/>
          <w:b/>
          <w:bCs/>
          <w:sz w:val="32"/>
          <w:szCs w:val="32"/>
        </w:rPr>
        <w:t>（</w:t>
      </w:r>
      <w:r>
        <w:rPr>
          <w:rFonts w:hint="eastAsia" w:eastAsia="方正楷体_GBK"/>
          <w:sz w:val="32"/>
          <w:szCs w:val="32"/>
        </w:rPr>
        <w:t>五）政</w:t>
      </w:r>
      <w:r>
        <w:rPr>
          <w:rFonts w:hint="eastAsia" w:eastAsia="方正楷体_GBK"/>
          <w:b/>
          <w:bCs/>
          <w:sz w:val="32"/>
          <w:szCs w:val="32"/>
        </w:rPr>
        <w:t>府性基金预算收支决算情况说明</w:t>
      </w:r>
    </w:p>
    <w:p>
      <w:pPr>
        <w:pStyle w:val="4"/>
        <w:shd w:val="clear" w:color="auto" w:fill="FFFFFF"/>
        <w:spacing w:before="0" w:beforeAutospacing="0" w:after="0" w:afterAutospacing="0" w:line="600" w:lineRule="exact"/>
        <w:ind w:firstLine="540" w:firstLineChars="200"/>
        <w:rPr>
          <w:sz w:val="27"/>
          <w:szCs w:val="27"/>
        </w:rPr>
      </w:pPr>
      <w:r>
        <w:rPr>
          <w:rFonts w:hint="eastAsia"/>
          <w:sz w:val="27"/>
          <w:szCs w:val="27"/>
        </w:rPr>
        <w:t> </w:t>
      </w:r>
      <w:r>
        <w:rPr>
          <w:rFonts w:hint="eastAsia" w:ascii="方正仿宋_GBK" w:eastAsia="方正仿宋_GBK"/>
          <w:sz w:val="32"/>
          <w:szCs w:val="32"/>
        </w:rPr>
        <w:t>本部门2020年度无政府性基金预算财政拨款收支。</w:t>
      </w:r>
    </w:p>
    <w:p>
      <w:pPr>
        <w:pStyle w:val="4"/>
        <w:shd w:val="clear" w:color="auto" w:fill="FFFFFF"/>
        <w:spacing w:before="0" w:beforeAutospacing="0" w:after="0" w:afterAutospacing="0" w:line="600" w:lineRule="exact"/>
        <w:ind w:firstLine="643" w:firstLineChars="200"/>
        <w:rPr>
          <w:rFonts w:eastAsia="方正楷体_GBK"/>
          <w:b/>
          <w:bCs/>
          <w:sz w:val="32"/>
          <w:szCs w:val="32"/>
        </w:rPr>
      </w:pPr>
      <w:r>
        <w:rPr>
          <w:rFonts w:hint="eastAsia" w:eastAsia="方正楷体_GBK"/>
          <w:b/>
          <w:bCs/>
          <w:sz w:val="32"/>
          <w:szCs w:val="32"/>
        </w:rPr>
        <w:t>（六）国有资本经营预算财政拨款</w:t>
      </w:r>
      <w:r>
        <w:rPr>
          <w:rFonts w:hint="eastAsia" w:eastAsia="方正楷体_GBK"/>
          <w:b/>
          <w:bCs/>
          <w:sz w:val="32"/>
          <w:szCs w:val="32"/>
          <w:lang w:eastAsia="zh-CN"/>
        </w:rPr>
        <w:t>支出</w:t>
      </w:r>
      <w:r>
        <w:rPr>
          <w:rFonts w:hint="eastAsia" w:eastAsia="方正楷体_GBK"/>
          <w:b/>
          <w:bCs/>
          <w:sz w:val="32"/>
          <w:szCs w:val="32"/>
        </w:rPr>
        <w:t>决算情况说明</w:t>
      </w:r>
    </w:p>
    <w:p>
      <w:pPr>
        <w:pStyle w:val="4"/>
        <w:shd w:val="clear" w:color="auto" w:fill="FFFFFF"/>
        <w:spacing w:before="0" w:beforeAutospacing="0" w:after="0" w:afterAutospacing="0" w:line="600" w:lineRule="exact"/>
        <w:ind w:firstLine="540" w:firstLineChars="200"/>
      </w:pPr>
      <w:r>
        <w:rPr>
          <w:rFonts w:hint="eastAsia"/>
          <w:sz w:val="27"/>
          <w:szCs w:val="27"/>
        </w:rPr>
        <w:t> </w:t>
      </w:r>
      <w:r>
        <w:rPr>
          <w:rFonts w:hint="eastAsia" w:ascii="方正仿宋_GBK" w:eastAsia="方正仿宋_GBK"/>
          <w:sz w:val="32"/>
          <w:szCs w:val="32"/>
        </w:rPr>
        <w:t>本部门2020年度无国有资本经营预算财政拨款支出。</w:t>
      </w:r>
    </w:p>
    <w:p>
      <w:pPr>
        <w:pStyle w:val="4"/>
        <w:shd w:val="clear" w:color="auto" w:fill="FFFFFF"/>
        <w:spacing w:before="0" w:beforeAutospacing="0" w:after="0" w:afterAutospacing="0" w:line="600" w:lineRule="exact"/>
        <w:ind w:firstLine="643" w:firstLineChars="200"/>
        <w:rPr>
          <w:rStyle w:val="7"/>
          <w:rFonts w:ascii="方正黑体_GBK" w:eastAsia="方正黑体_GBK"/>
          <w:b w:val="0"/>
          <w:sz w:val="32"/>
          <w:szCs w:val="32"/>
        </w:rPr>
      </w:pPr>
      <w:r>
        <w:rPr>
          <w:rStyle w:val="7"/>
          <w:rFonts w:hint="eastAsia" w:ascii="方正黑体_GBK" w:eastAsia="方正黑体_GBK"/>
          <w:bCs w:val="0"/>
          <w:sz w:val="32"/>
          <w:szCs w:val="32"/>
        </w:rPr>
        <w:t>三、“三公”经费情况说明</w:t>
      </w:r>
    </w:p>
    <w:p>
      <w:pPr>
        <w:pStyle w:val="4"/>
        <w:shd w:val="clear" w:color="auto" w:fill="FFFFFF"/>
        <w:spacing w:before="0" w:beforeAutospacing="0" w:after="0" w:afterAutospacing="0" w:line="600" w:lineRule="exact"/>
        <w:ind w:firstLine="643" w:firstLineChars="200"/>
        <w:rPr>
          <w:rFonts w:eastAsia="方正楷体_GBK"/>
          <w:b/>
          <w:bCs/>
          <w:sz w:val="32"/>
          <w:szCs w:val="32"/>
        </w:rPr>
      </w:pPr>
      <w:r>
        <w:rPr>
          <w:rFonts w:hint="eastAsia" w:eastAsia="方正楷体_GBK"/>
          <w:b/>
          <w:bCs/>
          <w:sz w:val="32"/>
          <w:szCs w:val="32"/>
        </w:rPr>
        <w:t>（一）“三公”经费支出总体情况说明</w:t>
      </w:r>
    </w:p>
    <w:p>
      <w:pPr>
        <w:pStyle w:val="4"/>
        <w:shd w:val="clear" w:color="auto" w:fill="FFFFFF"/>
        <w:spacing w:before="0" w:beforeAutospacing="0" w:after="0" w:afterAutospacing="0" w:line="600" w:lineRule="exact"/>
        <w:ind w:firstLine="640" w:firstLineChars="200"/>
        <w:rPr>
          <w:rFonts w:ascii="方正仿宋_GBK" w:eastAsia="方正仿宋_GBK"/>
          <w:sz w:val="32"/>
          <w:szCs w:val="32"/>
        </w:rPr>
      </w:pPr>
      <w:r>
        <w:rPr>
          <w:rFonts w:hint="eastAsia" w:ascii="方正仿宋_GBK" w:eastAsia="方正仿宋_GBK"/>
          <w:sz w:val="32"/>
          <w:szCs w:val="32"/>
        </w:rPr>
        <w:t>2020年度“三公”经费支出共计6.79万元，较年初预算数减少4.71万元，下降41%，主要原因是本年疫情防控等因素控制公务接待人次，使导致公务接待费支出较预算减少。 较上年支出数减少0.12万 元，下降1.7%，主要原因是本年加强公车运行维护管理和进一步规范公务活动接待，使三公经费较上年下降。</w:t>
      </w:r>
    </w:p>
    <w:p>
      <w:pPr>
        <w:pStyle w:val="4"/>
        <w:shd w:val="clear" w:color="auto" w:fill="FFFFFF"/>
        <w:spacing w:before="0" w:beforeAutospacing="0" w:after="0" w:afterAutospacing="0" w:line="600" w:lineRule="exact"/>
        <w:ind w:firstLine="643" w:firstLineChars="200"/>
        <w:rPr>
          <w:rFonts w:eastAsia="方正楷体_GBK"/>
          <w:b/>
          <w:bCs/>
          <w:sz w:val="32"/>
          <w:szCs w:val="32"/>
        </w:rPr>
      </w:pPr>
      <w:r>
        <w:rPr>
          <w:rFonts w:hint="eastAsia" w:eastAsia="方正楷体_GBK"/>
          <w:b/>
          <w:bCs/>
          <w:sz w:val="32"/>
          <w:szCs w:val="32"/>
        </w:rPr>
        <w:t>（二）“三公”经费分项支出情况</w:t>
      </w:r>
    </w:p>
    <w:p>
      <w:pPr>
        <w:pStyle w:val="4"/>
        <w:shd w:val="clear" w:color="auto" w:fill="FFFFFF"/>
        <w:spacing w:before="0" w:beforeAutospacing="0" w:after="0" w:afterAutospacing="0" w:line="600" w:lineRule="exact"/>
        <w:ind w:firstLine="640" w:firstLineChars="200"/>
        <w:rPr>
          <w:rFonts w:ascii="方正仿宋_GBK" w:eastAsia="方正仿宋_GBK"/>
          <w:sz w:val="32"/>
          <w:szCs w:val="32"/>
        </w:rPr>
      </w:pPr>
      <w:r>
        <w:rPr>
          <w:rFonts w:hint="eastAsia" w:ascii="方正仿宋_GBK" w:eastAsia="方正仿宋_GBK"/>
          <w:sz w:val="32"/>
          <w:szCs w:val="32"/>
        </w:rPr>
        <w:t>2020年度本部门因公出国（境）费用0.00万元。费用支出较年初预算数增加0.00万元，增长0%。较上年支出数增加0.00万元，增长0%.主要原因是2020年本单位未发生因公出国（境）支出。</w:t>
      </w:r>
    </w:p>
    <w:p>
      <w:pPr>
        <w:pStyle w:val="4"/>
        <w:shd w:val="clear" w:color="auto" w:fill="FFFFFF"/>
        <w:spacing w:before="0" w:beforeAutospacing="0" w:after="0" w:afterAutospacing="0" w:line="600" w:lineRule="exact"/>
        <w:ind w:firstLine="640" w:firstLineChars="200"/>
        <w:rPr>
          <w:rFonts w:ascii="方正仿宋_GBK" w:eastAsia="方正仿宋_GBK"/>
          <w:sz w:val="32"/>
          <w:szCs w:val="32"/>
        </w:rPr>
      </w:pPr>
      <w:r>
        <w:rPr>
          <w:rFonts w:hint="eastAsia" w:ascii="方正仿宋_GBK" w:eastAsia="方正仿宋_GBK"/>
          <w:sz w:val="32"/>
          <w:szCs w:val="32"/>
        </w:rPr>
        <w:t>公务车购置费0.00万元。费用支出较年初预算数增加0.00万元，增长0%。较上年支出数增加0.00万元，增长0%。主要原因是2020年本单位未发生公务车购置支出。</w:t>
      </w:r>
    </w:p>
    <w:p>
      <w:pPr>
        <w:pStyle w:val="4"/>
        <w:shd w:val="clear" w:color="auto" w:fill="FFFFFF"/>
        <w:spacing w:before="0" w:beforeAutospacing="0" w:after="0" w:afterAutospacing="0" w:line="600" w:lineRule="exact"/>
        <w:ind w:firstLine="640" w:firstLineChars="200"/>
        <w:rPr>
          <w:rFonts w:ascii="方正仿宋_GBK" w:eastAsia="方正仿宋_GBK"/>
          <w:sz w:val="32"/>
          <w:szCs w:val="32"/>
        </w:rPr>
      </w:pPr>
      <w:r>
        <w:rPr>
          <w:rFonts w:hint="eastAsia" w:ascii="方正仿宋_GBK" w:eastAsia="方正仿宋_GBK"/>
          <w:sz w:val="32"/>
          <w:szCs w:val="32"/>
        </w:rPr>
        <w:t>公务车运行维护费3.36万元，主要用于公务用车燃料费、维修费、过路过桥费、保险费、安全奖励费用等支出。费用支出较年初预算数减少0.14万元，下降4%，主要原因是加强了公车使用管理，减少公务用车运行里程，减少了燃料费支出。较上年支出数减少0.03万元，下降0.9%，主要原因是加强了公车使用管理，减少公务用车运行里程，减少了燃料费支出。</w:t>
      </w:r>
    </w:p>
    <w:p>
      <w:pPr>
        <w:pStyle w:val="4"/>
        <w:shd w:val="clear" w:color="auto" w:fill="FFFFFF"/>
        <w:spacing w:before="0" w:beforeAutospacing="0" w:after="0" w:afterAutospacing="0" w:line="600" w:lineRule="exact"/>
        <w:ind w:firstLine="640" w:firstLineChars="200"/>
        <w:rPr>
          <w:rFonts w:ascii="方正仿宋_GBK" w:eastAsia="方正仿宋_GBK"/>
          <w:sz w:val="32"/>
          <w:szCs w:val="32"/>
        </w:rPr>
      </w:pPr>
      <w:r>
        <w:rPr>
          <w:rFonts w:hint="eastAsia" w:ascii="方正仿宋_GBK" w:eastAsia="方正仿宋_GBK"/>
          <w:sz w:val="32"/>
          <w:szCs w:val="32"/>
        </w:rPr>
        <w:t>公务接待费3.44万元，主要用于接待外单位来校参加会议、考察调研、执行任务、学习交流、检查指导和学术交流等公务活动开支的住宿费、餐费等。费用支出较年初预算数减少4.56万元，下降57%，主要原因是控制公务交流活动人次，减少费用支出。较上年支出数减少0.08万元，下降2.3%，主要原因是控制公务交流活动人次，减少费用支出。</w:t>
      </w:r>
    </w:p>
    <w:p>
      <w:pPr>
        <w:pStyle w:val="4"/>
        <w:shd w:val="clear" w:color="auto" w:fill="FFFFFF"/>
        <w:spacing w:before="0" w:beforeAutospacing="0" w:after="0" w:afterAutospacing="0" w:line="600" w:lineRule="exact"/>
        <w:ind w:firstLine="643" w:firstLineChars="200"/>
        <w:rPr>
          <w:b/>
          <w:bCs/>
        </w:rPr>
      </w:pPr>
      <w:r>
        <w:rPr>
          <w:rFonts w:hint="eastAsia" w:eastAsia="方正楷体_GBK"/>
          <w:b/>
          <w:bCs/>
          <w:sz w:val="32"/>
          <w:szCs w:val="32"/>
        </w:rPr>
        <w:t>（三）“三公”经费实物量情况</w:t>
      </w:r>
    </w:p>
    <w:p>
      <w:pPr>
        <w:pStyle w:val="4"/>
        <w:shd w:val="clear" w:color="auto" w:fill="FFFFFF"/>
        <w:spacing w:before="0" w:beforeAutospacing="0" w:after="0" w:afterAutospacing="0" w:line="600" w:lineRule="exact"/>
        <w:ind w:firstLine="640" w:firstLineChars="200"/>
        <w:rPr>
          <w:rFonts w:ascii="方正仿宋_GBK" w:eastAsia="方正仿宋_GBK"/>
          <w:sz w:val="32"/>
          <w:szCs w:val="32"/>
        </w:rPr>
      </w:pPr>
      <w:r>
        <w:rPr>
          <w:rFonts w:hint="eastAsia" w:ascii="方正仿宋_GBK" w:eastAsia="方正仿宋_GBK"/>
          <w:sz w:val="32"/>
          <w:szCs w:val="32"/>
        </w:rPr>
        <w:t>2020年度本部门因公出国（境）共计0个团组，0人；公务用车购置0辆，公务车保有量为1辆；国内公务接待36批次895人，其中：国内外 事接待0批次，0人；国（境）外公务接待0批次，0人。2020年本部门人均接待费38.41元，车均购置费0.00万元，车均维护费3.36万元。</w:t>
      </w:r>
    </w:p>
    <w:p>
      <w:pPr>
        <w:pStyle w:val="4"/>
        <w:shd w:val="clear" w:color="auto" w:fill="FFFFFF"/>
        <w:spacing w:before="0" w:beforeAutospacing="0" w:after="0" w:afterAutospacing="0" w:line="600" w:lineRule="exact"/>
        <w:ind w:firstLine="643" w:firstLineChars="200"/>
        <w:rPr>
          <w:rStyle w:val="7"/>
          <w:rFonts w:ascii="方正黑体_GBK" w:eastAsia="方正黑体_GBK"/>
          <w:bCs w:val="0"/>
          <w:sz w:val="32"/>
          <w:szCs w:val="32"/>
        </w:rPr>
      </w:pPr>
      <w:r>
        <w:rPr>
          <w:rStyle w:val="7"/>
          <w:rFonts w:hint="eastAsia" w:ascii="方正黑体_GBK" w:eastAsia="方正黑体_GBK"/>
          <w:bCs w:val="0"/>
          <w:sz w:val="32"/>
          <w:szCs w:val="32"/>
        </w:rPr>
        <w:t>四、其他需要说明的事项</w:t>
      </w:r>
    </w:p>
    <w:p>
      <w:pPr>
        <w:pStyle w:val="4"/>
        <w:shd w:val="clear" w:color="auto" w:fill="FFFFFF"/>
        <w:spacing w:before="0" w:beforeAutospacing="0" w:after="0" w:afterAutospacing="0" w:line="600" w:lineRule="exact"/>
        <w:ind w:firstLine="643" w:firstLineChars="200"/>
        <w:rPr>
          <w:rFonts w:eastAsia="方正楷体_GBK"/>
          <w:b/>
          <w:bCs/>
          <w:sz w:val="32"/>
          <w:szCs w:val="32"/>
        </w:rPr>
      </w:pPr>
      <w:r>
        <w:rPr>
          <w:rFonts w:hint="eastAsia" w:eastAsia="方正楷体_GBK"/>
          <w:b/>
          <w:sz w:val="32"/>
          <w:szCs w:val="32"/>
        </w:rPr>
        <w:t>（一）机关运行经费情况说明</w:t>
      </w:r>
    </w:p>
    <w:p>
      <w:pPr>
        <w:pStyle w:val="4"/>
        <w:shd w:val="clear" w:color="auto" w:fill="FFFFFF"/>
        <w:spacing w:before="0" w:beforeAutospacing="0" w:after="0" w:afterAutospacing="0" w:line="600" w:lineRule="exact"/>
        <w:ind w:firstLine="640" w:firstLineChars="200"/>
        <w:rPr>
          <w:rFonts w:ascii="方正仿宋_GBK" w:eastAsia="方正仿宋_GBK"/>
          <w:sz w:val="32"/>
          <w:szCs w:val="32"/>
        </w:rPr>
      </w:pPr>
      <w:r>
        <w:rPr>
          <w:rFonts w:hint="eastAsia" w:ascii="方正仿宋_GBK" w:eastAsia="方正仿宋_GBK"/>
          <w:sz w:val="32"/>
          <w:szCs w:val="32"/>
        </w:rPr>
        <w:t>2020年度本部门机关运行经费支出0.00万元。 机关运行经费较上年决算数增加0.00万元，增长0%，主要原因是按照部门决算列报口径，我单位不在机关运行经费统计范围之内。</w:t>
      </w:r>
    </w:p>
    <w:p>
      <w:pPr>
        <w:pStyle w:val="4"/>
        <w:shd w:val="clear" w:color="auto" w:fill="FFFFFF"/>
        <w:spacing w:before="0" w:beforeAutospacing="0" w:after="0" w:afterAutospacing="0" w:line="600" w:lineRule="exact"/>
        <w:ind w:firstLine="640" w:firstLineChars="200"/>
        <w:rPr>
          <w:rFonts w:ascii="方正仿宋_GBK" w:eastAsia="方正仿宋_GBK"/>
          <w:sz w:val="32"/>
          <w:szCs w:val="32"/>
        </w:rPr>
      </w:pPr>
      <w:r>
        <w:rPr>
          <w:rFonts w:hint="eastAsia" w:ascii="方正仿宋_GBK" w:eastAsia="方正仿宋_GBK"/>
          <w:sz w:val="32"/>
          <w:szCs w:val="32"/>
        </w:rPr>
        <w:t>本年度会议费支出3.18万元，较上年决算数减少0.37万元，下降10.4%，主要原因是控制会议次数和会议物品采购数量。本年度培训费支出 44.91万元，较上年决算数减少11.24万元，下降20%，主要原因是疫情防控需要采购线上培训方式，减少外出培训人次，节约培训费用支出。</w:t>
      </w:r>
    </w:p>
    <w:p>
      <w:pPr>
        <w:pStyle w:val="4"/>
        <w:shd w:val="clear" w:color="auto" w:fill="FFFFFF"/>
        <w:spacing w:before="0" w:beforeAutospacing="0" w:after="0" w:afterAutospacing="0" w:line="600" w:lineRule="exact"/>
        <w:ind w:firstLine="643" w:firstLineChars="200"/>
        <w:rPr>
          <w:rFonts w:eastAsia="方正楷体_GBK"/>
          <w:b/>
          <w:bCs/>
          <w:sz w:val="32"/>
          <w:szCs w:val="32"/>
        </w:rPr>
      </w:pPr>
      <w:r>
        <w:rPr>
          <w:rFonts w:hint="eastAsia" w:eastAsia="方正楷体_GBK"/>
          <w:b/>
          <w:sz w:val="32"/>
          <w:szCs w:val="32"/>
        </w:rPr>
        <w:t>（二）国有资产占用情况说明</w:t>
      </w:r>
    </w:p>
    <w:p>
      <w:pPr>
        <w:pStyle w:val="4"/>
        <w:shd w:val="clear" w:color="auto" w:fill="FFFFFF"/>
        <w:spacing w:before="0" w:beforeAutospacing="0" w:after="0" w:afterAutospacing="0" w:line="600" w:lineRule="exact"/>
        <w:ind w:firstLine="640" w:firstLineChars="200"/>
        <w:rPr>
          <w:rFonts w:ascii="方正仿宋_GBK" w:eastAsia="方正仿宋_GBK"/>
          <w:sz w:val="32"/>
          <w:szCs w:val="32"/>
        </w:rPr>
      </w:pPr>
      <w:r>
        <w:rPr>
          <w:rFonts w:hint="eastAsia" w:ascii="方正仿宋_GBK" w:eastAsia="方正仿宋_GBK"/>
          <w:sz w:val="32"/>
          <w:szCs w:val="32"/>
        </w:rPr>
        <w:t>截至2020年12月31日，本部门共有车辆1辆，其中，副部（省）级及以上领导用车0辆、主要领导干部用车0辆、机要通信用车0辆、应急保障用车1辆、执法执勤用车0辆，特种专业技术用车0辆，离退休干部用车0辆，其他用车0辆。单价50万元（含）以上通用设备0台（套），单价100万元（含）以上专用设备0台（套）。</w:t>
      </w:r>
    </w:p>
    <w:p>
      <w:pPr>
        <w:pStyle w:val="4"/>
        <w:shd w:val="clear" w:color="auto" w:fill="FFFFFF"/>
        <w:spacing w:before="0" w:beforeAutospacing="0" w:after="0" w:afterAutospacing="0" w:line="600" w:lineRule="exact"/>
        <w:ind w:firstLine="643" w:firstLineChars="200"/>
        <w:rPr>
          <w:rFonts w:eastAsia="方正楷体_GBK"/>
          <w:b/>
          <w:bCs/>
          <w:sz w:val="32"/>
          <w:szCs w:val="32"/>
        </w:rPr>
      </w:pPr>
      <w:r>
        <w:rPr>
          <w:rFonts w:hint="eastAsia" w:eastAsia="方正楷体_GBK"/>
          <w:b/>
          <w:bCs/>
          <w:sz w:val="32"/>
          <w:szCs w:val="32"/>
        </w:rPr>
        <w:t>（三）政府采购支出情况说明</w:t>
      </w:r>
    </w:p>
    <w:p>
      <w:pPr>
        <w:pStyle w:val="4"/>
        <w:shd w:val="clear" w:color="auto" w:fill="FFFFFF"/>
        <w:spacing w:before="0" w:beforeAutospacing="0" w:after="0" w:afterAutospacing="0" w:line="600" w:lineRule="exact"/>
        <w:ind w:firstLine="640" w:firstLineChars="200"/>
        <w:rPr>
          <w:rFonts w:ascii="方正仿宋_GBK" w:eastAsia="方正仿宋_GBK"/>
          <w:sz w:val="32"/>
          <w:szCs w:val="32"/>
        </w:rPr>
      </w:pPr>
      <w:r>
        <w:rPr>
          <w:rFonts w:hint="eastAsia" w:ascii="方正仿宋_GBK" w:eastAsia="方正仿宋_GBK"/>
          <w:sz w:val="32"/>
          <w:szCs w:val="32"/>
        </w:rPr>
        <w:t>2020年度本部门政府采购支出总额126.51万元，其中：政府采购货物支出126.51万元、政府采购工程支出0.00万元、政府采购服务支出0.00万元。授予中小企业合同金额126.51万元，占政府采购支出总额的100%，其中：授予小微企业合同金额 126.51万元，占政府采购支出总额的100%。主要用于采购学生课桌凳、计算机、多媒体教学设备和操场广播系统设备等。</w:t>
      </w:r>
    </w:p>
    <w:p>
      <w:pPr>
        <w:pStyle w:val="4"/>
        <w:shd w:val="clear" w:color="auto" w:fill="FFFFFF"/>
        <w:spacing w:before="0" w:beforeAutospacing="0" w:after="0" w:afterAutospacing="0" w:line="600" w:lineRule="exact"/>
        <w:ind w:firstLine="643" w:firstLineChars="200"/>
        <w:rPr>
          <w:rStyle w:val="7"/>
          <w:rFonts w:ascii="方正黑体_GBK" w:eastAsia="方正黑体_GBK"/>
          <w:bCs w:val="0"/>
          <w:sz w:val="32"/>
          <w:szCs w:val="32"/>
        </w:rPr>
      </w:pPr>
      <w:r>
        <w:rPr>
          <w:rStyle w:val="7"/>
          <w:rFonts w:hint="eastAsia" w:ascii="方正黑体_GBK" w:eastAsia="方正黑体_GBK"/>
          <w:bCs w:val="0"/>
          <w:sz w:val="32"/>
          <w:szCs w:val="32"/>
        </w:rPr>
        <w:t>五、预算绩效管理情况说明</w:t>
      </w:r>
    </w:p>
    <w:p>
      <w:pPr>
        <w:pStyle w:val="4"/>
        <w:shd w:val="clear" w:color="auto" w:fill="FFFFFF"/>
        <w:spacing w:before="0" w:beforeAutospacing="0" w:after="0" w:afterAutospacing="0" w:line="600" w:lineRule="exact"/>
        <w:ind w:firstLine="643" w:firstLineChars="200"/>
        <w:rPr>
          <w:rFonts w:eastAsia="方正楷体_GBK"/>
          <w:b/>
          <w:sz w:val="32"/>
          <w:szCs w:val="32"/>
        </w:rPr>
      </w:pPr>
      <w:r>
        <w:rPr>
          <w:rFonts w:hint="eastAsia" w:eastAsia="方正楷体_GBK"/>
          <w:b/>
          <w:sz w:val="32"/>
          <w:szCs w:val="32"/>
        </w:rPr>
        <w:t>（一）预算绩效管理工作开展情况</w:t>
      </w:r>
    </w:p>
    <w:p>
      <w:pPr>
        <w:pStyle w:val="4"/>
        <w:shd w:val="clear" w:color="auto" w:fill="FFFFFF"/>
        <w:spacing w:before="0" w:beforeAutospacing="0" w:after="0" w:afterAutospacing="0" w:line="600" w:lineRule="exact"/>
        <w:ind w:firstLine="640" w:firstLineChars="200"/>
        <w:rPr>
          <w:rFonts w:ascii="方正仿宋_GBK" w:eastAsia="方正仿宋_GBK"/>
          <w:sz w:val="32"/>
          <w:szCs w:val="32"/>
        </w:rPr>
      </w:pPr>
      <w:r>
        <w:rPr>
          <w:rFonts w:hint="eastAsia" w:ascii="方正仿宋_GBK" w:eastAsia="方正仿宋_GBK"/>
          <w:sz w:val="32"/>
          <w:szCs w:val="32"/>
        </w:rPr>
        <w:t>根据预算绩效管理要求，本部门对10个项目开展了绩效自评，其中，以填报目标自评表形式开展自评10项，涉及资金2339.15万元；从评价情况来看，在学校绩效评价小组领导下，通过对师生、家庭走访调查和各处室自查，本年度各个项目的实施取得了较好的成效。</w:t>
      </w:r>
    </w:p>
    <w:p>
      <w:pPr>
        <w:pStyle w:val="4"/>
        <w:shd w:val="clear" w:color="auto" w:fill="FFFFFF"/>
        <w:spacing w:before="0" w:beforeAutospacing="0" w:after="0" w:afterAutospacing="0" w:line="600" w:lineRule="exact"/>
        <w:ind w:firstLine="643" w:firstLineChars="200"/>
        <w:rPr>
          <w:rFonts w:eastAsia="方正楷体_GBK"/>
          <w:bCs/>
          <w:sz w:val="32"/>
          <w:szCs w:val="32"/>
        </w:rPr>
      </w:pPr>
      <w:r>
        <w:rPr>
          <w:rFonts w:hint="eastAsia" w:eastAsia="方正楷体_GBK"/>
          <w:b/>
          <w:sz w:val="32"/>
          <w:szCs w:val="32"/>
        </w:rPr>
        <w:t>（二）绩效自评结果</w:t>
      </w:r>
    </w:p>
    <w:p>
      <w:pPr>
        <w:pStyle w:val="4"/>
        <w:shd w:val="clear" w:color="auto" w:fill="FFFFFF"/>
        <w:spacing w:before="0" w:beforeAutospacing="0" w:after="0" w:afterAutospacing="0" w:line="600" w:lineRule="exact"/>
        <w:ind w:firstLine="643" w:firstLineChars="200"/>
        <w:rPr>
          <w:rFonts w:eastAsia="方正楷体_GBK"/>
          <w:b/>
          <w:sz w:val="32"/>
          <w:szCs w:val="32"/>
        </w:rPr>
      </w:pPr>
      <w:r>
        <w:rPr>
          <w:rFonts w:hint="eastAsia" w:eastAsia="方正楷体_GBK"/>
          <w:b/>
          <w:sz w:val="32"/>
          <w:szCs w:val="32"/>
        </w:rPr>
        <w:t>1.绩效自评表</w:t>
      </w:r>
    </w:p>
    <w:p>
      <w:pPr>
        <w:pStyle w:val="4"/>
        <w:shd w:val="clear" w:color="auto" w:fill="FFFFFF"/>
        <w:spacing w:before="0" w:beforeAutospacing="0" w:after="0" w:afterAutospacing="0" w:line="600" w:lineRule="exact"/>
        <w:ind w:firstLine="640" w:firstLineChars="200"/>
        <w:rPr>
          <w:rFonts w:ascii="方正仿宋_GBK" w:eastAsia="方正仿宋_GBK"/>
          <w:sz w:val="32"/>
          <w:szCs w:val="32"/>
        </w:rPr>
      </w:pPr>
      <w:r>
        <w:rPr>
          <w:rFonts w:hint="eastAsia" w:ascii="方正仿宋_GBK" w:eastAsia="方正仿宋_GBK"/>
          <w:sz w:val="32"/>
          <w:szCs w:val="32"/>
        </w:rPr>
        <w:t>见附件1</w:t>
      </w:r>
    </w:p>
    <w:p>
      <w:pPr>
        <w:pStyle w:val="4"/>
        <w:shd w:val="clear" w:color="auto" w:fill="FFFFFF"/>
        <w:spacing w:before="0" w:beforeAutospacing="0" w:after="0" w:afterAutospacing="0" w:line="600" w:lineRule="exact"/>
        <w:ind w:firstLine="707" w:firstLineChars="261"/>
      </w:pPr>
      <w:r>
        <w:rPr>
          <w:rStyle w:val="7"/>
          <w:rFonts w:hint="eastAsia"/>
          <w:sz w:val="27"/>
          <w:szCs w:val="27"/>
        </w:rPr>
        <w:t>2.绩效自评报告或案例</w:t>
      </w:r>
    </w:p>
    <w:p>
      <w:pPr>
        <w:pStyle w:val="4"/>
        <w:shd w:val="clear" w:color="auto" w:fill="FFFFFF"/>
        <w:spacing w:before="0" w:beforeAutospacing="0" w:after="0" w:afterAutospacing="0" w:line="600" w:lineRule="exact"/>
        <w:ind w:firstLine="640" w:firstLineChars="200"/>
        <w:rPr>
          <w:rFonts w:ascii="方正仿宋_GBK" w:eastAsia="方正仿宋_GBK"/>
          <w:sz w:val="32"/>
          <w:szCs w:val="32"/>
        </w:rPr>
      </w:pPr>
      <w:r>
        <w:rPr>
          <w:rFonts w:hint="eastAsia" w:ascii="方正仿宋_GBK" w:eastAsia="方正仿宋_GBK"/>
          <w:sz w:val="32"/>
          <w:szCs w:val="32"/>
        </w:rPr>
        <w:t>见附件1</w:t>
      </w:r>
    </w:p>
    <w:p>
      <w:pPr>
        <w:pStyle w:val="4"/>
        <w:shd w:val="clear" w:color="auto" w:fill="FFFFFF"/>
        <w:spacing w:before="0" w:beforeAutospacing="0" w:after="0" w:afterAutospacing="0" w:line="600" w:lineRule="exact"/>
        <w:ind w:firstLine="643" w:firstLineChars="200"/>
        <w:rPr>
          <w:rFonts w:ascii="方正仿宋_GBK" w:eastAsia="方正仿宋_GBK"/>
          <w:sz w:val="32"/>
          <w:szCs w:val="32"/>
        </w:rPr>
      </w:pPr>
      <w:r>
        <w:rPr>
          <w:rFonts w:hint="eastAsia" w:eastAsia="方正楷体_GBK"/>
          <w:b/>
          <w:sz w:val="32"/>
          <w:szCs w:val="32"/>
        </w:rPr>
        <w:t>（三）重点绩效评价结果</w:t>
      </w:r>
    </w:p>
    <w:p>
      <w:pPr>
        <w:pStyle w:val="4"/>
        <w:shd w:val="clear" w:color="auto" w:fill="FFFFFF"/>
        <w:spacing w:before="0" w:beforeAutospacing="0" w:after="0" w:afterAutospacing="0" w:line="600" w:lineRule="exact"/>
        <w:ind w:firstLine="640" w:firstLineChars="200"/>
        <w:rPr>
          <w:rFonts w:ascii="方正仿宋_GBK" w:eastAsia="方正仿宋_GBK"/>
          <w:sz w:val="32"/>
          <w:szCs w:val="32"/>
        </w:rPr>
      </w:pPr>
      <w:r>
        <w:rPr>
          <w:rFonts w:hint="eastAsia" w:ascii="方正仿宋_GBK" w:eastAsia="方正仿宋_GBK"/>
          <w:sz w:val="32"/>
          <w:szCs w:val="32"/>
        </w:rPr>
        <w:t>本单位无重点</w:t>
      </w:r>
      <w:r>
        <w:rPr>
          <w:rFonts w:hint="eastAsia" w:ascii="方正仿宋_GBK" w:eastAsia="方正仿宋_GBK"/>
          <w:sz w:val="32"/>
          <w:szCs w:val="32"/>
          <w:lang w:eastAsia="zh-CN"/>
        </w:rPr>
        <w:t>绩效</w:t>
      </w:r>
      <w:r>
        <w:rPr>
          <w:rFonts w:hint="eastAsia" w:ascii="方正仿宋_GBK" w:eastAsia="方正仿宋_GBK"/>
          <w:sz w:val="32"/>
          <w:szCs w:val="32"/>
        </w:rPr>
        <w:t>评价项目</w:t>
      </w:r>
    </w:p>
    <w:p>
      <w:pPr>
        <w:pStyle w:val="4"/>
        <w:shd w:val="clear" w:color="auto" w:fill="FFFFFF"/>
        <w:spacing w:before="0" w:beforeAutospacing="0" w:after="0" w:afterAutospacing="0" w:line="600" w:lineRule="exact"/>
        <w:ind w:firstLine="643" w:firstLineChars="200"/>
        <w:rPr>
          <w:rStyle w:val="7"/>
          <w:rFonts w:ascii="方正黑体_GBK" w:eastAsia="方正黑体_GBK"/>
          <w:bCs w:val="0"/>
          <w:sz w:val="32"/>
          <w:szCs w:val="32"/>
        </w:rPr>
      </w:pPr>
      <w:r>
        <w:rPr>
          <w:rStyle w:val="7"/>
          <w:rFonts w:hint="eastAsia" w:ascii="方正黑体_GBK" w:eastAsia="方正黑体_GBK"/>
          <w:bCs w:val="0"/>
          <w:sz w:val="32"/>
          <w:szCs w:val="32"/>
        </w:rPr>
        <w:t>六、专业名词解释</w:t>
      </w:r>
    </w:p>
    <w:p>
      <w:pPr>
        <w:pStyle w:val="4"/>
        <w:shd w:val="clear" w:color="auto" w:fill="FFFFFF"/>
        <w:spacing w:before="0" w:beforeAutospacing="0" w:after="0" w:afterAutospacing="0" w:line="600" w:lineRule="exact"/>
        <w:ind w:firstLine="643" w:firstLineChars="200"/>
      </w:pPr>
      <w:r>
        <w:rPr>
          <w:rFonts w:hint="eastAsia" w:eastAsia="方正楷体_GBK"/>
          <w:b/>
          <w:sz w:val="32"/>
          <w:szCs w:val="32"/>
        </w:rPr>
        <w:t>（一）财政拨款收入</w:t>
      </w:r>
      <w:r>
        <w:rPr>
          <w:rFonts w:hint="eastAsia"/>
          <w:sz w:val="27"/>
          <w:szCs w:val="27"/>
        </w:rPr>
        <w:t>：</w:t>
      </w:r>
      <w:r>
        <w:rPr>
          <w:rFonts w:hint="eastAsia" w:ascii="方正仿宋_GBK" w:eastAsia="方正仿宋_GBK"/>
          <w:sz w:val="32"/>
          <w:szCs w:val="32"/>
        </w:rPr>
        <w:t>指本年度从本级财政部门取得的财政拨款，包括一般公共预算财政拨款和政府性基金预算财政拨款。</w:t>
      </w:r>
    </w:p>
    <w:p>
      <w:pPr>
        <w:pStyle w:val="4"/>
        <w:shd w:val="clear" w:color="auto" w:fill="FFFFFF"/>
        <w:spacing w:before="0" w:beforeAutospacing="0" w:after="0" w:afterAutospacing="0" w:line="600" w:lineRule="exact"/>
        <w:ind w:firstLine="643" w:firstLineChars="200"/>
        <w:rPr>
          <w:rFonts w:ascii="方正仿宋_GBK" w:eastAsia="方正仿宋_GBK"/>
          <w:sz w:val="32"/>
          <w:szCs w:val="32"/>
        </w:rPr>
      </w:pPr>
      <w:r>
        <w:rPr>
          <w:rFonts w:hint="eastAsia" w:eastAsia="方正楷体_GBK"/>
          <w:b/>
          <w:sz w:val="32"/>
          <w:szCs w:val="32"/>
        </w:rPr>
        <w:t>（二）事业收入</w:t>
      </w:r>
      <w:r>
        <w:rPr>
          <w:rFonts w:hint="eastAsia"/>
          <w:sz w:val="27"/>
          <w:szCs w:val="27"/>
        </w:rPr>
        <w:t>：</w:t>
      </w:r>
      <w:r>
        <w:rPr>
          <w:rFonts w:hint="eastAsia" w:ascii="方正仿宋_GBK" w:eastAsia="方正仿宋_GBK"/>
          <w:sz w:val="32"/>
          <w:szCs w:val="32"/>
        </w:rPr>
        <w:t>指事业单位开展专业业务活动及其辅助活动取得的现金流入；事业单位收到的财政专户实际核拨的教育收费等资金在此反映。</w:t>
      </w:r>
    </w:p>
    <w:p>
      <w:pPr>
        <w:pStyle w:val="4"/>
        <w:shd w:val="clear" w:color="auto" w:fill="FFFFFF"/>
        <w:spacing w:before="0" w:beforeAutospacing="0" w:after="0" w:afterAutospacing="0" w:line="600" w:lineRule="exact"/>
        <w:ind w:firstLine="643" w:firstLineChars="200"/>
        <w:rPr>
          <w:rFonts w:ascii="方正仿宋_GBK" w:eastAsia="方正仿宋_GBK"/>
          <w:sz w:val="32"/>
          <w:szCs w:val="32"/>
        </w:rPr>
      </w:pPr>
      <w:r>
        <w:rPr>
          <w:rFonts w:hint="eastAsia" w:eastAsia="方正楷体_GBK"/>
          <w:b/>
          <w:sz w:val="32"/>
          <w:szCs w:val="32"/>
        </w:rPr>
        <w:t>（三）经营收入</w:t>
      </w:r>
      <w:r>
        <w:rPr>
          <w:rFonts w:hint="eastAsia" w:eastAsia="方正楷体_GBK"/>
          <w:bCs/>
          <w:sz w:val="32"/>
          <w:szCs w:val="32"/>
        </w:rPr>
        <w:t>：</w:t>
      </w:r>
      <w:r>
        <w:rPr>
          <w:rFonts w:hint="eastAsia" w:ascii="方正仿宋_GBK" w:eastAsia="方正仿宋_GBK"/>
          <w:sz w:val="32"/>
          <w:szCs w:val="32"/>
        </w:rPr>
        <w:t>指事业单位在专业业务活动及其辅助活动之外开展非独立核算经营活动取得的现金流入。</w:t>
      </w:r>
    </w:p>
    <w:p>
      <w:pPr>
        <w:pStyle w:val="4"/>
        <w:shd w:val="clear" w:color="auto" w:fill="FFFFFF"/>
        <w:spacing w:before="0" w:beforeAutospacing="0" w:after="0" w:afterAutospacing="0" w:line="600" w:lineRule="exact"/>
        <w:ind w:firstLine="643" w:firstLineChars="200"/>
        <w:rPr>
          <w:rFonts w:ascii="方正仿宋_GBK" w:eastAsia="方正仿宋_GBK"/>
          <w:sz w:val="32"/>
          <w:szCs w:val="32"/>
        </w:rPr>
      </w:pPr>
      <w:r>
        <w:rPr>
          <w:rFonts w:hint="eastAsia" w:eastAsia="方正楷体_GBK"/>
          <w:b/>
          <w:sz w:val="32"/>
          <w:szCs w:val="32"/>
        </w:rPr>
        <w:t>（四）其他收入</w:t>
      </w:r>
      <w:r>
        <w:rPr>
          <w:rFonts w:hint="eastAsia" w:eastAsia="方正楷体_GBK"/>
          <w:bCs/>
          <w:sz w:val="32"/>
          <w:szCs w:val="32"/>
        </w:rPr>
        <w:t>：</w:t>
      </w:r>
      <w:r>
        <w:rPr>
          <w:rFonts w:hint="eastAsia" w:ascii="方正仿宋_GBK" w:eastAsia="方正仿宋_GBK"/>
          <w:sz w:val="32"/>
          <w:szCs w:val="32"/>
        </w:rPr>
        <w:t>指单位取得的除“财政拨款收入”、“事业收入”、“经营收入”等以外的收入，包括未纳入财政预算或财政专户管理的投资收益、银行存款利息收入、租金收入、捐赠收入，现金盘盈收入、存货盘盈收入、收回已核销的应收及预付款项、无法偿付的应付及预收款项等。各单位从本级财政部门以外的同级单位取得的经费、从非本级财政部门取得的经费，以及行政单位收到的财政专户管理资金反映在本项内。</w:t>
      </w:r>
    </w:p>
    <w:p>
      <w:pPr>
        <w:pStyle w:val="4"/>
        <w:shd w:val="clear" w:color="auto" w:fill="FFFFFF"/>
        <w:spacing w:before="0" w:beforeAutospacing="0" w:after="0" w:afterAutospacing="0" w:line="600" w:lineRule="exact"/>
        <w:ind w:firstLine="643" w:firstLineChars="200"/>
        <w:rPr>
          <w:rFonts w:ascii="方正仿宋_GBK" w:eastAsia="方正仿宋_GBK"/>
          <w:sz w:val="32"/>
          <w:szCs w:val="32"/>
        </w:rPr>
      </w:pPr>
      <w:r>
        <w:rPr>
          <w:rFonts w:hint="eastAsia" w:eastAsia="方正楷体_GBK"/>
          <w:b/>
          <w:sz w:val="32"/>
          <w:szCs w:val="32"/>
        </w:rPr>
        <w:t>（五）使用非财政拨款结余</w:t>
      </w:r>
      <w:r>
        <w:rPr>
          <w:rFonts w:hint="eastAsia" w:eastAsia="方正楷体_GBK"/>
          <w:bCs/>
          <w:sz w:val="32"/>
          <w:szCs w:val="32"/>
        </w:rPr>
        <w:t>：</w:t>
      </w:r>
      <w:r>
        <w:rPr>
          <w:rFonts w:hint="eastAsia" w:ascii="方正仿宋_GBK" w:eastAsia="方正仿宋_GBK"/>
          <w:sz w:val="32"/>
          <w:szCs w:val="32"/>
        </w:rPr>
        <w:t>指单位在当年的“财政拨款收入”、“事业收入”、“经营收入”、“其他收入”等不足以安排当年支出的情况下，使用以前年度积累的非财政拨款结余弥补本年度收支缺口的资金。</w:t>
      </w:r>
    </w:p>
    <w:p>
      <w:pPr>
        <w:pStyle w:val="4"/>
        <w:shd w:val="clear" w:color="auto" w:fill="FFFFFF"/>
        <w:spacing w:before="0" w:beforeAutospacing="0" w:after="0" w:afterAutospacing="0" w:line="600" w:lineRule="exact"/>
        <w:ind w:firstLine="643" w:firstLineChars="200"/>
        <w:rPr>
          <w:rFonts w:ascii="方正仿宋_GBK" w:eastAsia="方正仿宋_GBK"/>
          <w:sz w:val="32"/>
          <w:szCs w:val="32"/>
        </w:rPr>
      </w:pPr>
      <w:r>
        <w:rPr>
          <w:rFonts w:hint="eastAsia" w:eastAsia="方正楷体_GBK"/>
          <w:b/>
          <w:sz w:val="32"/>
          <w:szCs w:val="32"/>
        </w:rPr>
        <w:t>（六）年初结转和结余</w:t>
      </w:r>
      <w:r>
        <w:rPr>
          <w:rFonts w:hint="eastAsia" w:eastAsia="方正楷体_GBK"/>
          <w:bCs/>
          <w:sz w:val="32"/>
          <w:szCs w:val="32"/>
        </w:rPr>
        <w:t>：</w:t>
      </w:r>
      <w:r>
        <w:rPr>
          <w:rFonts w:hint="eastAsia" w:ascii="方正仿宋_GBK" w:eastAsia="方正仿宋_GBK"/>
          <w:sz w:val="32"/>
          <w:szCs w:val="32"/>
        </w:rPr>
        <w:t>指单位上年结转本年使用的基本支出结转、项目支出结转和结余、经营结余。</w:t>
      </w:r>
    </w:p>
    <w:p>
      <w:pPr>
        <w:pStyle w:val="4"/>
        <w:shd w:val="clear" w:color="auto" w:fill="FFFFFF"/>
        <w:spacing w:before="0" w:beforeAutospacing="0" w:after="0" w:afterAutospacing="0" w:line="600" w:lineRule="exact"/>
        <w:ind w:firstLine="643" w:firstLineChars="200"/>
      </w:pPr>
      <w:r>
        <w:rPr>
          <w:rFonts w:hint="eastAsia" w:eastAsia="方正楷体_GBK"/>
          <w:b/>
          <w:sz w:val="32"/>
          <w:szCs w:val="32"/>
        </w:rPr>
        <w:t>（七）结余分配</w:t>
      </w:r>
      <w:r>
        <w:rPr>
          <w:rFonts w:hint="eastAsia" w:eastAsia="方正楷体_GBK"/>
          <w:bCs/>
          <w:sz w:val="32"/>
          <w:szCs w:val="32"/>
        </w:rPr>
        <w:t>：</w:t>
      </w:r>
      <w:r>
        <w:rPr>
          <w:rFonts w:hint="eastAsia" w:ascii="方正仿宋_GBK" w:eastAsia="方正仿宋_GBK"/>
          <w:sz w:val="32"/>
          <w:szCs w:val="32"/>
        </w:rPr>
        <w:t>指单位按照国家有关规定，缴纳所得税、提取专用基金、转入非财政拨款结余等当年结余的分配情况。</w:t>
      </w:r>
    </w:p>
    <w:p>
      <w:pPr>
        <w:pStyle w:val="4"/>
        <w:shd w:val="clear" w:color="auto" w:fill="FFFFFF"/>
        <w:spacing w:before="0" w:beforeAutospacing="0" w:after="0" w:afterAutospacing="0" w:line="600" w:lineRule="exact"/>
        <w:ind w:firstLine="643" w:firstLineChars="200"/>
      </w:pPr>
      <w:r>
        <w:rPr>
          <w:rFonts w:hint="eastAsia" w:eastAsia="方正楷体_GBK"/>
          <w:b/>
          <w:sz w:val="32"/>
          <w:szCs w:val="32"/>
        </w:rPr>
        <w:t>（</w:t>
      </w:r>
      <w:r>
        <w:rPr>
          <w:rFonts w:hint="eastAsia" w:eastAsia="方正楷体_GBK"/>
          <w:bCs/>
          <w:sz w:val="32"/>
          <w:szCs w:val="32"/>
        </w:rPr>
        <w:t>八</w:t>
      </w:r>
      <w:r>
        <w:rPr>
          <w:rFonts w:hint="eastAsia" w:eastAsia="方正楷体_GBK"/>
          <w:b/>
          <w:sz w:val="32"/>
          <w:szCs w:val="32"/>
        </w:rPr>
        <w:t>）年末结转和结余</w:t>
      </w:r>
      <w:r>
        <w:rPr>
          <w:rFonts w:hint="eastAsia" w:eastAsia="方正楷体_GBK"/>
          <w:bCs/>
          <w:sz w:val="32"/>
          <w:szCs w:val="32"/>
        </w:rPr>
        <w:t>：</w:t>
      </w:r>
      <w:r>
        <w:rPr>
          <w:rFonts w:hint="eastAsia" w:ascii="方正仿宋_GBK" w:eastAsia="方正仿宋_GBK"/>
          <w:sz w:val="32"/>
          <w:szCs w:val="32"/>
        </w:rPr>
        <w:t>指单位结转下年的基本支出结转、项目支出结转和结余、经营结余。</w:t>
      </w:r>
    </w:p>
    <w:p>
      <w:pPr>
        <w:pStyle w:val="4"/>
        <w:shd w:val="clear" w:color="auto" w:fill="FFFFFF"/>
        <w:spacing w:before="0" w:beforeAutospacing="0" w:after="0" w:afterAutospacing="0" w:line="600" w:lineRule="exact"/>
        <w:ind w:firstLine="643" w:firstLineChars="200"/>
        <w:rPr>
          <w:rFonts w:ascii="方正仿宋_GBK" w:eastAsia="方正仿宋_GBK"/>
          <w:sz w:val="32"/>
          <w:szCs w:val="32"/>
        </w:rPr>
      </w:pPr>
      <w:r>
        <w:rPr>
          <w:rFonts w:hint="eastAsia" w:eastAsia="方正楷体_GBK"/>
          <w:b/>
          <w:sz w:val="32"/>
          <w:szCs w:val="32"/>
        </w:rPr>
        <w:t>（九）基本支出</w:t>
      </w:r>
      <w:r>
        <w:rPr>
          <w:rFonts w:hint="eastAsia" w:eastAsia="方正楷体_GBK"/>
          <w:bCs/>
          <w:sz w:val="32"/>
          <w:szCs w:val="32"/>
        </w:rPr>
        <w:t>：</w:t>
      </w:r>
      <w:r>
        <w:rPr>
          <w:rFonts w:hint="eastAsia" w:ascii="方正仿宋_GBK" w:eastAsia="方正仿宋_GBK"/>
          <w:sz w:val="32"/>
          <w:szCs w:val="32"/>
        </w:rPr>
        <w:t>指为保障机构正常运转、完成日常工作任务而发生的人员经费和公用经费。其中：人员经费指政府收支分类经济科目中的“工资福利支出”和“对个人和家庭的补助”；公用经费指政府收支分类经济科目中除“工资福利支出”和“对个人和家庭的补助”外的其他支出。</w:t>
      </w:r>
    </w:p>
    <w:p>
      <w:pPr>
        <w:pStyle w:val="4"/>
        <w:shd w:val="clear" w:color="auto" w:fill="FFFFFF"/>
        <w:spacing w:before="0" w:beforeAutospacing="0" w:after="0" w:afterAutospacing="0" w:line="600" w:lineRule="exact"/>
        <w:ind w:firstLine="643" w:firstLineChars="200"/>
        <w:rPr>
          <w:rFonts w:ascii="方正仿宋_GBK" w:eastAsia="方正仿宋_GBK"/>
          <w:sz w:val="32"/>
          <w:szCs w:val="32"/>
        </w:rPr>
      </w:pPr>
      <w:r>
        <w:rPr>
          <w:rFonts w:hint="eastAsia" w:eastAsia="方正楷体_GBK"/>
          <w:b/>
          <w:sz w:val="32"/>
          <w:szCs w:val="32"/>
        </w:rPr>
        <w:t>（十）项目支出</w:t>
      </w:r>
      <w:r>
        <w:rPr>
          <w:rFonts w:hint="eastAsia" w:eastAsia="方正楷体_GBK"/>
          <w:bCs/>
          <w:sz w:val="32"/>
          <w:szCs w:val="32"/>
        </w:rPr>
        <w:t>：</w:t>
      </w:r>
      <w:r>
        <w:rPr>
          <w:rFonts w:hint="eastAsia" w:ascii="方正仿宋_GBK" w:eastAsia="方正仿宋_GBK"/>
          <w:sz w:val="32"/>
          <w:szCs w:val="32"/>
        </w:rPr>
        <w:t>指在基本支出之外为完成特定行政任务和事业发展目标所发生的支出。</w:t>
      </w:r>
    </w:p>
    <w:p>
      <w:pPr>
        <w:pStyle w:val="4"/>
        <w:shd w:val="clear" w:color="auto" w:fill="FFFFFF"/>
        <w:spacing w:before="0" w:beforeAutospacing="0" w:after="0" w:afterAutospacing="0" w:line="600" w:lineRule="exact"/>
        <w:ind w:firstLine="643" w:firstLineChars="200"/>
        <w:rPr>
          <w:rFonts w:ascii="方正仿宋_GBK" w:eastAsia="方正仿宋_GBK"/>
          <w:sz w:val="32"/>
          <w:szCs w:val="32"/>
        </w:rPr>
      </w:pPr>
      <w:r>
        <w:rPr>
          <w:rFonts w:hint="eastAsia" w:eastAsia="方正楷体_GBK"/>
          <w:b/>
          <w:sz w:val="32"/>
          <w:szCs w:val="32"/>
        </w:rPr>
        <w:t>（十一）经营支出</w:t>
      </w:r>
      <w:r>
        <w:rPr>
          <w:rFonts w:hint="eastAsia"/>
          <w:sz w:val="27"/>
          <w:szCs w:val="27"/>
        </w:rPr>
        <w:t>：</w:t>
      </w:r>
      <w:r>
        <w:rPr>
          <w:rFonts w:hint="eastAsia" w:ascii="方正仿宋_GBK" w:eastAsia="方正仿宋_GBK"/>
          <w:sz w:val="32"/>
          <w:szCs w:val="32"/>
        </w:rPr>
        <w:t>指事业单位在专业业务活动及其辅助活动之外开展非独立核算经营活动发生的支出。</w:t>
      </w:r>
    </w:p>
    <w:p>
      <w:pPr>
        <w:pStyle w:val="4"/>
        <w:shd w:val="clear" w:color="auto" w:fill="FFFFFF"/>
        <w:spacing w:before="0" w:beforeAutospacing="0" w:after="0" w:afterAutospacing="0" w:line="600" w:lineRule="exact"/>
        <w:ind w:firstLine="643" w:firstLineChars="200"/>
        <w:rPr>
          <w:rFonts w:ascii="方正仿宋_GBK" w:eastAsia="方正仿宋_GBK"/>
          <w:sz w:val="32"/>
          <w:szCs w:val="32"/>
        </w:rPr>
      </w:pPr>
      <w:r>
        <w:rPr>
          <w:rFonts w:hint="eastAsia" w:eastAsia="方正楷体_GBK"/>
          <w:b/>
          <w:sz w:val="32"/>
          <w:szCs w:val="32"/>
        </w:rPr>
        <w:t>（十二）“三公”经费</w:t>
      </w:r>
      <w:r>
        <w:rPr>
          <w:rFonts w:hint="eastAsia" w:eastAsia="方正楷体_GBK"/>
          <w:bCs/>
          <w:sz w:val="32"/>
          <w:szCs w:val="32"/>
        </w:rPr>
        <w:t>：</w:t>
      </w:r>
      <w:r>
        <w:rPr>
          <w:rFonts w:hint="eastAsia" w:ascii="方正仿宋_GBK" w:eastAsia="方正仿宋_GBK"/>
          <w:sz w:val="32"/>
          <w:szCs w:val="32"/>
        </w:rPr>
        <w:t>指用一般公共预算财政拨款安排的因公出国（境）费、公务用车购置及运行维护费、公务接待费。其中，因公出国（境）费反映单位公务出国（境）的国际旅费、国外城市间交通费、住宿费、伙食费、培训费、公杂费等支出；公务用车购置费反映单位公务用车购置支出（含车辆购置税）；公务用车运行维护费反映单位按规定保留的公务用车燃料费、维修费、过路过桥费、保险费、安全奖励费用等支出；公务接待费反映单位按规定开支的各类公务接待（含外宾接待）支出。</w:t>
      </w:r>
    </w:p>
    <w:p>
      <w:pPr>
        <w:pStyle w:val="4"/>
        <w:shd w:val="clear" w:color="auto" w:fill="FFFFFF"/>
        <w:spacing w:before="0" w:beforeAutospacing="0" w:after="0" w:afterAutospacing="0" w:line="600" w:lineRule="exact"/>
        <w:ind w:firstLine="643" w:firstLineChars="200"/>
        <w:rPr>
          <w:rFonts w:ascii="方正仿宋_GBK" w:eastAsia="方正仿宋_GBK"/>
          <w:sz w:val="32"/>
          <w:szCs w:val="32"/>
        </w:rPr>
      </w:pPr>
      <w:r>
        <w:rPr>
          <w:rFonts w:hint="eastAsia" w:eastAsia="方正楷体_GBK"/>
          <w:b/>
          <w:sz w:val="32"/>
          <w:szCs w:val="32"/>
        </w:rPr>
        <w:t>（十三）机关运行经费</w:t>
      </w:r>
      <w:r>
        <w:rPr>
          <w:rFonts w:hint="eastAsia" w:eastAsia="方正楷体_GBK"/>
          <w:bCs/>
          <w:sz w:val="32"/>
          <w:szCs w:val="32"/>
        </w:rPr>
        <w:t>：</w:t>
      </w:r>
      <w:r>
        <w:rPr>
          <w:rFonts w:hint="eastAsia" w:ascii="方正仿宋_GBK" w:eastAsia="方正仿宋_GBK"/>
          <w:sz w:val="32"/>
          <w:szCs w:val="32"/>
        </w:rPr>
        <w:t>为保障行政单位（含参照公务员法管理的事业单位）运行用于购买货物和服务等的各项公用经费，包括办公及印刷费、邮电费、差旅费、会议费、福利费、日常维护 费、专用材料及一般设备购置费、办公用房水电费、办公用房取暖费、办公用房物业管理费、公务用车运行维护费以及其他费用。</w:t>
      </w:r>
    </w:p>
    <w:p>
      <w:pPr>
        <w:pStyle w:val="4"/>
        <w:shd w:val="clear" w:color="auto" w:fill="FFFFFF"/>
        <w:spacing w:before="0" w:beforeAutospacing="0" w:after="0" w:afterAutospacing="0" w:line="600" w:lineRule="exact"/>
        <w:ind w:firstLine="643" w:firstLineChars="200"/>
        <w:rPr>
          <w:rFonts w:ascii="方正仿宋_GBK" w:eastAsia="方正仿宋_GBK"/>
          <w:sz w:val="32"/>
          <w:szCs w:val="32"/>
        </w:rPr>
      </w:pPr>
      <w:r>
        <w:rPr>
          <w:rFonts w:hint="eastAsia" w:eastAsia="方正楷体_GBK"/>
          <w:b/>
          <w:sz w:val="32"/>
          <w:szCs w:val="32"/>
        </w:rPr>
        <w:t>（十四）工资福利支出（支出经济分类科目类级）</w:t>
      </w:r>
      <w:r>
        <w:rPr>
          <w:rFonts w:hint="eastAsia" w:eastAsia="方正楷体_GBK"/>
          <w:bCs/>
          <w:sz w:val="32"/>
          <w:szCs w:val="32"/>
        </w:rPr>
        <w:t>：</w:t>
      </w:r>
      <w:r>
        <w:rPr>
          <w:rFonts w:hint="eastAsia" w:ascii="方正仿宋_GBK" w:eastAsia="方正仿宋_GBK"/>
          <w:sz w:val="32"/>
          <w:szCs w:val="32"/>
        </w:rPr>
        <w:t>反映单位开支的在职职工和编制外长期聘用人员的各类劳动报酬，以及为上述人员缴纳的各项社会保险费等。</w:t>
      </w:r>
    </w:p>
    <w:p>
      <w:pPr>
        <w:pStyle w:val="4"/>
        <w:shd w:val="clear" w:color="auto" w:fill="FFFFFF"/>
        <w:spacing w:before="0" w:beforeAutospacing="0" w:after="0" w:afterAutospacing="0" w:line="600" w:lineRule="exact"/>
        <w:ind w:firstLine="643" w:firstLineChars="200"/>
        <w:rPr>
          <w:rFonts w:ascii="方正仿宋_GBK" w:eastAsia="方正仿宋_GBK"/>
          <w:sz w:val="32"/>
          <w:szCs w:val="32"/>
        </w:rPr>
      </w:pPr>
      <w:r>
        <w:rPr>
          <w:rFonts w:hint="eastAsia" w:eastAsia="方正楷体_GBK"/>
          <w:b/>
          <w:sz w:val="32"/>
          <w:szCs w:val="32"/>
        </w:rPr>
        <w:t>（十五）商品和服务支出（支出经济分类科目类级）</w:t>
      </w:r>
      <w:r>
        <w:rPr>
          <w:rFonts w:hint="eastAsia" w:eastAsia="方正楷体_GBK"/>
          <w:bCs/>
          <w:sz w:val="32"/>
          <w:szCs w:val="32"/>
        </w:rPr>
        <w:t>：</w:t>
      </w:r>
      <w:r>
        <w:rPr>
          <w:rFonts w:hint="eastAsia" w:ascii="方正仿宋_GBK" w:eastAsia="方正仿宋_GBK"/>
          <w:sz w:val="32"/>
          <w:szCs w:val="32"/>
        </w:rPr>
        <w:t>反映单位购买商品和服务的支出（不包括用于购置固定资产的支出、战略性和应急储备支出）。</w:t>
      </w:r>
    </w:p>
    <w:p>
      <w:pPr>
        <w:pStyle w:val="4"/>
        <w:shd w:val="clear" w:color="auto" w:fill="FFFFFF"/>
        <w:spacing w:before="0" w:beforeAutospacing="0" w:after="0" w:afterAutospacing="0" w:line="600" w:lineRule="exact"/>
        <w:ind w:firstLine="643" w:firstLineChars="200"/>
      </w:pPr>
      <w:r>
        <w:rPr>
          <w:rFonts w:hint="eastAsia" w:eastAsia="方正楷体_GBK"/>
          <w:b/>
          <w:sz w:val="32"/>
          <w:szCs w:val="32"/>
        </w:rPr>
        <w:t>（十六）对个人和家庭的补助（支出经济分类科目类级）</w:t>
      </w:r>
      <w:r>
        <w:rPr>
          <w:rFonts w:hint="eastAsia" w:eastAsia="方正楷体_GBK"/>
          <w:bCs/>
          <w:sz w:val="32"/>
          <w:szCs w:val="32"/>
        </w:rPr>
        <w:t>：</w:t>
      </w:r>
      <w:r>
        <w:rPr>
          <w:rFonts w:hint="eastAsia" w:ascii="方正仿宋_GBK" w:eastAsia="方正仿宋_GBK"/>
          <w:sz w:val="32"/>
          <w:szCs w:val="32"/>
        </w:rPr>
        <w:t>反映用于对个人和家庭的补助支出。</w:t>
      </w:r>
    </w:p>
    <w:p>
      <w:pPr>
        <w:pStyle w:val="4"/>
        <w:shd w:val="clear" w:color="auto" w:fill="FFFFFF"/>
        <w:spacing w:before="0" w:beforeAutospacing="0" w:after="0" w:afterAutospacing="0" w:line="600" w:lineRule="exact"/>
        <w:ind w:firstLine="643" w:firstLineChars="200"/>
        <w:rPr>
          <w:rFonts w:ascii="方正仿宋_GBK" w:eastAsia="方正仿宋_GBK"/>
          <w:sz w:val="32"/>
          <w:szCs w:val="32"/>
        </w:rPr>
      </w:pPr>
      <w:r>
        <w:rPr>
          <w:rFonts w:hint="eastAsia" w:eastAsia="方正楷体_GBK"/>
          <w:b/>
          <w:sz w:val="32"/>
          <w:szCs w:val="32"/>
        </w:rPr>
        <w:t>（十七）其他资本性支出（支出经济分类科目类级）</w:t>
      </w:r>
      <w:r>
        <w:rPr>
          <w:rFonts w:hint="eastAsia" w:eastAsia="方正楷体_GBK"/>
          <w:bCs/>
          <w:sz w:val="32"/>
          <w:szCs w:val="32"/>
        </w:rPr>
        <w:t>：</w:t>
      </w:r>
      <w:r>
        <w:rPr>
          <w:rFonts w:hint="eastAsia" w:ascii="方正仿宋_GBK" w:eastAsia="方正仿宋_GBK"/>
          <w:sz w:val="32"/>
          <w:szCs w:val="32"/>
        </w:rPr>
        <w:t>反映非各级发展与改革部门集中安排的用于购置固定资产、战略性和应急性储备、土地和无形资产，以及构建基础设施、大型修缮和财政支持企业更新改造所发生的支出。</w:t>
      </w:r>
    </w:p>
    <w:p>
      <w:pPr>
        <w:pStyle w:val="4"/>
        <w:shd w:val="clear" w:color="auto" w:fill="FFFFFF"/>
        <w:spacing w:before="0" w:beforeAutospacing="0" w:after="0" w:afterAutospacing="0" w:line="600" w:lineRule="exact"/>
        <w:ind w:firstLine="643" w:firstLineChars="200"/>
        <w:rPr>
          <w:rStyle w:val="7"/>
          <w:rFonts w:ascii="方正黑体_GBK" w:eastAsia="方正黑体_GBK"/>
          <w:bCs w:val="0"/>
          <w:sz w:val="32"/>
          <w:szCs w:val="32"/>
        </w:rPr>
      </w:pPr>
      <w:r>
        <w:rPr>
          <w:rStyle w:val="7"/>
          <w:rFonts w:hint="eastAsia" w:ascii="方正黑体_GBK" w:eastAsia="方正黑体_GBK"/>
          <w:bCs w:val="0"/>
          <w:sz w:val="32"/>
          <w:szCs w:val="32"/>
        </w:rPr>
        <w:t>七、决算公开联系方式及信息反馈渠道</w:t>
      </w:r>
    </w:p>
    <w:p>
      <w:pPr>
        <w:pStyle w:val="4"/>
        <w:shd w:val="clear" w:color="auto" w:fill="FFFFFF"/>
        <w:spacing w:before="0" w:beforeAutospacing="0" w:after="0" w:afterAutospacing="0" w:line="600" w:lineRule="exact"/>
        <w:ind w:firstLine="640" w:firstLineChars="200"/>
        <w:rPr>
          <w:rFonts w:ascii="方正仿宋_GBK" w:eastAsia="方正仿宋_GBK"/>
          <w:sz w:val="32"/>
          <w:szCs w:val="32"/>
        </w:rPr>
      </w:pPr>
      <w:r>
        <w:rPr>
          <w:rFonts w:hint="eastAsia" w:ascii="方正仿宋_GBK" w:eastAsia="方正仿宋_GBK"/>
          <w:sz w:val="32"/>
          <w:szCs w:val="32"/>
        </w:rPr>
        <w:t>本单位决算公开信息反馈和联系方式： 023-48678080</w:t>
      </w:r>
    </w:p>
    <w:tbl>
      <w:tblPr>
        <w:tblStyle w:val="5"/>
        <w:tblW w:w="9322" w:type="dxa"/>
        <w:tblInd w:w="0" w:type="dxa"/>
        <w:tblLayout w:type="fixed"/>
        <w:tblCellMar>
          <w:top w:w="0" w:type="dxa"/>
          <w:left w:w="108" w:type="dxa"/>
          <w:bottom w:w="0" w:type="dxa"/>
          <w:right w:w="108" w:type="dxa"/>
        </w:tblCellMar>
      </w:tblPr>
      <w:tblGrid>
        <w:gridCol w:w="1146"/>
        <w:gridCol w:w="1695"/>
        <w:gridCol w:w="1137"/>
        <w:gridCol w:w="993"/>
        <w:gridCol w:w="27"/>
        <w:gridCol w:w="383"/>
        <w:gridCol w:w="724"/>
        <w:gridCol w:w="990"/>
        <w:gridCol w:w="147"/>
        <w:gridCol w:w="567"/>
        <w:gridCol w:w="428"/>
        <w:gridCol w:w="212"/>
        <w:gridCol w:w="117"/>
        <w:gridCol w:w="119"/>
        <w:gridCol w:w="637"/>
      </w:tblGrid>
      <w:tr>
        <w:tblPrEx>
          <w:tblCellMar>
            <w:top w:w="0" w:type="dxa"/>
            <w:left w:w="108" w:type="dxa"/>
            <w:bottom w:w="0" w:type="dxa"/>
            <w:right w:w="108" w:type="dxa"/>
          </w:tblCellMar>
        </w:tblPrEx>
        <w:trPr>
          <w:gridAfter w:val="2"/>
          <w:wAfter w:w="756" w:type="dxa"/>
          <w:trHeight w:val="581" w:hRule="atLeast"/>
        </w:trPr>
        <w:tc>
          <w:tcPr>
            <w:tcW w:w="8566" w:type="dxa"/>
            <w:gridSpan w:val="13"/>
            <w:tcBorders>
              <w:top w:val="nil"/>
              <w:left w:val="nil"/>
              <w:bottom w:val="nil"/>
              <w:right w:val="nil"/>
            </w:tcBorders>
            <w:shd w:val="clear" w:color="auto" w:fill="auto"/>
            <w:vAlign w:val="center"/>
          </w:tcPr>
          <w:p>
            <w:pPr>
              <w:spacing w:line="600" w:lineRule="exact"/>
              <w:rPr>
                <w:b/>
                <w:bCs/>
                <w:color w:val="000000"/>
              </w:rPr>
            </w:pPr>
          </w:p>
          <w:p>
            <w:pPr>
              <w:spacing w:line="600" w:lineRule="exact"/>
              <w:rPr>
                <w:b/>
                <w:bCs/>
                <w:color w:val="000000"/>
              </w:rPr>
            </w:pPr>
          </w:p>
          <w:p>
            <w:pPr>
              <w:spacing w:line="600" w:lineRule="exact"/>
              <w:rPr>
                <w:bCs/>
                <w:color w:val="000000"/>
              </w:rPr>
            </w:pPr>
            <w:r>
              <w:rPr>
                <w:rFonts w:hint="eastAsia"/>
                <w:bCs/>
                <w:color w:val="000000"/>
              </w:rPr>
              <w:t>附件1</w:t>
            </w:r>
          </w:p>
          <w:p>
            <w:pPr>
              <w:spacing w:line="600" w:lineRule="exact"/>
              <w:jc w:val="center"/>
              <w:rPr>
                <w:b/>
                <w:bCs/>
                <w:color w:val="000000"/>
                <w:sz w:val="32"/>
                <w:szCs w:val="32"/>
              </w:rPr>
            </w:pPr>
            <w:r>
              <w:rPr>
                <w:rFonts w:hint="eastAsia"/>
                <w:b/>
                <w:bCs/>
                <w:color w:val="000000"/>
                <w:sz w:val="32"/>
                <w:szCs w:val="32"/>
              </w:rPr>
              <w:t xml:space="preserve">2020年度区级预算单位项目支出绩效自评表  </w:t>
            </w:r>
          </w:p>
        </w:tc>
      </w:tr>
      <w:tr>
        <w:tblPrEx>
          <w:tblCellMar>
            <w:top w:w="0" w:type="dxa"/>
            <w:left w:w="108" w:type="dxa"/>
            <w:bottom w:w="0" w:type="dxa"/>
            <w:right w:w="108" w:type="dxa"/>
          </w:tblCellMar>
        </w:tblPrEx>
        <w:trPr>
          <w:gridAfter w:val="1"/>
          <w:wAfter w:w="637" w:type="dxa"/>
          <w:trHeight w:val="581" w:hRule="atLeast"/>
        </w:trPr>
        <w:tc>
          <w:tcPr>
            <w:tcW w:w="4998" w:type="dxa"/>
            <w:gridSpan w:val="5"/>
            <w:tcBorders>
              <w:top w:val="nil"/>
              <w:left w:val="nil"/>
              <w:bottom w:val="nil"/>
              <w:right w:val="nil"/>
            </w:tcBorders>
            <w:shd w:val="clear" w:color="auto" w:fill="auto"/>
            <w:vAlign w:val="center"/>
          </w:tcPr>
          <w:p>
            <w:pPr>
              <w:spacing w:line="600" w:lineRule="exact"/>
              <w:rPr>
                <w:b/>
                <w:bCs/>
                <w:color w:val="000000"/>
                <w:sz w:val="20"/>
                <w:szCs w:val="20"/>
              </w:rPr>
            </w:pPr>
            <w:r>
              <w:rPr>
                <w:rFonts w:hint="eastAsia"/>
                <w:b/>
                <w:bCs/>
                <w:color w:val="000000"/>
                <w:sz w:val="20"/>
                <w:szCs w:val="20"/>
              </w:rPr>
              <w:t>填表单位（盖章）：重庆市綦江职业教育中心</w:t>
            </w:r>
          </w:p>
        </w:tc>
        <w:tc>
          <w:tcPr>
            <w:tcW w:w="383" w:type="dxa"/>
            <w:tcBorders>
              <w:top w:val="nil"/>
              <w:left w:val="nil"/>
              <w:bottom w:val="nil"/>
              <w:right w:val="nil"/>
            </w:tcBorders>
            <w:shd w:val="clear" w:color="auto" w:fill="auto"/>
            <w:vAlign w:val="center"/>
          </w:tcPr>
          <w:p>
            <w:pPr>
              <w:spacing w:line="600" w:lineRule="exact"/>
              <w:jc w:val="center"/>
              <w:rPr>
                <w:b/>
                <w:bCs/>
                <w:color w:val="000000"/>
                <w:sz w:val="32"/>
                <w:szCs w:val="32"/>
              </w:rPr>
            </w:pPr>
          </w:p>
        </w:tc>
        <w:tc>
          <w:tcPr>
            <w:tcW w:w="724" w:type="dxa"/>
            <w:tcBorders>
              <w:top w:val="nil"/>
              <w:left w:val="nil"/>
              <w:bottom w:val="nil"/>
              <w:right w:val="nil"/>
            </w:tcBorders>
            <w:shd w:val="clear" w:color="auto" w:fill="auto"/>
            <w:vAlign w:val="center"/>
          </w:tcPr>
          <w:p>
            <w:pPr>
              <w:spacing w:line="600" w:lineRule="exact"/>
              <w:jc w:val="center"/>
              <w:rPr>
                <w:b/>
                <w:bCs/>
                <w:color w:val="000000"/>
                <w:sz w:val="32"/>
                <w:szCs w:val="32"/>
              </w:rPr>
            </w:pPr>
          </w:p>
        </w:tc>
        <w:tc>
          <w:tcPr>
            <w:tcW w:w="1704" w:type="dxa"/>
            <w:gridSpan w:val="3"/>
            <w:tcBorders>
              <w:top w:val="nil"/>
              <w:left w:val="nil"/>
              <w:bottom w:val="nil"/>
              <w:right w:val="nil"/>
            </w:tcBorders>
            <w:shd w:val="clear" w:color="auto" w:fill="auto"/>
            <w:vAlign w:val="center"/>
          </w:tcPr>
          <w:p>
            <w:pPr>
              <w:spacing w:line="600" w:lineRule="exact"/>
              <w:jc w:val="center"/>
              <w:rPr>
                <w:b/>
                <w:bCs/>
                <w:color w:val="000000"/>
                <w:sz w:val="32"/>
                <w:szCs w:val="32"/>
              </w:rPr>
            </w:pPr>
          </w:p>
        </w:tc>
        <w:tc>
          <w:tcPr>
            <w:tcW w:w="640" w:type="dxa"/>
            <w:gridSpan w:val="2"/>
            <w:tcBorders>
              <w:top w:val="nil"/>
              <w:left w:val="nil"/>
              <w:bottom w:val="nil"/>
              <w:right w:val="nil"/>
            </w:tcBorders>
            <w:shd w:val="clear" w:color="auto" w:fill="auto"/>
            <w:vAlign w:val="center"/>
          </w:tcPr>
          <w:p>
            <w:pPr>
              <w:spacing w:line="600" w:lineRule="exact"/>
              <w:jc w:val="center"/>
              <w:rPr>
                <w:b/>
                <w:bCs/>
                <w:color w:val="000000"/>
                <w:sz w:val="32"/>
                <w:szCs w:val="32"/>
              </w:rPr>
            </w:pPr>
          </w:p>
        </w:tc>
        <w:tc>
          <w:tcPr>
            <w:tcW w:w="236" w:type="dxa"/>
            <w:gridSpan w:val="2"/>
            <w:tcBorders>
              <w:top w:val="nil"/>
              <w:left w:val="nil"/>
              <w:bottom w:val="nil"/>
              <w:right w:val="nil"/>
            </w:tcBorders>
            <w:shd w:val="clear" w:color="auto" w:fill="auto"/>
            <w:vAlign w:val="center"/>
          </w:tcPr>
          <w:p>
            <w:pPr>
              <w:spacing w:line="600" w:lineRule="exact"/>
              <w:jc w:val="center"/>
              <w:rPr>
                <w:b/>
                <w:bCs/>
                <w:color w:val="000000"/>
                <w:sz w:val="32"/>
                <w:szCs w:val="32"/>
              </w:rPr>
            </w:pPr>
          </w:p>
        </w:tc>
      </w:tr>
      <w:tr>
        <w:tblPrEx>
          <w:tblCellMar>
            <w:top w:w="0" w:type="dxa"/>
            <w:left w:w="108" w:type="dxa"/>
            <w:bottom w:w="0" w:type="dxa"/>
            <w:right w:w="108" w:type="dxa"/>
          </w:tblCellMar>
        </w:tblPrEx>
        <w:trPr>
          <w:trHeight w:val="390" w:hRule="atLeast"/>
        </w:trPr>
        <w:tc>
          <w:tcPr>
            <w:tcW w:w="1146"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项目名称</w:t>
            </w:r>
          </w:p>
        </w:tc>
        <w:tc>
          <w:tcPr>
            <w:tcW w:w="3825" w:type="dxa"/>
            <w:gridSpan w:val="3"/>
            <w:tcBorders>
              <w:top w:val="single" w:color="auto" w:sz="4" w:space="0"/>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2020年中职学生资助专项补助资金</w:t>
            </w:r>
          </w:p>
        </w:tc>
        <w:tc>
          <w:tcPr>
            <w:tcW w:w="2124" w:type="dxa"/>
            <w:gridSpan w:val="4"/>
            <w:tcBorders>
              <w:top w:val="single" w:color="auto" w:sz="4" w:space="0"/>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自评总分（分</w:t>
            </w:r>
            <w:r>
              <w:rPr>
                <w:rFonts w:hint="eastAsia"/>
                <w:color w:val="000000"/>
                <w:sz w:val="20"/>
                <w:szCs w:val="20"/>
                <w:lang w:eastAsia="zh-CN"/>
              </w:rPr>
              <w:t>）</w:t>
            </w:r>
          </w:p>
        </w:tc>
        <w:tc>
          <w:tcPr>
            <w:tcW w:w="2227" w:type="dxa"/>
            <w:gridSpan w:val="7"/>
            <w:tcBorders>
              <w:top w:val="single" w:color="auto" w:sz="4" w:space="0"/>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98.7</w:t>
            </w:r>
          </w:p>
        </w:tc>
      </w:tr>
      <w:tr>
        <w:tblPrEx>
          <w:tblCellMar>
            <w:top w:w="0" w:type="dxa"/>
            <w:left w:w="108" w:type="dxa"/>
            <w:bottom w:w="0" w:type="dxa"/>
            <w:right w:w="108" w:type="dxa"/>
          </w:tblCellMar>
        </w:tblPrEx>
        <w:trPr>
          <w:trHeight w:val="536" w:hRule="atLeast"/>
        </w:trPr>
        <w:tc>
          <w:tcPr>
            <w:tcW w:w="1146" w:type="dxa"/>
            <w:tcBorders>
              <w:top w:val="nil"/>
              <w:left w:val="single" w:color="auto" w:sz="4" w:space="0"/>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业务主管部门</w:t>
            </w:r>
          </w:p>
        </w:tc>
        <w:tc>
          <w:tcPr>
            <w:tcW w:w="3825" w:type="dxa"/>
            <w:gridSpan w:val="3"/>
            <w:tcBorders>
              <w:top w:val="single" w:color="auto" w:sz="4" w:space="0"/>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重庆市綦江区教育委员会</w:t>
            </w:r>
          </w:p>
        </w:tc>
        <w:tc>
          <w:tcPr>
            <w:tcW w:w="2124" w:type="dxa"/>
            <w:gridSpan w:val="4"/>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联系人及电话</w:t>
            </w:r>
          </w:p>
        </w:tc>
        <w:tc>
          <w:tcPr>
            <w:tcW w:w="2227" w:type="dxa"/>
            <w:gridSpan w:val="7"/>
            <w:tcBorders>
              <w:top w:val="single" w:color="auto" w:sz="4" w:space="0"/>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　</w:t>
            </w:r>
          </w:p>
        </w:tc>
      </w:tr>
      <w:tr>
        <w:tblPrEx>
          <w:tblCellMar>
            <w:top w:w="0" w:type="dxa"/>
            <w:left w:w="108" w:type="dxa"/>
            <w:bottom w:w="0" w:type="dxa"/>
            <w:right w:w="108" w:type="dxa"/>
          </w:tblCellMar>
        </w:tblPrEx>
        <w:trPr>
          <w:trHeight w:val="566" w:hRule="atLeast"/>
        </w:trPr>
        <w:tc>
          <w:tcPr>
            <w:tcW w:w="1146" w:type="dxa"/>
            <w:vMerge w:val="restart"/>
            <w:tcBorders>
              <w:top w:val="nil"/>
              <w:left w:val="single" w:color="auto" w:sz="4" w:space="0"/>
              <w:bottom w:val="single" w:color="000000"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项目资金（万元）</w:t>
            </w:r>
          </w:p>
        </w:tc>
        <w:tc>
          <w:tcPr>
            <w:tcW w:w="1695" w:type="dxa"/>
            <w:tcBorders>
              <w:top w:val="nil"/>
              <w:left w:val="nil"/>
              <w:bottom w:val="single" w:color="auto" w:sz="4" w:space="0"/>
              <w:right w:val="nil"/>
            </w:tcBorders>
            <w:shd w:val="clear" w:color="auto" w:fill="auto"/>
            <w:vAlign w:val="center"/>
          </w:tcPr>
          <w:p>
            <w:pPr>
              <w:spacing w:line="600" w:lineRule="exact"/>
              <w:rPr>
                <w:color w:val="000000"/>
                <w:sz w:val="20"/>
                <w:szCs w:val="20"/>
              </w:rPr>
            </w:pPr>
            <w:r>
              <w:rPr>
                <w:rFonts w:hint="eastAsia"/>
                <w:color w:val="000000"/>
                <w:sz w:val="20"/>
                <w:szCs w:val="20"/>
              </w:rPr>
              <w:t>　</w:t>
            </w:r>
          </w:p>
        </w:tc>
        <w:tc>
          <w:tcPr>
            <w:tcW w:w="2130" w:type="dxa"/>
            <w:gridSpan w:val="2"/>
            <w:tcBorders>
              <w:top w:val="single" w:color="auto" w:sz="4" w:space="0"/>
              <w:left w:val="single" w:color="auto" w:sz="4" w:space="0"/>
              <w:bottom w:val="single" w:color="auto" w:sz="4" w:space="0"/>
              <w:right w:val="single" w:color="000000" w:sz="4" w:space="0"/>
            </w:tcBorders>
            <w:shd w:val="clear" w:color="auto" w:fill="auto"/>
            <w:vAlign w:val="center"/>
          </w:tcPr>
          <w:p>
            <w:pPr>
              <w:spacing w:line="600" w:lineRule="exact"/>
              <w:jc w:val="center"/>
              <w:rPr>
                <w:color w:val="000000"/>
                <w:sz w:val="20"/>
                <w:szCs w:val="20"/>
              </w:rPr>
            </w:pPr>
            <w:r>
              <w:rPr>
                <w:rFonts w:hint="eastAsia"/>
                <w:color w:val="000000"/>
                <w:sz w:val="20"/>
                <w:szCs w:val="20"/>
              </w:rPr>
              <w:t>全年预算数（A）</w:t>
            </w:r>
          </w:p>
        </w:tc>
        <w:tc>
          <w:tcPr>
            <w:tcW w:w="1134" w:type="dxa"/>
            <w:gridSpan w:val="3"/>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全年执行数（B）</w:t>
            </w:r>
          </w:p>
        </w:tc>
        <w:tc>
          <w:tcPr>
            <w:tcW w:w="1137" w:type="dxa"/>
            <w:gridSpan w:val="2"/>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执行率%（B/A）</w:t>
            </w:r>
          </w:p>
        </w:tc>
        <w:tc>
          <w:tcPr>
            <w:tcW w:w="2080" w:type="dxa"/>
            <w:gridSpan w:val="6"/>
            <w:tcBorders>
              <w:top w:val="single" w:color="auto" w:sz="4" w:space="0"/>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执行率得分（分）</w:t>
            </w:r>
          </w:p>
        </w:tc>
      </w:tr>
      <w:tr>
        <w:tblPrEx>
          <w:tblCellMar>
            <w:top w:w="0" w:type="dxa"/>
            <w:left w:w="108" w:type="dxa"/>
            <w:bottom w:w="0" w:type="dxa"/>
            <w:right w:w="108" w:type="dxa"/>
          </w:tblCellMar>
        </w:tblPrEx>
        <w:trPr>
          <w:trHeight w:val="357" w:hRule="atLeast"/>
        </w:trPr>
        <w:tc>
          <w:tcPr>
            <w:tcW w:w="1146" w:type="dxa"/>
            <w:vMerge w:val="continue"/>
            <w:tcBorders>
              <w:top w:val="nil"/>
              <w:left w:val="single" w:color="auto" w:sz="4" w:space="0"/>
              <w:bottom w:val="single" w:color="000000" w:sz="4" w:space="0"/>
              <w:right w:val="single" w:color="auto" w:sz="4" w:space="0"/>
            </w:tcBorders>
            <w:vAlign w:val="center"/>
          </w:tcPr>
          <w:p>
            <w:pPr>
              <w:spacing w:line="600" w:lineRule="exact"/>
              <w:rPr>
                <w:color w:val="000000"/>
                <w:sz w:val="20"/>
                <w:szCs w:val="20"/>
              </w:rPr>
            </w:pPr>
          </w:p>
        </w:tc>
        <w:tc>
          <w:tcPr>
            <w:tcW w:w="1695" w:type="dxa"/>
            <w:tcBorders>
              <w:top w:val="nil"/>
              <w:left w:val="nil"/>
              <w:bottom w:val="single" w:color="auto" w:sz="4" w:space="0"/>
              <w:right w:val="single" w:color="auto" w:sz="4" w:space="0"/>
            </w:tcBorders>
            <w:shd w:val="clear" w:color="auto" w:fill="auto"/>
            <w:vAlign w:val="center"/>
          </w:tcPr>
          <w:p>
            <w:pPr>
              <w:spacing w:line="600" w:lineRule="exact"/>
              <w:rPr>
                <w:color w:val="000000"/>
                <w:sz w:val="20"/>
                <w:szCs w:val="20"/>
              </w:rPr>
            </w:pPr>
            <w:r>
              <w:rPr>
                <w:rFonts w:hint="eastAsia"/>
                <w:color w:val="000000"/>
                <w:sz w:val="20"/>
                <w:szCs w:val="20"/>
              </w:rPr>
              <w:t>年度资金总额：</w:t>
            </w:r>
          </w:p>
        </w:tc>
        <w:tc>
          <w:tcPr>
            <w:tcW w:w="2130" w:type="dxa"/>
            <w:gridSpan w:val="2"/>
            <w:tcBorders>
              <w:top w:val="single" w:color="auto" w:sz="4" w:space="0"/>
              <w:left w:val="nil"/>
              <w:bottom w:val="single" w:color="auto" w:sz="4" w:space="0"/>
              <w:right w:val="single" w:color="000000" w:sz="4" w:space="0"/>
            </w:tcBorders>
            <w:shd w:val="clear" w:color="auto" w:fill="auto"/>
            <w:vAlign w:val="center"/>
          </w:tcPr>
          <w:p>
            <w:pPr>
              <w:spacing w:line="600" w:lineRule="exact"/>
              <w:jc w:val="center"/>
              <w:rPr>
                <w:color w:val="000000"/>
                <w:sz w:val="20"/>
                <w:szCs w:val="20"/>
              </w:rPr>
            </w:pPr>
            <w:r>
              <w:rPr>
                <w:rFonts w:hint="eastAsia"/>
                <w:color w:val="000000"/>
                <w:sz w:val="20"/>
                <w:szCs w:val="20"/>
              </w:rPr>
              <w:t>1325.13</w:t>
            </w:r>
          </w:p>
        </w:tc>
        <w:tc>
          <w:tcPr>
            <w:tcW w:w="1134" w:type="dxa"/>
            <w:gridSpan w:val="3"/>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1156.13</w:t>
            </w:r>
          </w:p>
        </w:tc>
        <w:tc>
          <w:tcPr>
            <w:tcW w:w="1137" w:type="dxa"/>
            <w:gridSpan w:val="2"/>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87.25</w:t>
            </w:r>
          </w:p>
        </w:tc>
        <w:tc>
          <w:tcPr>
            <w:tcW w:w="2080" w:type="dxa"/>
            <w:gridSpan w:val="6"/>
            <w:tcBorders>
              <w:top w:val="single" w:color="auto" w:sz="4" w:space="0"/>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8.7</w:t>
            </w:r>
          </w:p>
        </w:tc>
      </w:tr>
      <w:tr>
        <w:tblPrEx>
          <w:tblCellMar>
            <w:top w:w="0" w:type="dxa"/>
            <w:left w:w="108" w:type="dxa"/>
            <w:bottom w:w="0" w:type="dxa"/>
            <w:right w:w="108" w:type="dxa"/>
          </w:tblCellMar>
        </w:tblPrEx>
        <w:trPr>
          <w:trHeight w:val="357" w:hRule="atLeast"/>
        </w:trPr>
        <w:tc>
          <w:tcPr>
            <w:tcW w:w="1146" w:type="dxa"/>
            <w:vMerge w:val="continue"/>
            <w:tcBorders>
              <w:top w:val="nil"/>
              <w:left w:val="single" w:color="auto" w:sz="4" w:space="0"/>
              <w:bottom w:val="single" w:color="000000" w:sz="4" w:space="0"/>
              <w:right w:val="single" w:color="auto" w:sz="4" w:space="0"/>
            </w:tcBorders>
            <w:vAlign w:val="center"/>
          </w:tcPr>
          <w:p>
            <w:pPr>
              <w:spacing w:line="600" w:lineRule="exact"/>
              <w:rPr>
                <w:color w:val="000000"/>
                <w:sz w:val="20"/>
                <w:szCs w:val="20"/>
              </w:rPr>
            </w:pPr>
          </w:p>
        </w:tc>
        <w:tc>
          <w:tcPr>
            <w:tcW w:w="1695" w:type="dxa"/>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其中：中央补助</w:t>
            </w:r>
          </w:p>
        </w:tc>
        <w:tc>
          <w:tcPr>
            <w:tcW w:w="2130" w:type="dxa"/>
            <w:gridSpan w:val="2"/>
            <w:tcBorders>
              <w:top w:val="single" w:color="auto" w:sz="4" w:space="0"/>
              <w:left w:val="nil"/>
              <w:bottom w:val="single" w:color="auto" w:sz="4" w:space="0"/>
              <w:right w:val="single" w:color="000000" w:sz="4" w:space="0"/>
            </w:tcBorders>
            <w:shd w:val="clear" w:color="auto" w:fill="auto"/>
            <w:vAlign w:val="center"/>
          </w:tcPr>
          <w:p>
            <w:pPr>
              <w:spacing w:line="600" w:lineRule="exact"/>
              <w:jc w:val="center"/>
              <w:rPr>
                <w:color w:val="000000"/>
                <w:sz w:val="20"/>
                <w:szCs w:val="20"/>
              </w:rPr>
            </w:pPr>
            <w:r>
              <w:rPr>
                <w:rFonts w:hint="eastAsia"/>
                <w:color w:val="000000"/>
                <w:sz w:val="20"/>
                <w:szCs w:val="20"/>
              </w:rPr>
              <w:t>526.91</w:t>
            </w:r>
          </w:p>
        </w:tc>
        <w:tc>
          <w:tcPr>
            <w:tcW w:w="1134" w:type="dxa"/>
            <w:gridSpan w:val="3"/>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383.91</w:t>
            </w:r>
          </w:p>
        </w:tc>
        <w:tc>
          <w:tcPr>
            <w:tcW w:w="1137" w:type="dxa"/>
            <w:gridSpan w:val="2"/>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72.86</w:t>
            </w:r>
          </w:p>
        </w:tc>
        <w:tc>
          <w:tcPr>
            <w:tcW w:w="2080" w:type="dxa"/>
            <w:gridSpan w:val="6"/>
            <w:tcBorders>
              <w:top w:val="single" w:color="auto" w:sz="4" w:space="0"/>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w:t>
            </w:r>
          </w:p>
        </w:tc>
      </w:tr>
      <w:tr>
        <w:tblPrEx>
          <w:tblCellMar>
            <w:top w:w="0" w:type="dxa"/>
            <w:left w:w="108" w:type="dxa"/>
            <w:bottom w:w="0" w:type="dxa"/>
            <w:right w:w="108" w:type="dxa"/>
          </w:tblCellMar>
        </w:tblPrEx>
        <w:trPr>
          <w:trHeight w:val="372" w:hRule="atLeast"/>
        </w:trPr>
        <w:tc>
          <w:tcPr>
            <w:tcW w:w="1146" w:type="dxa"/>
            <w:vMerge w:val="continue"/>
            <w:tcBorders>
              <w:top w:val="nil"/>
              <w:left w:val="single" w:color="auto" w:sz="4" w:space="0"/>
              <w:bottom w:val="single" w:color="000000" w:sz="4" w:space="0"/>
              <w:right w:val="single" w:color="auto" w:sz="4" w:space="0"/>
            </w:tcBorders>
            <w:vAlign w:val="center"/>
          </w:tcPr>
          <w:p>
            <w:pPr>
              <w:spacing w:line="600" w:lineRule="exact"/>
              <w:rPr>
                <w:color w:val="000000"/>
                <w:sz w:val="20"/>
                <w:szCs w:val="20"/>
              </w:rPr>
            </w:pPr>
          </w:p>
        </w:tc>
        <w:tc>
          <w:tcPr>
            <w:tcW w:w="1695" w:type="dxa"/>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 xml:space="preserve">     市级补助</w:t>
            </w:r>
          </w:p>
        </w:tc>
        <w:tc>
          <w:tcPr>
            <w:tcW w:w="2130" w:type="dxa"/>
            <w:gridSpan w:val="2"/>
            <w:tcBorders>
              <w:top w:val="single" w:color="auto" w:sz="4" w:space="0"/>
              <w:left w:val="nil"/>
              <w:bottom w:val="single" w:color="auto" w:sz="4" w:space="0"/>
              <w:right w:val="single" w:color="000000" w:sz="4" w:space="0"/>
            </w:tcBorders>
            <w:shd w:val="clear" w:color="auto" w:fill="auto"/>
            <w:vAlign w:val="center"/>
          </w:tcPr>
          <w:p>
            <w:pPr>
              <w:spacing w:line="600" w:lineRule="exact"/>
              <w:jc w:val="center"/>
              <w:rPr>
                <w:color w:val="000000"/>
                <w:sz w:val="20"/>
                <w:szCs w:val="20"/>
              </w:rPr>
            </w:pPr>
            <w:r>
              <w:rPr>
                <w:rFonts w:hint="eastAsia"/>
                <w:color w:val="000000"/>
                <w:sz w:val="20"/>
                <w:szCs w:val="20"/>
              </w:rPr>
              <w:t>535.71</w:t>
            </w:r>
          </w:p>
        </w:tc>
        <w:tc>
          <w:tcPr>
            <w:tcW w:w="1134" w:type="dxa"/>
            <w:gridSpan w:val="3"/>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529.71</w:t>
            </w:r>
          </w:p>
        </w:tc>
        <w:tc>
          <w:tcPr>
            <w:tcW w:w="1137" w:type="dxa"/>
            <w:gridSpan w:val="2"/>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98.88</w:t>
            </w:r>
          </w:p>
        </w:tc>
        <w:tc>
          <w:tcPr>
            <w:tcW w:w="2080" w:type="dxa"/>
            <w:gridSpan w:val="6"/>
            <w:tcBorders>
              <w:top w:val="single" w:color="auto" w:sz="4" w:space="0"/>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w:t>
            </w:r>
          </w:p>
        </w:tc>
      </w:tr>
      <w:tr>
        <w:tblPrEx>
          <w:tblCellMar>
            <w:top w:w="0" w:type="dxa"/>
            <w:left w:w="108" w:type="dxa"/>
            <w:bottom w:w="0" w:type="dxa"/>
            <w:right w:w="108" w:type="dxa"/>
          </w:tblCellMar>
        </w:tblPrEx>
        <w:trPr>
          <w:trHeight w:val="417" w:hRule="atLeast"/>
        </w:trPr>
        <w:tc>
          <w:tcPr>
            <w:tcW w:w="1146" w:type="dxa"/>
            <w:vMerge w:val="continue"/>
            <w:tcBorders>
              <w:top w:val="nil"/>
              <w:left w:val="single" w:color="auto" w:sz="4" w:space="0"/>
              <w:bottom w:val="single" w:color="000000" w:sz="4" w:space="0"/>
              <w:right w:val="single" w:color="auto" w:sz="4" w:space="0"/>
            </w:tcBorders>
            <w:vAlign w:val="center"/>
          </w:tcPr>
          <w:p>
            <w:pPr>
              <w:spacing w:line="600" w:lineRule="exact"/>
              <w:rPr>
                <w:color w:val="000000"/>
                <w:sz w:val="20"/>
                <w:szCs w:val="20"/>
              </w:rPr>
            </w:pPr>
          </w:p>
        </w:tc>
        <w:tc>
          <w:tcPr>
            <w:tcW w:w="1695" w:type="dxa"/>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 xml:space="preserve">     区级资金</w:t>
            </w:r>
          </w:p>
        </w:tc>
        <w:tc>
          <w:tcPr>
            <w:tcW w:w="2130" w:type="dxa"/>
            <w:gridSpan w:val="2"/>
            <w:tcBorders>
              <w:top w:val="single" w:color="auto" w:sz="4" w:space="0"/>
              <w:left w:val="nil"/>
              <w:bottom w:val="single" w:color="auto" w:sz="4" w:space="0"/>
              <w:right w:val="single" w:color="000000" w:sz="4" w:space="0"/>
            </w:tcBorders>
            <w:shd w:val="clear" w:color="auto" w:fill="auto"/>
            <w:vAlign w:val="center"/>
          </w:tcPr>
          <w:p>
            <w:pPr>
              <w:spacing w:line="600" w:lineRule="exact"/>
              <w:jc w:val="center"/>
              <w:rPr>
                <w:color w:val="000000"/>
                <w:sz w:val="20"/>
                <w:szCs w:val="20"/>
              </w:rPr>
            </w:pPr>
            <w:r>
              <w:rPr>
                <w:rFonts w:hint="eastAsia"/>
                <w:color w:val="000000"/>
                <w:sz w:val="20"/>
                <w:szCs w:val="20"/>
              </w:rPr>
              <w:t>262.51</w:t>
            </w:r>
          </w:p>
        </w:tc>
        <w:tc>
          <w:tcPr>
            <w:tcW w:w="1134" w:type="dxa"/>
            <w:gridSpan w:val="3"/>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242.51</w:t>
            </w:r>
          </w:p>
        </w:tc>
        <w:tc>
          <w:tcPr>
            <w:tcW w:w="1137" w:type="dxa"/>
            <w:gridSpan w:val="2"/>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92.38</w:t>
            </w:r>
          </w:p>
        </w:tc>
        <w:tc>
          <w:tcPr>
            <w:tcW w:w="2080" w:type="dxa"/>
            <w:gridSpan w:val="6"/>
            <w:tcBorders>
              <w:top w:val="single" w:color="auto" w:sz="4" w:space="0"/>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w:t>
            </w:r>
          </w:p>
        </w:tc>
      </w:tr>
      <w:tr>
        <w:tblPrEx>
          <w:tblCellMar>
            <w:top w:w="0" w:type="dxa"/>
            <w:left w:w="108" w:type="dxa"/>
            <w:bottom w:w="0" w:type="dxa"/>
            <w:right w:w="108" w:type="dxa"/>
          </w:tblCellMar>
        </w:tblPrEx>
        <w:trPr>
          <w:trHeight w:val="268" w:hRule="atLeast"/>
        </w:trPr>
        <w:tc>
          <w:tcPr>
            <w:tcW w:w="1146" w:type="dxa"/>
            <w:vMerge w:val="restart"/>
            <w:tcBorders>
              <w:top w:val="nil"/>
              <w:left w:val="single" w:color="auto" w:sz="4" w:space="0"/>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年度总体目标</w:t>
            </w:r>
          </w:p>
        </w:tc>
        <w:tc>
          <w:tcPr>
            <w:tcW w:w="3825" w:type="dxa"/>
            <w:gridSpan w:val="3"/>
            <w:tcBorders>
              <w:top w:val="single" w:color="auto" w:sz="4" w:space="0"/>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年初设定目标</w:t>
            </w:r>
          </w:p>
        </w:tc>
        <w:tc>
          <w:tcPr>
            <w:tcW w:w="4351" w:type="dxa"/>
            <w:gridSpan w:val="11"/>
            <w:tcBorders>
              <w:top w:val="single" w:color="auto" w:sz="4" w:space="0"/>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全年目标实际完成情况</w:t>
            </w:r>
          </w:p>
        </w:tc>
      </w:tr>
      <w:tr>
        <w:tblPrEx>
          <w:tblCellMar>
            <w:top w:w="0" w:type="dxa"/>
            <w:left w:w="108" w:type="dxa"/>
            <w:bottom w:w="0" w:type="dxa"/>
            <w:right w:w="108" w:type="dxa"/>
          </w:tblCellMar>
        </w:tblPrEx>
        <w:trPr>
          <w:trHeight w:val="2514" w:hRule="atLeast"/>
        </w:trPr>
        <w:tc>
          <w:tcPr>
            <w:tcW w:w="1146" w:type="dxa"/>
            <w:vMerge w:val="continue"/>
            <w:tcBorders>
              <w:top w:val="nil"/>
              <w:left w:val="single" w:color="auto" w:sz="4" w:space="0"/>
              <w:bottom w:val="single" w:color="auto" w:sz="4" w:space="0"/>
              <w:right w:val="single" w:color="auto" w:sz="4" w:space="0"/>
            </w:tcBorders>
            <w:vAlign w:val="center"/>
          </w:tcPr>
          <w:p>
            <w:pPr>
              <w:spacing w:line="600" w:lineRule="exact"/>
              <w:rPr>
                <w:color w:val="000000"/>
                <w:sz w:val="20"/>
                <w:szCs w:val="20"/>
              </w:rPr>
            </w:pPr>
          </w:p>
        </w:tc>
        <w:tc>
          <w:tcPr>
            <w:tcW w:w="3825" w:type="dxa"/>
            <w:gridSpan w:val="3"/>
            <w:tcBorders>
              <w:top w:val="single" w:color="auto" w:sz="4" w:space="0"/>
              <w:left w:val="nil"/>
              <w:bottom w:val="single" w:color="auto" w:sz="4" w:space="0"/>
              <w:right w:val="single" w:color="auto" w:sz="4" w:space="0"/>
            </w:tcBorders>
            <w:shd w:val="clear" w:color="auto" w:fill="auto"/>
            <w:vAlign w:val="center"/>
          </w:tcPr>
          <w:p>
            <w:pPr>
              <w:spacing w:line="600" w:lineRule="exact"/>
              <w:rPr>
                <w:color w:val="000000"/>
                <w:sz w:val="20"/>
                <w:szCs w:val="20"/>
              </w:rPr>
            </w:pPr>
            <w:r>
              <w:rPr>
                <w:rFonts w:hint="eastAsia"/>
                <w:color w:val="000000"/>
                <w:sz w:val="20"/>
                <w:szCs w:val="20"/>
              </w:rPr>
              <w:t>为推进国家精准扶贫工作，减轻就读中等职业学校学生家庭经济负担， 2020年对6164名学生免收学费，标准1000元/期.生，共616.4万元；向1164名贫困生发放国家助学金，标准1000、1500元/期.生</w:t>
            </w:r>
            <w:r>
              <w:rPr>
                <w:rFonts w:hint="eastAsia"/>
                <w:color w:val="000000"/>
                <w:sz w:val="20"/>
                <w:szCs w:val="20"/>
                <w:lang w:eastAsia="zh-CN"/>
              </w:rPr>
              <w:t>，</w:t>
            </w:r>
            <w:r>
              <w:rPr>
                <w:rFonts w:hint="eastAsia"/>
                <w:color w:val="000000"/>
                <w:sz w:val="20"/>
                <w:szCs w:val="20"/>
              </w:rPr>
              <w:t>共137.54万元；免住宿费1364名，标准250元/生</w:t>
            </w:r>
            <w:r>
              <w:rPr>
                <w:rFonts w:hint="eastAsia"/>
                <w:color w:val="000000"/>
                <w:sz w:val="20"/>
                <w:szCs w:val="20"/>
                <w:lang w:eastAsia="zh-CN"/>
              </w:rPr>
              <w:t>，</w:t>
            </w:r>
            <w:r>
              <w:rPr>
                <w:rFonts w:hint="eastAsia"/>
                <w:color w:val="000000"/>
                <w:sz w:val="20"/>
                <w:szCs w:val="20"/>
              </w:rPr>
              <w:t>共34.1万元；免书本费798名，标准200元/生</w:t>
            </w:r>
            <w:r>
              <w:rPr>
                <w:rFonts w:hint="eastAsia"/>
                <w:color w:val="000000"/>
                <w:sz w:val="20"/>
                <w:szCs w:val="20"/>
                <w:lang w:eastAsia="zh-CN"/>
              </w:rPr>
              <w:t>，</w:t>
            </w:r>
            <w:r>
              <w:rPr>
                <w:rFonts w:hint="eastAsia"/>
                <w:color w:val="000000"/>
                <w:sz w:val="20"/>
                <w:szCs w:val="20"/>
              </w:rPr>
              <w:t>共15.96万元.及时向医科学校和綦江职业技术学校转拨473.35万元中职学生资助专项资金。</w:t>
            </w:r>
          </w:p>
        </w:tc>
        <w:tc>
          <w:tcPr>
            <w:tcW w:w="4351" w:type="dxa"/>
            <w:gridSpan w:val="11"/>
            <w:tcBorders>
              <w:top w:val="single" w:color="auto" w:sz="4" w:space="0"/>
              <w:left w:val="nil"/>
              <w:bottom w:val="single" w:color="auto" w:sz="4" w:space="0"/>
              <w:right w:val="single" w:color="auto" w:sz="4" w:space="0"/>
            </w:tcBorders>
            <w:shd w:val="clear" w:color="auto" w:fill="auto"/>
            <w:vAlign w:val="center"/>
          </w:tcPr>
          <w:p>
            <w:pPr>
              <w:spacing w:line="600" w:lineRule="exact"/>
              <w:rPr>
                <w:color w:val="000000"/>
                <w:sz w:val="20"/>
                <w:szCs w:val="20"/>
              </w:rPr>
            </w:pPr>
            <w:r>
              <w:rPr>
                <w:rFonts w:hint="eastAsia"/>
                <w:color w:val="000000"/>
                <w:sz w:val="20"/>
                <w:szCs w:val="20"/>
              </w:rPr>
              <w:t>2020年对6164名学生免收学费，标准1000元/期.生，共616.4万元；向春期1164名贫困生发放国家助学金，标准1000、1500元/期.生</w:t>
            </w:r>
            <w:r>
              <w:rPr>
                <w:rFonts w:hint="eastAsia"/>
                <w:color w:val="000000"/>
                <w:sz w:val="20"/>
                <w:szCs w:val="20"/>
                <w:lang w:eastAsia="zh-CN"/>
              </w:rPr>
              <w:t>，</w:t>
            </w:r>
            <w:r>
              <w:rPr>
                <w:rFonts w:hint="eastAsia"/>
                <w:color w:val="000000"/>
                <w:sz w:val="20"/>
                <w:szCs w:val="20"/>
              </w:rPr>
              <w:t>共137.54万元；免住宿费1364名，标准250元/生</w:t>
            </w:r>
            <w:r>
              <w:rPr>
                <w:rFonts w:hint="eastAsia"/>
                <w:color w:val="000000"/>
                <w:sz w:val="20"/>
                <w:szCs w:val="20"/>
                <w:lang w:eastAsia="zh-CN"/>
              </w:rPr>
              <w:t>，</w:t>
            </w:r>
            <w:r>
              <w:rPr>
                <w:rFonts w:hint="eastAsia"/>
                <w:color w:val="000000"/>
                <w:sz w:val="20"/>
                <w:szCs w:val="20"/>
              </w:rPr>
              <w:t>共34.1万元；免书本费789名，标准200元/生</w:t>
            </w:r>
            <w:r>
              <w:rPr>
                <w:rFonts w:hint="eastAsia"/>
                <w:color w:val="000000"/>
                <w:sz w:val="20"/>
                <w:szCs w:val="20"/>
                <w:lang w:eastAsia="zh-CN"/>
              </w:rPr>
              <w:t>，</w:t>
            </w:r>
            <w:r>
              <w:rPr>
                <w:rFonts w:hint="eastAsia"/>
                <w:color w:val="000000"/>
                <w:sz w:val="20"/>
                <w:szCs w:val="20"/>
              </w:rPr>
              <w:t>共15.96万元.及时向医科学校和綦江职业技术学校转拨473.35万元中职学生资助专项资金.对建卡减轻学生家庭经济负担，有效降低了贫困学生贫困失学率，得到了社会的充分肯定。</w:t>
            </w:r>
          </w:p>
        </w:tc>
      </w:tr>
      <w:tr>
        <w:tblPrEx>
          <w:tblCellMar>
            <w:top w:w="0" w:type="dxa"/>
            <w:left w:w="108" w:type="dxa"/>
            <w:bottom w:w="0" w:type="dxa"/>
            <w:right w:w="108" w:type="dxa"/>
          </w:tblCellMar>
        </w:tblPrEx>
        <w:trPr>
          <w:trHeight w:val="640" w:hRule="atLeast"/>
        </w:trPr>
        <w:tc>
          <w:tcPr>
            <w:tcW w:w="1146" w:type="dxa"/>
            <w:vMerge w:val="restart"/>
            <w:tcBorders>
              <w:top w:val="nil"/>
              <w:left w:val="single" w:color="auto" w:sz="4" w:space="0"/>
              <w:bottom w:val="single" w:color="auto" w:sz="4" w:space="0"/>
              <w:right w:val="single" w:color="auto" w:sz="4" w:space="0"/>
            </w:tcBorders>
            <w:shd w:val="clear" w:color="auto" w:fill="auto"/>
            <w:textDirection w:val="tbRlV"/>
            <w:vAlign w:val="center"/>
          </w:tcPr>
          <w:p>
            <w:pPr>
              <w:spacing w:line="600" w:lineRule="exact"/>
              <w:jc w:val="center"/>
              <w:rPr>
                <w:color w:val="000000"/>
                <w:sz w:val="20"/>
                <w:szCs w:val="20"/>
              </w:rPr>
            </w:pPr>
            <w:r>
              <w:rPr>
                <w:rFonts w:hint="eastAsia"/>
                <w:color w:val="000000"/>
                <w:sz w:val="20"/>
                <w:szCs w:val="20"/>
              </w:rPr>
              <w:t>绩效指标</w:t>
            </w:r>
          </w:p>
        </w:tc>
        <w:tc>
          <w:tcPr>
            <w:tcW w:w="1695" w:type="dxa"/>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指标名称</w:t>
            </w:r>
            <w:r>
              <w:rPr>
                <w:rFonts w:hint="eastAsia"/>
                <w:color w:val="000000"/>
                <w:sz w:val="20"/>
                <w:szCs w:val="20"/>
              </w:rPr>
              <w:br w:type="textWrapping"/>
            </w:r>
            <w:r>
              <w:rPr>
                <w:rFonts w:hint="eastAsia"/>
                <w:color w:val="000000"/>
                <w:sz w:val="20"/>
                <w:szCs w:val="20"/>
              </w:rPr>
              <w:t>（三级指标）</w:t>
            </w:r>
          </w:p>
        </w:tc>
        <w:tc>
          <w:tcPr>
            <w:tcW w:w="1137" w:type="dxa"/>
            <w:tcBorders>
              <w:top w:val="nil"/>
              <w:left w:val="nil"/>
              <w:bottom w:val="single" w:color="auto" w:sz="4" w:space="0"/>
              <w:right w:val="single" w:color="auto" w:sz="4" w:space="0"/>
            </w:tcBorders>
            <w:shd w:val="clear" w:color="auto" w:fill="auto"/>
            <w:noWrap/>
            <w:vAlign w:val="center"/>
          </w:tcPr>
          <w:p>
            <w:pPr>
              <w:spacing w:line="600" w:lineRule="exact"/>
              <w:jc w:val="center"/>
              <w:rPr>
                <w:color w:val="000000"/>
                <w:sz w:val="20"/>
                <w:szCs w:val="20"/>
              </w:rPr>
            </w:pPr>
            <w:r>
              <w:rPr>
                <w:rFonts w:hint="eastAsia"/>
                <w:color w:val="000000"/>
                <w:sz w:val="20"/>
                <w:szCs w:val="20"/>
              </w:rPr>
              <w:t>计量单位</w:t>
            </w:r>
          </w:p>
        </w:tc>
        <w:tc>
          <w:tcPr>
            <w:tcW w:w="993" w:type="dxa"/>
            <w:tcBorders>
              <w:top w:val="single" w:color="auto" w:sz="4" w:space="0"/>
              <w:left w:val="nil"/>
              <w:bottom w:val="single" w:color="auto" w:sz="4" w:space="0"/>
              <w:right w:val="single" w:color="000000" w:sz="4" w:space="0"/>
            </w:tcBorders>
            <w:shd w:val="clear" w:color="auto" w:fill="auto"/>
            <w:vAlign w:val="center"/>
          </w:tcPr>
          <w:p>
            <w:pPr>
              <w:spacing w:line="600" w:lineRule="exact"/>
              <w:jc w:val="center"/>
              <w:rPr>
                <w:color w:val="000000"/>
                <w:sz w:val="20"/>
                <w:szCs w:val="20"/>
              </w:rPr>
            </w:pPr>
            <w:r>
              <w:rPr>
                <w:rFonts w:hint="eastAsia"/>
                <w:color w:val="000000"/>
                <w:sz w:val="20"/>
                <w:szCs w:val="20"/>
              </w:rPr>
              <w:t>指标权重</w:t>
            </w:r>
          </w:p>
        </w:tc>
        <w:tc>
          <w:tcPr>
            <w:tcW w:w="1134" w:type="dxa"/>
            <w:gridSpan w:val="3"/>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指标值</w:t>
            </w:r>
          </w:p>
        </w:tc>
        <w:tc>
          <w:tcPr>
            <w:tcW w:w="1137" w:type="dxa"/>
            <w:gridSpan w:val="2"/>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全年完成值</w:t>
            </w:r>
          </w:p>
        </w:tc>
        <w:tc>
          <w:tcPr>
            <w:tcW w:w="995" w:type="dxa"/>
            <w:gridSpan w:val="2"/>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得分系数（%）</w:t>
            </w:r>
          </w:p>
        </w:tc>
        <w:tc>
          <w:tcPr>
            <w:tcW w:w="1085" w:type="dxa"/>
            <w:gridSpan w:val="4"/>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指标得分</w:t>
            </w:r>
            <w:r>
              <w:rPr>
                <w:rFonts w:hint="eastAsia"/>
                <w:color w:val="000000"/>
                <w:sz w:val="20"/>
                <w:szCs w:val="20"/>
              </w:rPr>
              <w:br w:type="textWrapping"/>
            </w:r>
            <w:r>
              <w:rPr>
                <w:rFonts w:hint="eastAsia"/>
                <w:color w:val="000000"/>
                <w:sz w:val="20"/>
                <w:szCs w:val="20"/>
              </w:rPr>
              <w:t>（分</w:t>
            </w:r>
            <w:r>
              <w:rPr>
                <w:rFonts w:hint="eastAsia"/>
                <w:color w:val="000000"/>
                <w:sz w:val="20"/>
                <w:szCs w:val="20"/>
                <w:lang w:eastAsia="zh-CN"/>
              </w:rPr>
              <w:t>）</w:t>
            </w:r>
          </w:p>
        </w:tc>
      </w:tr>
      <w:tr>
        <w:tblPrEx>
          <w:tblCellMar>
            <w:top w:w="0" w:type="dxa"/>
            <w:left w:w="108" w:type="dxa"/>
            <w:bottom w:w="0" w:type="dxa"/>
            <w:right w:w="108" w:type="dxa"/>
          </w:tblCellMar>
        </w:tblPrEx>
        <w:trPr>
          <w:trHeight w:val="327" w:hRule="atLeast"/>
        </w:trPr>
        <w:tc>
          <w:tcPr>
            <w:tcW w:w="1146" w:type="dxa"/>
            <w:vMerge w:val="continue"/>
            <w:tcBorders>
              <w:top w:val="nil"/>
              <w:left w:val="single" w:color="auto" w:sz="4" w:space="0"/>
              <w:bottom w:val="single" w:color="auto" w:sz="4" w:space="0"/>
              <w:right w:val="single" w:color="auto" w:sz="4" w:space="0"/>
            </w:tcBorders>
            <w:vAlign w:val="center"/>
          </w:tcPr>
          <w:p>
            <w:pPr>
              <w:spacing w:line="600" w:lineRule="exact"/>
              <w:rPr>
                <w:color w:val="000000"/>
                <w:sz w:val="20"/>
                <w:szCs w:val="20"/>
              </w:rPr>
            </w:pPr>
          </w:p>
        </w:tc>
        <w:tc>
          <w:tcPr>
            <w:tcW w:w="1695" w:type="dxa"/>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资助人次</w:t>
            </w:r>
          </w:p>
        </w:tc>
        <w:tc>
          <w:tcPr>
            <w:tcW w:w="1137" w:type="dxa"/>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人次</w:t>
            </w:r>
          </w:p>
        </w:tc>
        <w:tc>
          <w:tcPr>
            <w:tcW w:w="993" w:type="dxa"/>
            <w:tcBorders>
              <w:top w:val="single" w:color="auto" w:sz="4" w:space="0"/>
              <w:left w:val="nil"/>
              <w:bottom w:val="single" w:color="auto" w:sz="4" w:space="0"/>
              <w:right w:val="single" w:color="000000" w:sz="4" w:space="0"/>
            </w:tcBorders>
            <w:shd w:val="clear" w:color="auto" w:fill="auto"/>
            <w:vAlign w:val="center"/>
          </w:tcPr>
          <w:p>
            <w:pPr>
              <w:spacing w:line="600" w:lineRule="exact"/>
              <w:jc w:val="center"/>
              <w:rPr>
                <w:color w:val="000000"/>
                <w:sz w:val="20"/>
                <w:szCs w:val="20"/>
              </w:rPr>
            </w:pPr>
            <w:r>
              <w:rPr>
                <w:rFonts w:hint="eastAsia"/>
                <w:color w:val="000000"/>
                <w:sz w:val="20"/>
                <w:szCs w:val="20"/>
              </w:rPr>
              <w:t>10</w:t>
            </w:r>
          </w:p>
        </w:tc>
        <w:tc>
          <w:tcPr>
            <w:tcW w:w="1134" w:type="dxa"/>
            <w:gridSpan w:val="3"/>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9490</w:t>
            </w:r>
          </w:p>
        </w:tc>
        <w:tc>
          <w:tcPr>
            <w:tcW w:w="1137" w:type="dxa"/>
            <w:gridSpan w:val="2"/>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9490</w:t>
            </w:r>
          </w:p>
        </w:tc>
        <w:tc>
          <w:tcPr>
            <w:tcW w:w="995" w:type="dxa"/>
            <w:gridSpan w:val="2"/>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100%</w:t>
            </w:r>
          </w:p>
        </w:tc>
        <w:tc>
          <w:tcPr>
            <w:tcW w:w="1085" w:type="dxa"/>
            <w:gridSpan w:val="4"/>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10</w:t>
            </w:r>
          </w:p>
        </w:tc>
      </w:tr>
      <w:tr>
        <w:tblPrEx>
          <w:tblCellMar>
            <w:top w:w="0" w:type="dxa"/>
            <w:left w:w="108" w:type="dxa"/>
            <w:bottom w:w="0" w:type="dxa"/>
            <w:right w:w="108" w:type="dxa"/>
          </w:tblCellMar>
        </w:tblPrEx>
        <w:trPr>
          <w:trHeight w:val="476" w:hRule="atLeast"/>
        </w:trPr>
        <w:tc>
          <w:tcPr>
            <w:tcW w:w="1146" w:type="dxa"/>
            <w:vMerge w:val="continue"/>
            <w:tcBorders>
              <w:top w:val="nil"/>
              <w:left w:val="single" w:color="auto" w:sz="4" w:space="0"/>
              <w:bottom w:val="single" w:color="auto" w:sz="4" w:space="0"/>
              <w:right w:val="single" w:color="auto" w:sz="4" w:space="0"/>
            </w:tcBorders>
            <w:vAlign w:val="center"/>
          </w:tcPr>
          <w:p>
            <w:pPr>
              <w:spacing w:line="600" w:lineRule="exact"/>
              <w:rPr>
                <w:color w:val="000000"/>
                <w:sz w:val="20"/>
                <w:szCs w:val="20"/>
              </w:rPr>
            </w:pPr>
          </w:p>
        </w:tc>
        <w:tc>
          <w:tcPr>
            <w:tcW w:w="1695" w:type="dxa"/>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补助标准</w:t>
            </w:r>
          </w:p>
        </w:tc>
        <w:tc>
          <w:tcPr>
            <w:tcW w:w="1137" w:type="dxa"/>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元/期.生</w:t>
            </w:r>
          </w:p>
        </w:tc>
        <w:tc>
          <w:tcPr>
            <w:tcW w:w="993" w:type="dxa"/>
            <w:tcBorders>
              <w:top w:val="single" w:color="auto" w:sz="4" w:space="0"/>
              <w:left w:val="nil"/>
              <w:bottom w:val="single" w:color="auto" w:sz="4" w:space="0"/>
              <w:right w:val="single" w:color="000000" w:sz="4" w:space="0"/>
            </w:tcBorders>
            <w:shd w:val="clear" w:color="auto" w:fill="auto"/>
            <w:vAlign w:val="center"/>
          </w:tcPr>
          <w:p>
            <w:pPr>
              <w:spacing w:line="600" w:lineRule="exact"/>
              <w:jc w:val="center"/>
              <w:rPr>
                <w:color w:val="000000"/>
                <w:sz w:val="20"/>
                <w:szCs w:val="20"/>
              </w:rPr>
            </w:pPr>
            <w:r>
              <w:rPr>
                <w:rFonts w:hint="eastAsia"/>
                <w:color w:val="000000"/>
                <w:sz w:val="20"/>
                <w:szCs w:val="20"/>
              </w:rPr>
              <w:t>10</w:t>
            </w:r>
          </w:p>
        </w:tc>
        <w:tc>
          <w:tcPr>
            <w:tcW w:w="1134" w:type="dxa"/>
            <w:gridSpan w:val="3"/>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1000/1500/250/200</w:t>
            </w:r>
          </w:p>
        </w:tc>
        <w:tc>
          <w:tcPr>
            <w:tcW w:w="1137" w:type="dxa"/>
            <w:gridSpan w:val="2"/>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18"/>
                <w:szCs w:val="18"/>
              </w:rPr>
            </w:pPr>
            <w:r>
              <w:rPr>
                <w:rFonts w:hint="eastAsia"/>
                <w:color w:val="000000"/>
                <w:sz w:val="18"/>
                <w:szCs w:val="18"/>
              </w:rPr>
              <w:t>1000/1500/250/200</w:t>
            </w:r>
          </w:p>
        </w:tc>
        <w:tc>
          <w:tcPr>
            <w:tcW w:w="995" w:type="dxa"/>
            <w:gridSpan w:val="2"/>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100%</w:t>
            </w:r>
          </w:p>
        </w:tc>
        <w:tc>
          <w:tcPr>
            <w:tcW w:w="1085" w:type="dxa"/>
            <w:gridSpan w:val="4"/>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10</w:t>
            </w:r>
          </w:p>
        </w:tc>
      </w:tr>
      <w:tr>
        <w:tblPrEx>
          <w:tblCellMar>
            <w:top w:w="0" w:type="dxa"/>
            <w:left w:w="108" w:type="dxa"/>
            <w:bottom w:w="0" w:type="dxa"/>
            <w:right w:w="108" w:type="dxa"/>
          </w:tblCellMar>
        </w:tblPrEx>
        <w:trPr>
          <w:trHeight w:val="342" w:hRule="atLeast"/>
        </w:trPr>
        <w:tc>
          <w:tcPr>
            <w:tcW w:w="1146" w:type="dxa"/>
            <w:vMerge w:val="continue"/>
            <w:tcBorders>
              <w:top w:val="nil"/>
              <w:left w:val="single" w:color="auto" w:sz="4" w:space="0"/>
              <w:bottom w:val="single" w:color="auto" w:sz="4" w:space="0"/>
              <w:right w:val="single" w:color="auto" w:sz="4" w:space="0"/>
            </w:tcBorders>
            <w:vAlign w:val="center"/>
          </w:tcPr>
          <w:p>
            <w:pPr>
              <w:spacing w:line="600" w:lineRule="exact"/>
              <w:rPr>
                <w:color w:val="000000"/>
                <w:sz w:val="20"/>
                <w:szCs w:val="20"/>
              </w:rPr>
            </w:pPr>
          </w:p>
        </w:tc>
        <w:tc>
          <w:tcPr>
            <w:tcW w:w="1695" w:type="dxa"/>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资助发放精准度</w:t>
            </w:r>
          </w:p>
        </w:tc>
        <w:tc>
          <w:tcPr>
            <w:tcW w:w="1137" w:type="dxa"/>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w:t>
            </w:r>
            <w:bookmarkStart w:id="0" w:name="_GoBack"/>
            <w:bookmarkEnd w:id="0"/>
          </w:p>
        </w:tc>
        <w:tc>
          <w:tcPr>
            <w:tcW w:w="993" w:type="dxa"/>
            <w:tcBorders>
              <w:top w:val="single" w:color="auto" w:sz="4" w:space="0"/>
              <w:left w:val="nil"/>
              <w:bottom w:val="single" w:color="auto" w:sz="4" w:space="0"/>
              <w:right w:val="single" w:color="000000" w:sz="4" w:space="0"/>
            </w:tcBorders>
            <w:shd w:val="clear" w:color="auto" w:fill="auto"/>
            <w:vAlign w:val="center"/>
          </w:tcPr>
          <w:p>
            <w:pPr>
              <w:spacing w:line="600" w:lineRule="exact"/>
              <w:jc w:val="center"/>
              <w:rPr>
                <w:color w:val="000000"/>
                <w:sz w:val="20"/>
                <w:szCs w:val="20"/>
              </w:rPr>
            </w:pPr>
            <w:r>
              <w:rPr>
                <w:rFonts w:hint="eastAsia"/>
                <w:color w:val="000000"/>
                <w:sz w:val="20"/>
                <w:szCs w:val="20"/>
              </w:rPr>
              <w:t>20</w:t>
            </w:r>
          </w:p>
        </w:tc>
        <w:tc>
          <w:tcPr>
            <w:tcW w:w="1134" w:type="dxa"/>
            <w:gridSpan w:val="3"/>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100%</w:t>
            </w:r>
          </w:p>
        </w:tc>
        <w:tc>
          <w:tcPr>
            <w:tcW w:w="1137" w:type="dxa"/>
            <w:gridSpan w:val="2"/>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100%</w:t>
            </w:r>
          </w:p>
        </w:tc>
        <w:tc>
          <w:tcPr>
            <w:tcW w:w="995" w:type="dxa"/>
            <w:gridSpan w:val="2"/>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100%</w:t>
            </w:r>
          </w:p>
        </w:tc>
        <w:tc>
          <w:tcPr>
            <w:tcW w:w="1085" w:type="dxa"/>
            <w:gridSpan w:val="4"/>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20</w:t>
            </w:r>
          </w:p>
        </w:tc>
      </w:tr>
      <w:tr>
        <w:tblPrEx>
          <w:tblCellMar>
            <w:top w:w="0" w:type="dxa"/>
            <w:left w:w="108" w:type="dxa"/>
            <w:bottom w:w="0" w:type="dxa"/>
            <w:right w:w="108" w:type="dxa"/>
          </w:tblCellMar>
        </w:tblPrEx>
        <w:trPr>
          <w:trHeight w:val="372" w:hRule="atLeast"/>
        </w:trPr>
        <w:tc>
          <w:tcPr>
            <w:tcW w:w="1146" w:type="dxa"/>
            <w:vMerge w:val="continue"/>
            <w:tcBorders>
              <w:top w:val="nil"/>
              <w:left w:val="single" w:color="auto" w:sz="4" w:space="0"/>
              <w:bottom w:val="single" w:color="auto" w:sz="4" w:space="0"/>
              <w:right w:val="single" w:color="auto" w:sz="4" w:space="0"/>
            </w:tcBorders>
            <w:vAlign w:val="center"/>
          </w:tcPr>
          <w:p>
            <w:pPr>
              <w:spacing w:line="600" w:lineRule="exact"/>
              <w:rPr>
                <w:color w:val="000000"/>
                <w:sz w:val="20"/>
                <w:szCs w:val="20"/>
              </w:rPr>
            </w:pPr>
          </w:p>
        </w:tc>
        <w:tc>
          <w:tcPr>
            <w:tcW w:w="1695" w:type="dxa"/>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资金到位准时度</w:t>
            </w:r>
          </w:p>
        </w:tc>
        <w:tc>
          <w:tcPr>
            <w:tcW w:w="1137" w:type="dxa"/>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w:t>
            </w:r>
          </w:p>
        </w:tc>
        <w:tc>
          <w:tcPr>
            <w:tcW w:w="993" w:type="dxa"/>
            <w:tcBorders>
              <w:top w:val="single" w:color="auto" w:sz="4" w:space="0"/>
              <w:left w:val="nil"/>
              <w:bottom w:val="single" w:color="auto" w:sz="4" w:space="0"/>
              <w:right w:val="single" w:color="000000" w:sz="4" w:space="0"/>
            </w:tcBorders>
            <w:shd w:val="clear" w:color="auto" w:fill="auto"/>
            <w:vAlign w:val="center"/>
          </w:tcPr>
          <w:p>
            <w:pPr>
              <w:spacing w:line="600" w:lineRule="exact"/>
              <w:jc w:val="center"/>
              <w:rPr>
                <w:color w:val="000000"/>
                <w:sz w:val="20"/>
                <w:szCs w:val="20"/>
              </w:rPr>
            </w:pPr>
            <w:r>
              <w:rPr>
                <w:rFonts w:hint="eastAsia"/>
                <w:color w:val="000000"/>
                <w:sz w:val="20"/>
                <w:szCs w:val="20"/>
              </w:rPr>
              <w:t>10</w:t>
            </w:r>
          </w:p>
        </w:tc>
        <w:tc>
          <w:tcPr>
            <w:tcW w:w="1134" w:type="dxa"/>
            <w:gridSpan w:val="3"/>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100%</w:t>
            </w:r>
          </w:p>
        </w:tc>
        <w:tc>
          <w:tcPr>
            <w:tcW w:w="1137" w:type="dxa"/>
            <w:gridSpan w:val="2"/>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100%</w:t>
            </w:r>
          </w:p>
        </w:tc>
        <w:tc>
          <w:tcPr>
            <w:tcW w:w="995" w:type="dxa"/>
            <w:gridSpan w:val="2"/>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100%</w:t>
            </w:r>
          </w:p>
        </w:tc>
        <w:tc>
          <w:tcPr>
            <w:tcW w:w="1085" w:type="dxa"/>
            <w:gridSpan w:val="4"/>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10</w:t>
            </w:r>
          </w:p>
        </w:tc>
      </w:tr>
      <w:tr>
        <w:tblPrEx>
          <w:tblCellMar>
            <w:top w:w="0" w:type="dxa"/>
            <w:left w:w="108" w:type="dxa"/>
            <w:bottom w:w="0" w:type="dxa"/>
            <w:right w:w="108" w:type="dxa"/>
          </w:tblCellMar>
        </w:tblPrEx>
        <w:trPr>
          <w:trHeight w:val="372" w:hRule="atLeast"/>
        </w:trPr>
        <w:tc>
          <w:tcPr>
            <w:tcW w:w="1146" w:type="dxa"/>
            <w:vMerge w:val="continue"/>
            <w:tcBorders>
              <w:top w:val="nil"/>
              <w:left w:val="single" w:color="auto" w:sz="4" w:space="0"/>
              <w:bottom w:val="single" w:color="auto" w:sz="4" w:space="0"/>
              <w:right w:val="single" w:color="auto" w:sz="4" w:space="0"/>
            </w:tcBorders>
            <w:vAlign w:val="center"/>
          </w:tcPr>
          <w:p>
            <w:pPr>
              <w:spacing w:line="600" w:lineRule="exact"/>
              <w:rPr>
                <w:color w:val="000000"/>
                <w:sz w:val="20"/>
                <w:szCs w:val="20"/>
              </w:rPr>
            </w:pPr>
          </w:p>
        </w:tc>
        <w:tc>
          <w:tcPr>
            <w:tcW w:w="1695" w:type="dxa"/>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保障贫困学生入学率</w:t>
            </w:r>
          </w:p>
        </w:tc>
        <w:tc>
          <w:tcPr>
            <w:tcW w:w="1137" w:type="dxa"/>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w:t>
            </w:r>
          </w:p>
        </w:tc>
        <w:tc>
          <w:tcPr>
            <w:tcW w:w="993" w:type="dxa"/>
            <w:tcBorders>
              <w:top w:val="single" w:color="auto" w:sz="4" w:space="0"/>
              <w:left w:val="nil"/>
              <w:bottom w:val="single" w:color="auto" w:sz="4" w:space="0"/>
              <w:right w:val="single" w:color="000000" w:sz="4" w:space="0"/>
            </w:tcBorders>
            <w:shd w:val="clear" w:color="auto" w:fill="auto"/>
            <w:vAlign w:val="center"/>
          </w:tcPr>
          <w:p>
            <w:pPr>
              <w:spacing w:line="600" w:lineRule="exact"/>
              <w:jc w:val="center"/>
              <w:rPr>
                <w:color w:val="000000"/>
                <w:sz w:val="20"/>
                <w:szCs w:val="20"/>
              </w:rPr>
            </w:pPr>
            <w:r>
              <w:rPr>
                <w:rFonts w:hint="eastAsia"/>
                <w:color w:val="000000"/>
                <w:sz w:val="20"/>
                <w:szCs w:val="20"/>
              </w:rPr>
              <w:t>20</w:t>
            </w:r>
          </w:p>
        </w:tc>
        <w:tc>
          <w:tcPr>
            <w:tcW w:w="1134" w:type="dxa"/>
            <w:gridSpan w:val="3"/>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100%</w:t>
            </w:r>
          </w:p>
        </w:tc>
        <w:tc>
          <w:tcPr>
            <w:tcW w:w="1137" w:type="dxa"/>
            <w:gridSpan w:val="2"/>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100%</w:t>
            </w:r>
          </w:p>
        </w:tc>
        <w:tc>
          <w:tcPr>
            <w:tcW w:w="995" w:type="dxa"/>
            <w:gridSpan w:val="2"/>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100%</w:t>
            </w:r>
          </w:p>
        </w:tc>
        <w:tc>
          <w:tcPr>
            <w:tcW w:w="1085" w:type="dxa"/>
            <w:gridSpan w:val="4"/>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20</w:t>
            </w:r>
          </w:p>
        </w:tc>
      </w:tr>
      <w:tr>
        <w:tblPrEx>
          <w:tblCellMar>
            <w:top w:w="0" w:type="dxa"/>
            <w:left w:w="108" w:type="dxa"/>
            <w:bottom w:w="0" w:type="dxa"/>
            <w:right w:w="108" w:type="dxa"/>
          </w:tblCellMar>
        </w:tblPrEx>
        <w:trPr>
          <w:trHeight w:val="372" w:hRule="atLeast"/>
        </w:trPr>
        <w:tc>
          <w:tcPr>
            <w:tcW w:w="1146" w:type="dxa"/>
            <w:vMerge w:val="continue"/>
            <w:tcBorders>
              <w:top w:val="nil"/>
              <w:left w:val="single" w:color="auto" w:sz="4" w:space="0"/>
              <w:bottom w:val="single" w:color="auto" w:sz="4" w:space="0"/>
              <w:right w:val="single" w:color="auto" w:sz="4" w:space="0"/>
            </w:tcBorders>
            <w:vAlign w:val="center"/>
          </w:tcPr>
          <w:p>
            <w:pPr>
              <w:spacing w:line="600" w:lineRule="exact"/>
              <w:rPr>
                <w:color w:val="000000"/>
                <w:sz w:val="20"/>
                <w:szCs w:val="20"/>
              </w:rPr>
            </w:pPr>
          </w:p>
        </w:tc>
        <w:tc>
          <w:tcPr>
            <w:tcW w:w="1695" w:type="dxa"/>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家长学生满意度</w:t>
            </w:r>
          </w:p>
        </w:tc>
        <w:tc>
          <w:tcPr>
            <w:tcW w:w="1137" w:type="dxa"/>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w:t>
            </w:r>
          </w:p>
        </w:tc>
        <w:tc>
          <w:tcPr>
            <w:tcW w:w="993" w:type="dxa"/>
            <w:tcBorders>
              <w:top w:val="single" w:color="auto" w:sz="4" w:space="0"/>
              <w:left w:val="nil"/>
              <w:bottom w:val="single" w:color="auto" w:sz="4" w:space="0"/>
              <w:right w:val="single" w:color="000000" w:sz="4" w:space="0"/>
            </w:tcBorders>
            <w:shd w:val="clear" w:color="auto" w:fill="auto"/>
            <w:vAlign w:val="center"/>
          </w:tcPr>
          <w:p>
            <w:pPr>
              <w:spacing w:line="600" w:lineRule="exact"/>
              <w:jc w:val="center"/>
              <w:rPr>
                <w:color w:val="000000"/>
                <w:sz w:val="20"/>
                <w:szCs w:val="20"/>
              </w:rPr>
            </w:pPr>
            <w:r>
              <w:rPr>
                <w:rFonts w:hint="eastAsia"/>
                <w:color w:val="000000"/>
                <w:sz w:val="20"/>
                <w:szCs w:val="20"/>
              </w:rPr>
              <w:t>10</w:t>
            </w:r>
          </w:p>
        </w:tc>
        <w:tc>
          <w:tcPr>
            <w:tcW w:w="1134" w:type="dxa"/>
            <w:gridSpan w:val="3"/>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90%</w:t>
            </w:r>
          </w:p>
        </w:tc>
        <w:tc>
          <w:tcPr>
            <w:tcW w:w="1137" w:type="dxa"/>
            <w:gridSpan w:val="2"/>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98%</w:t>
            </w:r>
          </w:p>
        </w:tc>
        <w:tc>
          <w:tcPr>
            <w:tcW w:w="995" w:type="dxa"/>
            <w:gridSpan w:val="2"/>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100%</w:t>
            </w:r>
          </w:p>
        </w:tc>
        <w:tc>
          <w:tcPr>
            <w:tcW w:w="1085" w:type="dxa"/>
            <w:gridSpan w:val="4"/>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10</w:t>
            </w:r>
          </w:p>
        </w:tc>
      </w:tr>
      <w:tr>
        <w:tblPrEx>
          <w:tblCellMar>
            <w:top w:w="0" w:type="dxa"/>
            <w:left w:w="108" w:type="dxa"/>
            <w:bottom w:w="0" w:type="dxa"/>
            <w:right w:w="108" w:type="dxa"/>
          </w:tblCellMar>
        </w:tblPrEx>
        <w:trPr>
          <w:trHeight w:val="432" w:hRule="atLeast"/>
        </w:trPr>
        <w:tc>
          <w:tcPr>
            <w:tcW w:w="1146" w:type="dxa"/>
            <w:vMerge w:val="continue"/>
            <w:tcBorders>
              <w:top w:val="nil"/>
              <w:left w:val="single" w:color="auto" w:sz="4" w:space="0"/>
              <w:bottom w:val="single" w:color="auto" w:sz="4" w:space="0"/>
              <w:right w:val="single" w:color="auto" w:sz="4" w:space="0"/>
            </w:tcBorders>
            <w:vAlign w:val="center"/>
          </w:tcPr>
          <w:p>
            <w:pPr>
              <w:spacing w:line="600" w:lineRule="exact"/>
              <w:rPr>
                <w:color w:val="000000"/>
                <w:sz w:val="20"/>
                <w:szCs w:val="20"/>
              </w:rPr>
            </w:pPr>
          </w:p>
        </w:tc>
        <w:tc>
          <w:tcPr>
            <w:tcW w:w="1695" w:type="dxa"/>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社会公众满意度</w:t>
            </w:r>
          </w:p>
        </w:tc>
        <w:tc>
          <w:tcPr>
            <w:tcW w:w="1137" w:type="dxa"/>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w:t>
            </w:r>
          </w:p>
        </w:tc>
        <w:tc>
          <w:tcPr>
            <w:tcW w:w="993" w:type="dxa"/>
            <w:tcBorders>
              <w:top w:val="single" w:color="auto" w:sz="4" w:space="0"/>
              <w:left w:val="nil"/>
              <w:bottom w:val="single" w:color="auto" w:sz="4" w:space="0"/>
              <w:right w:val="single" w:color="000000" w:sz="4" w:space="0"/>
            </w:tcBorders>
            <w:shd w:val="clear" w:color="auto" w:fill="auto"/>
            <w:vAlign w:val="center"/>
          </w:tcPr>
          <w:p>
            <w:pPr>
              <w:spacing w:line="600" w:lineRule="exact"/>
              <w:jc w:val="center"/>
              <w:rPr>
                <w:color w:val="000000"/>
                <w:sz w:val="20"/>
                <w:szCs w:val="20"/>
              </w:rPr>
            </w:pPr>
            <w:r>
              <w:rPr>
                <w:rFonts w:hint="eastAsia"/>
                <w:color w:val="000000"/>
                <w:sz w:val="20"/>
                <w:szCs w:val="20"/>
              </w:rPr>
              <w:t>10</w:t>
            </w:r>
          </w:p>
        </w:tc>
        <w:tc>
          <w:tcPr>
            <w:tcW w:w="1134" w:type="dxa"/>
            <w:gridSpan w:val="3"/>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90%</w:t>
            </w:r>
          </w:p>
        </w:tc>
        <w:tc>
          <w:tcPr>
            <w:tcW w:w="1137" w:type="dxa"/>
            <w:gridSpan w:val="2"/>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95%</w:t>
            </w:r>
          </w:p>
        </w:tc>
        <w:tc>
          <w:tcPr>
            <w:tcW w:w="995" w:type="dxa"/>
            <w:gridSpan w:val="2"/>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100%</w:t>
            </w:r>
          </w:p>
        </w:tc>
        <w:tc>
          <w:tcPr>
            <w:tcW w:w="1085" w:type="dxa"/>
            <w:gridSpan w:val="4"/>
            <w:tcBorders>
              <w:top w:val="nil"/>
              <w:left w:val="nil"/>
              <w:bottom w:val="single" w:color="auto" w:sz="4" w:space="0"/>
              <w:right w:val="single" w:color="auto" w:sz="4" w:space="0"/>
            </w:tcBorders>
            <w:shd w:val="clear" w:color="auto" w:fill="auto"/>
            <w:vAlign w:val="center"/>
          </w:tcPr>
          <w:p>
            <w:pPr>
              <w:spacing w:line="600" w:lineRule="exact"/>
              <w:jc w:val="center"/>
              <w:rPr>
                <w:color w:val="000000"/>
                <w:sz w:val="20"/>
                <w:szCs w:val="20"/>
              </w:rPr>
            </w:pPr>
            <w:r>
              <w:rPr>
                <w:rFonts w:hint="eastAsia"/>
                <w:color w:val="000000"/>
                <w:sz w:val="20"/>
                <w:szCs w:val="20"/>
              </w:rPr>
              <w:t>10</w:t>
            </w:r>
          </w:p>
        </w:tc>
      </w:tr>
      <w:tr>
        <w:tblPrEx>
          <w:tblCellMar>
            <w:top w:w="0" w:type="dxa"/>
            <w:left w:w="108" w:type="dxa"/>
            <w:bottom w:w="0" w:type="dxa"/>
            <w:right w:w="108" w:type="dxa"/>
          </w:tblCellMar>
        </w:tblPrEx>
        <w:trPr>
          <w:trHeight w:val="705" w:hRule="atLeast"/>
        </w:trPr>
        <w:tc>
          <w:tcPr>
            <w:tcW w:w="1146" w:type="dxa"/>
            <w:tcBorders>
              <w:top w:val="nil"/>
              <w:left w:val="single" w:color="auto" w:sz="4" w:space="0"/>
              <w:bottom w:val="single" w:color="auto" w:sz="4" w:space="0"/>
              <w:right w:val="single" w:color="auto" w:sz="4" w:space="0"/>
            </w:tcBorders>
            <w:shd w:val="clear" w:color="auto" w:fill="auto"/>
          </w:tcPr>
          <w:p>
            <w:pPr>
              <w:spacing w:line="600" w:lineRule="exact"/>
              <w:jc w:val="both"/>
              <w:rPr>
                <w:color w:val="000000"/>
                <w:sz w:val="18"/>
                <w:szCs w:val="18"/>
              </w:rPr>
            </w:pPr>
            <w:r>
              <w:rPr>
                <w:rFonts w:hint="eastAsia"/>
                <w:color w:val="000000"/>
                <w:sz w:val="18"/>
                <w:szCs w:val="18"/>
              </w:rPr>
              <w:t>未完成绩效目标的原因、改进措施</w:t>
            </w:r>
          </w:p>
        </w:tc>
        <w:tc>
          <w:tcPr>
            <w:tcW w:w="8176" w:type="dxa"/>
            <w:gridSpan w:val="14"/>
            <w:tcBorders>
              <w:top w:val="single" w:color="auto" w:sz="4" w:space="0"/>
              <w:left w:val="nil"/>
              <w:bottom w:val="single" w:color="auto" w:sz="4" w:space="0"/>
              <w:right w:val="single" w:color="auto" w:sz="4" w:space="0"/>
            </w:tcBorders>
            <w:shd w:val="clear" w:color="auto" w:fill="auto"/>
            <w:vAlign w:val="center"/>
          </w:tcPr>
          <w:p>
            <w:pPr>
              <w:spacing w:line="600" w:lineRule="exact"/>
              <w:rPr>
                <w:color w:val="000000"/>
                <w:sz w:val="20"/>
                <w:szCs w:val="20"/>
              </w:rPr>
            </w:pPr>
            <w:r>
              <w:rPr>
                <w:rFonts w:hint="eastAsia"/>
                <w:color w:val="000000"/>
                <w:sz w:val="20"/>
                <w:szCs w:val="20"/>
              </w:rPr>
              <w:t>2020年秋期12月和2021年1月两次学生打卡不能在年终关账前完成统计工作，该两期国家助学金不能在2020年12月31前发放，所以年终预留少量指标资金，于2021年1月完成打卡统计工作后及时向学生发放。</w:t>
            </w:r>
          </w:p>
        </w:tc>
      </w:tr>
    </w:tbl>
    <w:p>
      <w:pPr>
        <w:pStyle w:val="4"/>
        <w:shd w:val="clear" w:color="auto" w:fill="FFFFFF"/>
        <w:spacing w:before="0" w:beforeAutospacing="0" w:after="0" w:afterAutospacing="0" w:line="600" w:lineRule="exact"/>
        <w:rPr>
          <w:color w:val="000000"/>
          <w:sz w:val="21"/>
          <w:szCs w:val="21"/>
        </w:rPr>
      </w:pPr>
      <w:r>
        <w:rPr>
          <w:color w:val="000000"/>
          <w:sz w:val="21"/>
          <w:szCs w:val="21"/>
        </w:rPr>
        <w:t xml:space="preserve">预算单位主要领导：王孝强    </w:t>
      </w:r>
      <w:r>
        <w:rPr>
          <w:rFonts w:hint="eastAsia"/>
          <w:color w:val="000000"/>
          <w:sz w:val="21"/>
          <w:szCs w:val="21"/>
        </w:rPr>
        <w:t xml:space="preserve"> </w:t>
      </w:r>
      <w:r>
        <w:rPr>
          <w:color w:val="000000"/>
          <w:sz w:val="21"/>
          <w:szCs w:val="21"/>
        </w:rPr>
        <w:t xml:space="preserve">  </w:t>
      </w:r>
      <w:r>
        <w:rPr>
          <w:color w:val="000000"/>
          <w:sz w:val="21"/>
          <w:szCs w:val="21"/>
        </w:rPr>
        <w:tab/>
      </w:r>
      <w:r>
        <w:rPr>
          <w:color w:val="000000"/>
          <w:sz w:val="21"/>
          <w:szCs w:val="21"/>
        </w:rPr>
        <w:t>绩效评价负责人：曹永林</w:t>
      </w:r>
      <w:r>
        <w:rPr>
          <w:color w:val="000000"/>
          <w:sz w:val="21"/>
          <w:szCs w:val="21"/>
        </w:rPr>
        <w:tab/>
      </w:r>
      <w:r>
        <w:rPr>
          <w:rFonts w:hint="eastAsia"/>
          <w:color w:val="000000"/>
          <w:sz w:val="21"/>
          <w:szCs w:val="21"/>
        </w:rPr>
        <w:t xml:space="preserve">    </w:t>
      </w:r>
      <w:r>
        <w:rPr>
          <w:color w:val="000000"/>
          <w:sz w:val="21"/>
          <w:szCs w:val="21"/>
        </w:rPr>
        <w:t>经办人：</w:t>
      </w:r>
      <w:r>
        <w:rPr>
          <w:color w:val="000000"/>
          <w:sz w:val="21"/>
          <w:szCs w:val="21"/>
        </w:rPr>
        <w:tab/>
      </w:r>
      <w:r>
        <w:rPr>
          <w:color w:val="000000"/>
          <w:sz w:val="21"/>
          <w:szCs w:val="21"/>
        </w:rPr>
        <w:t>杨仁才</w:t>
      </w:r>
    </w:p>
    <w:sectPr>
      <w:pgSz w:w="11907" w:h="16840"/>
      <w:pgMar w:top="2098" w:right="1474" w:bottom="1985" w:left="1588"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8B7DD209-122A-494B-B10C-D7D09D5EE1FF}"/>
  </w:font>
  <w:font w:name="Arial">
    <w:panose1 w:val="020B0604020202020204"/>
    <w:charset w:val="01"/>
    <w:family w:val="swiss"/>
    <w:pitch w:val="default"/>
    <w:sig w:usb0="E0002AFF" w:usb1="C0007843" w:usb2="00000009" w:usb3="00000000" w:csb0="400001FF" w:csb1="FFFF0000"/>
    <w:embedRegular r:id="rId2" w:fontKey="{09713383-C821-4B10-9FA2-3282EF6A39C8}"/>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0FDF0572-C54B-4C11-8D03-18F38F31D47E}"/>
  </w:font>
  <w:font w:name="Symbol">
    <w:panose1 w:val="05050102010706020507"/>
    <w:charset w:val="02"/>
    <w:family w:val="roman"/>
    <w:pitch w:val="default"/>
    <w:sig w:usb0="00000000" w:usb1="00000000" w:usb2="00000000" w:usb3="00000000" w:csb0="80000000" w:csb1="00000000"/>
    <w:embedRegular r:id="rId4" w:fontKey="{70FF9722-8326-4B56-9BA2-74F8F78C5972}"/>
  </w:font>
  <w:font w:name="Calibri">
    <w:panose1 w:val="020F0502020204030204"/>
    <w:charset w:val="00"/>
    <w:family w:val="swiss"/>
    <w:pitch w:val="default"/>
    <w:sig w:usb0="E00002FF" w:usb1="4000ACFF" w:usb2="00000001" w:usb3="00000000" w:csb0="2000019F" w:csb1="00000000"/>
    <w:embedRegular r:id="rId5" w:fontKey="{47732DB8-37AC-451D-ACD4-006049A12CCB}"/>
  </w:font>
  <w:font w:name="方正小标宋_GBK">
    <w:panose1 w:val="03000509000000000000"/>
    <w:charset w:val="86"/>
    <w:family w:val="script"/>
    <w:pitch w:val="default"/>
    <w:sig w:usb0="00000001" w:usb1="080E0000" w:usb2="00000000" w:usb3="00000000" w:csb0="00040000" w:csb1="00000000"/>
    <w:embedRegular r:id="rId6" w:fontKey="{DF01BD70-640A-40F6-968D-290757697BD0}"/>
  </w:font>
  <w:font w:name="方正黑体_GBK">
    <w:panose1 w:val="03000509000000000000"/>
    <w:charset w:val="86"/>
    <w:family w:val="script"/>
    <w:pitch w:val="default"/>
    <w:sig w:usb0="00000001" w:usb1="080E0000" w:usb2="00000000" w:usb3="00000000" w:csb0="00040000" w:csb1="00000000"/>
    <w:embedRegular r:id="rId7" w:fontKey="{395ACB5D-BF77-472C-B190-E85BCCF766C6}"/>
  </w:font>
  <w:font w:name="方正楷体_GBK">
    <w:panose1 w:val="03000509000000000000"/>
    <w:charset w:val="86"/>
    <w:family w:val="script"/>
    <w:pitch w:val="default"/>
    <w:sig w:usb0="00000001" w:usb1="080E0000" w:usb2="00000000" w:usb3="00000000" w:csb0="00040000" w:csb1="00000000"/>
    <w:embedRegular r:id="rId8" w:fontKey="{172A9834-D075-4FC1-BC8C-08962137F184}"/>
  </w:font>
  <w:font w:name="方正仿宋_GBK">
    <w:panose1 w:val="03000509000000000000"/>
    <w:charset w:val="86"/>
    <w:family w:val="script"/>
    <w:pitch w:val="default"/>
    <w:sig w:usb0="00000001" w:usb1="080E0000" w:usb2="00000000" w:usb3="00000000" w:csb0="00040000" w:csb1="00000000"/>
    <w:embedRegular r:id="rId9" w:fontKey="{0B9F3105-6904-457E-8286-97074B11214F}"/>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1"/>
  <w:bordersDoNotSurroundFooter w:val="1"/>
  <w:documentProtection w:enforcement="0"/>
  <w:defaultTabStop w:val="420"/>
  <w:noPunctuationKerning w:val="1"/>
  <w:characterSpacingControl w:val="doNotCompress"/>
  <w:compat>
    <w:useFELayout/>
    <w:compatSetting w:name="compatibilityMode" w:uri="http://schemas.microsoft.com/office/word" w:val="12"/>
  </w:compat>
  <w:docVars>
    <w:docVar w:name="commondata" w:val="eyJoZGlkIjoiNmEzYWYxYTY4NzQ3ZjAxZTg4Njg0OTUxNTYxM2Y5ZGQifQ=="/>
  </w:docVars>
  <w:rsids>
    <w:rsidRoot w:val="007225B6"/>
    <w:rsid w:val="00070D3B"/>
    <w:rsid w:val="000B1A1C"/>
    <w:rsid w:val="002709BD"/>
    <w:rsid w:val="00333777"/>
    <w:rsid w:val="003C0CDE"/>
    <w:rsid w:val="00410793"/>
    <w:rsid w:val="004D0B6C"/>
    <w:rsid w:val="00622AA1"/>
    <w:rsid w:val="006E04AB"/>
    <w:rsid w:val="007225B6"/>
    <w:rsid w:val="008241AB"/>
    <w:rsid w:val="008F3D7B"/>
    <w:rsid w:val="00907D9B"/>
    <w:rsid w:val="00947351"/>
    <w:rsid w:val="00993E15"/>
    <w:rsid w:val="00A343C6"/>
    <w:rsid w:val="00AE00BC"/>
    <w:rsid w:val="00CC6BCB"/>
    <w:rsid w:val="00CE030A"/>
    <w:rsid w:val="00DB2D3E"/>
    <w:rsid w:val="27090D8E"/>
    <w:rsid w:val="48366B96"/>
    <w:rsid w:val="745D14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Theme="minorEastAsia"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5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宋体" w:hAnsi="宋体" w:eastAsia="宋体" w:cs="宋体"/>
      <w:sz w:val="24"/>
      <w:szCs w:val="24"/>
      <w:lang w:val="en-US" w:eastAsia="zh-CN" w:bidi="ar-SA"/>
    </w:rPr>
  </w:style>
  <w:style w:type="character" w:default="1" w:styleId="6">
    <w:name w:val="Default Paragraph Font"/>
    <w:semiHidden/>
    <w:unhideWhenUsed/>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9"/>
    <w:unhideWhenUsed/>
    <w:uiPriority w:val="99"/>
    <w:pPr>
      <w:tabs>
        <w:tab w:val="center" w:pos="4153"/>
        <w:tab w:val="right" w:pos="8306"/>
      </w:tabs>
      <w:snapToGrid w:val="0"/>
    </w:pPr>
    <w:rPr>
      <w:sz w:val="18"/>
      <w:szCs w:val="18"/>
    </w:rPr>
  </w:style>
  <w:style w:type="paragraph" w:styleId="3">
    <w:name w:val="header"/>
    <w:basedOn w:val="1"/>
    <w:link w:val="8"/>
    <w:unhideWhenUsed/>
    <w:qFormat/>
    <w:uiPriority w:val="99"/>
    <w:pPr>
      <w:pBdr>
        <w:bottom w:val="single" w:color="auto" w:sz="6" w:space="1"/>
      </w:pBdr>
      <w:tabs>
        <w:tab w:val="center" w:pos="4153"/>
        <w:tab w:val="right" w:pos="8306"/>
      </w:tabs>
      <w:snapToGrid w:val="0"/>
      <w:jc w:val="center"/>
    </w:pPr>
    <w:rPr>
      <w:sz w:val="18"/>
      <w:szCs w:val="18"/>
    </w:rPr>
  </w:style>
  <w:style w:type="paragraph" w:styleId="4">
    <w:name w:val="Normal (Web)"/>
    <w:basedOn w:val="1"/>
    <w:unhideWhenUsed/>
    <w:qFormat/>
    <w:uiPriority w:val="99"/>
    <w:pPr>
      <w:spacing w:before="100" w:beforeAutospacing="1" w:after="100" w:afterAutospacing="1"/>
    </w:pPr>
  </w:style>
  <w:style w:type="character" w:styleId="7">
    <w:name w:val="Strong"/>
    <w:basedOn w:val="6"/>
    <w:qFormat/>
    <w:uiPriority w:val="22"/>
    <w:rPr>
      <w:b/>
      <w:bCs/>
    </w:rPr>
  </w:style>
  <w:style w:type="character" w:customStyle="1" w:styleId="8">
    <w:name w:val="页眉 Char"/>
    <w:basedOn w:val="6"/>
    <w:link w:val="3"/>
    <w:qFormat/>
    <w:uiPriority w:val="99"/>
    <w:rPr>
      <w:rFonts w:ascii="宋体" w:hAnsi="宋体" w:eastAsia="宋体" w:cs="宋体"/>
      <w:sz w:val="18"/>
      <w:szCs w:val="18"/>
    </w:rPr>
  </w:style>
  <w:style w:type="character" w:customStyle="1" w:styleId="9">
    <w:name w:val="页脚 Char"/>
    <w:basedOn w:val="6"/>
    <w:link w:val="2"/>
    <w:uiPriority w:val="99"/>
    <w:rPr>
      <w:rFonts w:ascii="宋体" w:hAnsi="宋体" w:eastAsia="宋体" w:cs="宋体"/>
      <w:sz w:val="18"/>
      <w:szCs w:val="18"/>
    </w:rPr>
  </w:style>
</w:styles>
</file>

<file path=word/_rels/document.xml.rels><?xml version="1.0" encoding="UTF-8" standalone="yes"?>
<Relationships xmlns="http://schemas.openxmlformats.org/package/2006/relationships"><Relationship Id="rId4" Type="http://schemas.openxmlformats.org/officeDocument/2006/relationships/fontTable" Target="fontTable.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微软中国</Company>
  <Pages>14</Pages>
  <Words>5835</Words>
  <Characters>6705</Characters>
  <Lines>49</Lines>
  <Paragraphs>13</Paragraphs>
  <TotalTime>340</TotalTime>
  <ScaleCrop>false</ScaleCrop>
  <LinksUpToDate>false</LinksUpToDate>
  <CharactersWithSpaces>6763</CharactersWithSpaces>
  <Application>WPS Office_11.1.0.12012_F1E327BC-269C-435d-A152-05C5408002CA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2022-08-28T01:00:00Z</dcterms:created>
  <dc:creator>重庆市綦江职业教育中心</dc:creator>
  <cp:lastModifiedBy>陈列</cp:lastModifiedBy>
  <dcterms:modified xsi:type="dcterms:W3CDTF">2022-09-01T15:39:02Z</dcterms:modified>
  <dc:title>公开报告模板</dc:title>
  <cp:revision>12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2052-11.1.0.12012</vt:lpwstr>
  </property>
  <property fmtid="{D5CDD505-2E9C-101B-9397-08002B2CF9AE}" pid="3" name="ICV">
    <vt:lpwstr>E34C739F4F2A439199F5C94CC32466B6</vt:lpwstr>
  </property>
  <property fmtid="{D5CDD505-2E9C-101B-9397-08002B2CF9AE}" pid="4" name="KSOSaveFontToCloudKey">
    <vt:lpwstr>248773679_embed</vt:lpwstr>
  </property>
</Properties>
</file>