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重庆市綦江区三角小学</w:t>
      </w:r>
    </w:p>
    <w:p>
      <w:pPr>
        <w:pStyle w:val="4"/>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4"/>
        <w:snapToGrid w:val="0"/>
        <w:spacing w:before="0" w:beforeAutospacing="0" w:line="600" w:lineRule="exact"/>
      </w:pPr>
      <w:r>
        <w:rPr>
          <w:rFonts w:hint="eastAsia"/>
          <w:shd w:val="clear" w:color="auto" w:fill="FFFFFF"/>
        </w:rPr>
        <w:t xml:space="preserve"> </w:t>
      </w:r>
    </w:p>
    <w:p>
      <w:pPr>
        <w:pStyle w:val="4"/>
        <w:snapToGrid w:val="0"/>
        <w:spacing w:before="0" w:beforeAutospacing="0" w:line="600" w:lineRule="exact"/>
        <w:rPr>
          <w:rFonts w:hint="eastAsia" w:ascii="方正黑体_GBK" w:eastAsia="方正黑体_GBK"/>
          <w:sz w:val="32"/>
          <w:szCs w:val="32"/>
        </w:rPr>
      </w:pPr>
      <w:r>
        <w:rPr>
          <w:rStyle w:val="8"/>
          <w:rFonts w:hint="eastAsia" w:ascii="方正黑体_GBK" w:eastAsia="方正黑体_GBK"/>
          <w:sz w:val="32"/>
          <w:szCs w:val="32"/>
          <w:shd w:val="clear" w:color="auto" w:fill="FFFFFF"/>
        </w:rPr>
        <w:t>一、部门基本情况</w:t>
      </w:r>
    </w:p>
    <w:p>
      <w:pPr>
        <w:pStyle w:val="4"/>
        <w:spacing w:before="0" w:beforeAutospacing="0" w:after="0" w:afterAutospacing="0" w:line="600" w:lineRule="exact"/>
        <w:rPr>
          <w:rFonts w:ascii="方正楷体_GBK" w:eastAsia="方正楷体_GBK"/>
          <w:sz w:val="32"/>
          <w:szCs w:val="32"/>
        </w:rPr>
      </w:pPr>
      <w:r>
        <w:rPr>
          <w:rStyle w:val="7"/>
          <w:rFonts w:hint="eastAsia" w:ascii="方正楷体_GBK" w:eastAsia="方正楷体_GBK"/>
          <w:sz w:val="32"/>
          <w:szCs w:val="32"/>
        </w:rPr>
        <w:t>（一）职能职责</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eastAsia="方正仿宋_GBK"/>
          <w:sz w:val="32"/>
          <w:szCs w:val="32"/>
        </w:rPr>
        <w:t> </w:t>
      </w:r>
      <w:r>
        <w:rPr>
          <w:rFonts w:hint="eastAsia" w:ascii="方正仿宋_GBK" w:eastAsia="方正仿宋_GBK"/>
          <w:sz w:val="32"/>
          <w:szCs w:val="32"/>
        </w:rPr>
        <w:t>1、宣传贯彻执行党和国家的教育方针、政策、法律法规等，坚持依法治教、依法治学，贯彻执行区教委的行政规章制度。</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2、配合区、镇人民政府制定符合党的教育方针和国家教育法律法规以及本校实际的教育发展规划和学校布局调整规划，并抓好组织实施和落实工作。</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3、配合各级人民政府依法动员、组织适龄儿童少年入学，严格控制辍学。负责抓所在镇的成人教育工作，抓好扫盲和巩固工作，推进普及义务教育。</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4、组织开展本校的教育教学科研和教育教学改革，科研兴教，科研必校。负责对本校教育教学业务的具体管理，负责教育教学管理及教研教改工作，全力推进素质教育实施。</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5、按照干部和教师的职数、编制和管理权限，负责本校教师人事管理、继续教育、考核考评等工作。</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6、负责本校财务和基建管理，筹指资金，改善办学条件等工作。</w:t>
      </w:r>
    </w:p>
    <w:p>
      <w:pPr>
        <w:pStyle w:val="4"/>
        <w:snapToGrid w:val="0"/>
        <w:spacing w:before="0" w:beforeAutospacing="0" w:line="600" w:lineRule="exact"/>
      </w:pPr>
      <w:r>
        <w:rPr>
          <w:rFonts w:hint="eastAsia" w:ascii="方正仿宋_GBK" w:eastAsia="方正仿宋_GBK"/>
          <w:sz w:val="32"/>
          <w:szCs w:val="32"/>
        </w:rPr>
        <w:t>7、指导、管理、检查、评价本校的教育教学工作，提高办学质量和办学效益。按照义务教育课程计划，开齐课程，开足课时，认真实施中小学的教育教学管理，全面推进素质教育，全面提高教育教学质量。</w:t>
      </w:r>
    </w:p>
    <w:p>
      <w:pPr>
        <w:pStyle w:val="4"/>
        <w:spacing w:before="0" w:beforeAutospacing="0" w:after="0" w:afterAutospacing="0" w:line="600" w:lineRule="exact"/>
        <w:rPr>
          <w:rStyle w:val="7"/>
          <w:rFonts w:ascii="方正楷体_GBK" w:eastAsia="方正楷体_GBK"/>
          <w:sz w:val="32"/>
          <w:szCs w:val="32"/>
        </w:rPr>
      </w:pPr>
      <w:r>
        <w:rPr>
          <w:rFonts w:hint="eastAsia"/>
          <w:sz w:val="27"/>
          <w:szCs w:val="27"/>
          <w:shd w:val="clear" w:color="auto" w:fill="FFFFFF"/>
        </w:rPr>
        <w:t xml:space="preserve"> </w:t>
      </w:r>
      <w:r>
        <w:rPr>
          <w:rStyle w:val="7"/>
          <w:rFonts w:hint="eastAsia" w:ascii="方正楷体_GBK" w:eastAsia="方正楷体_GBK"/>
          <w:sz w:val="32"/>
          <w:szCs w:val="32"/>
        </w:rPr>
        <w:t xml:space="preserve"> （二）机构设置</w:t>
      </w:r>
    </w:p>
    <w:p>
      <w:pPr>
        <w:snapToGrid w:val="0"/>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纳入本地区（本部门）部门决算汇编范围的独立核算单位共</w:t>
      </w:r>
      <w:r>
        <w:rPr>
          <w:rFonts w:hint="eastAsia" w:ascii="仿宋_GB2312" w:eastAsia="仿宋_GB2312"/>
          <w:color w:val="000000"/>
          <w:sz w:val="32"/>
          <w:szCs w:val="32"/>
          <w:u w:val="single"/>
        </w:rPr>
        <w:t>1</w:t>
      </w:r>
      <w:r>
        <w:rPr>
          <w:rFonts w:hint="eastAsia" w:ascii="仿宋_GB2312" w:hAnsi="仿宋" w:eastAsia="仿宋_GB2312" w:cs="仿宋"/>
          <w:color w:val="000000"/>
          <w:sz w:val="32"/>
          <w:szCs w:val="32"/>
        </w:rPr>
        <w:t>个，比上年增加（减少）</w:t>
      </w:r>
      <w:r>
        <w:rPr>
          <w:rFonts w:hint="eastAsia" w:ascii="仿宋_GB2312" w:eastAsia="仿宋_GB2312"/>
          <w:color w:val="000000"/>
          <w:sz w:val="32"/>
          <w:szCs w:val="32"/>
          <w:u w:val="single"/>
        </w:rPr>
        <w:t>0</w:t>
      </w:r>
      <w:r>
        <w:rPr>
          <w:rFonts w:hint="eastAsia" w:ascii="仿宋_GB2312" w:hAnsi="仿宋" w:eastAsia="仿宋_GB2312" w:cs="仿宋"/>
          <w:color w:val="000000"/>
          <w:sz w:val="32"/>
          <w:szCs w:val="32"/>
        </w:rPr>
        <w:t>个，分类说明如下：</w:t>
      </w:r>
    </w:p>
    <w:tbl>
      <w:tblPr>
        <w:tblStyle w:val="5"/>
        <w:tblW w:w="0" w:type="auto"/>
        <w:tblInd w:w="2" w:type="dxa"/>
        <w:tblLayout w:type="fixed"/>
        <w:tblCellMar>
          <w:top w:w="0" w:type="dxa"/>
          <w:left w:w="0" w:type="dxa"/>
          <w:bottom w:w="0" w:type="dxa"/>
          <w:right w:w="0" w:type="dxa"/>
        </w:tblCellMar>
      </w:tblPr>
      <w:tblGrid>
        <w:gridCol w:w="2940"/>
        <w:gridCol w:w="992"/>
        <w:gridCol w:w="1133"/>
        <w:gridCol w:w="3451"/>
        <w:gridCol w:w="6"/>
      </w:tblGrid>
      <w:tr>
        <w:tblPrEx>
          <w:tblCellMar>
            <w:top w:w="0" w:type="dxa"/>
            <w:left w:w="0" w:type="dxa"/>
            <w:bottom w:w="0" w:type="dxa"/>
            <w:right w:w="0" w:type="dxa"/>
          </w:tblCellMar>
        </w:tblPrEx>
        <w:trPr>
          <w:gridAfter w:val="1"/>
          <w:wAfter w:w="6" w:type="dxa"/>
          <w:trHeight w:val="70" w:hRule="atLeast"/>
        </w:trPr>
        <w:tc>
          <w:tcPr>
            <w:tcW w:w="29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color w:val="000000"/>
                <w:sz w:val="24"/>
              </w:rPr>
              <w:t>项目</w:t>
            </w:r>
          </w:p>
        </w:tc>
        <w:tc>
          <w:tcPr>
            <w:tcW w:w="992"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color w:val="000000"/>
                <w:sz w:val="24"/>
              </w:rPr>
              <w:t>数量</w:t>
            </w:r>
          </w:p>
        </w:tc>
        <w:tc>
          <w:tcPr>
            <w:tcW w:w="1133"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color w:val="000000"/>
                <w:sz w:val="24"/>
              </w:rPr>
              <w:t>比上年增减</w:t>
            </w:r>
          </w:p>
        </w:tc>
        <w:tc>
          <w:tcPr>
            <w:tcW w:w="3451"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color w:val="000000"/>
                <w:sz w:val="24"/>
              </w:rPr>
              <w:t>变动原因说明</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color w:val="000000"/>
                <w:sz w:val="24"/>
              </w:rPr>
              <w:t>合</w:t>
            </w:r>
            <w:r>
              <w:rPr>
                <w:rFonts w:hint="eastAsia" w:ascii="仿宋_GB2312" w:eastAsia="仿宋_GB2312"/>
                <w:color w:val="000000"/>
                <w:sz w:val="24"/>
              </w:rPr>
              <w:t xml:space="preserve">    </w:t>
            </w:r>
            <w:r>
              <w:rPr>
                <w:rFonts w:hint="eastAsia" w:ascii="仿宋_GB2312" w:hAnsi="仿宋" w:eastAsia="仿宋_GB2312"/>
                <w:color w:val="000000"/>
                <w:sz w:val="24"/>
              </w:rPr>
              <w:t>计</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一、按单位基本性质</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行政单位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事业单位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其他</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二、按执行会计制度</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行政单位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ind w:firstLine="282"/>
              <w:rPr>
                <w:rFonts w:ascii="仿宋_GB2312" w:hAnsi="仿宋" w:eastAsia="仿宋_GB2312"/>
                <w:sz w:val="24"/>
              </w:rPr>
            </w:pPr>
            <w:r>
              <w:rPr>
                <w:rFonts w:hint="eastAsia" w:ascii="仿宋_GB2312" w:hAnsi="仿宋" w:eastAsia="仿宋_GB2312"/>
                <w:color w:val="000000"/>
                <w:sz w:val="24"/>
              </w:rPr>
              <w:t>事业单位（含行业）</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民间非营利组织</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color w:val="000000"/>
                <w:sz w:val="24"/>
              </w:rPr>
              <w:t>企业</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三、</w:t>
            </w:r>
            <w:r>
              <w:rPr>
                <w:rFonts w:hint="eastAsia" w:ascii="仿宋_GB2312" w:hAnsi="仿宋" w:eastAsia="仿宋_GB2312"/>
                <w:sz w:val="24"/>
              </w:rPr>
              <w:t>按预算管理级次</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sz w:val="24"/>
              </w:rPr>
              <w:t>省级单位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sz w:val="24"/>
              </w:rPr>
              <w:t>地（市）级单位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sz w:val="24"/>
              </w:rPr>
              <w:t>县级单位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1</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0</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hAnsi="仿宋" w:eastAsia="仿宋_GB2312"/>
                <w:color w:val="000000"/>
                <w:sz w:val="24"/>
              </w:rPr>
              <w:t>　</w:t>
            </w:r>
          </w:p>
        </w:tc>
      </w:tr>
      <w:tr>
        <w:tblPrEx>
          <w:tblCellMar>
            <w:top w:w="0" w:type="dxa"/>
            <w:left w:w="0" w:type="dxa"/>
            <w:bottom w:w="0" w:type="dxa"/>
            <w:right w:w="0" w:type="dxa"/>
          </w:tblCellMar>
        </w:tblPrEx>
        <w:trPr>
          <w:gridAfter w:val="1"/>
          <w:wAfter w:w="6" w:type="dxa"/>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hint="eastAsia" w:ascii="仿宋_GB2312" w:eastAsia="仿宋_GB2312"/>
                <w:color w:val="000000"/>
                <w:sz w:val="24"/>
              </w:rPr>
              <w:t xml:space="preserve">    </w:t>
            </w:r>
            <w:r>
              <w:rPr>
                <w:rFonts w:hint="eastAsia" w:ascii="仿宋_GB2312" w:hAnsi="仿宋" w:eastAsia="仿宋_GB2312"/>
                <w:sz w:val="24"/>
              </w:rPr>
              <w:t>乡镇级单位</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ascii="仿宋_GB2312" w:eastAsia="仿宋_GB2312"/>
                <w:color w:val="000000"/>
                <w:sz w:val="24"/>
              </w:rPr>
              <w:t> </w:t>
            </w: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ascii="仿宋_GB2312" w:eastAsia="仿宋_GB2312"/>
                <w:color w:val="000000"/>
                <w:sz w:val="24"/>
              </w:rPr>
              <w:t> </w:t>
            </w:r>
          </w:p>
        </w:tc>
        <w:tc>
          <w:tcPr>
            <w:tcW w:w="3451"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rPr>
            </w:pPr>
            <w:r>
              <w:rPr>
                <w:rFonts w:ascii="仿宋_GB2312" w:eastAsia="仿宋_GB2312"/>
                <w:color w:val="000000"/>
                <w:sz w:val="24"/>
              </w:rPr>
              <w:t> </w:t>
            </w: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四、按事业单位分类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highlight w:val="yellow"/>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highlight w:val="yellow"/>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 xml:space="preserve">    行政类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highlight w:val="yellow"/>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highlight w:val="yellow"/>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 xml:space="preserve">  公益一类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bookmarkStart w:id="0" w:name="_GoBack"/>
            <w:r>
              <w:rPr>
                <w:rFonts w:hint="eastAsia" w:ascii="仿宋_GB2312" w:hAnsi="仿宋" w:eastAsia="仿宋_GB2312"/>
                <w:color w:val="000000"/>
                <w:sz w:val="24"/>
                <w:highlight w:val="yellow"/>
              </w:rPr>
              <w:t>1</w:t>
            </w:r>
            <w:bookmarkEnd w:id="0"/>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color w:val="000000"/>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 xml:space="preserve">  公益二类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color w:val="000000"/>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 xml:space="preserve">  生产经营类</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color w:val="000000"/>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highlight w:val="yellow"/>
              </w:rPr>
            </w:pPr>
          </w:p>
        </w:tc>
      </w:tr>
      <w:tr>
        <w:tblPrEx>
          <w:tblCellMar>
            <w:top w:w="0" w:type="dxa"/>
            <w:left w:w="0" w:type="dxa"/>
            <w:bottom w:w="0" w:type="dxa"/>
            <w:right w:w="0" w:type="dxa"/>
          </w:tblCellMar>
        </w:tblPrEx>
        <w:trPr>
          <w:trHeight w:val="285" w:hRule="atLeast"/>
        </w:trPr>
        <w:tc>
          <w:tcPr>
            <w:tcW w:w="294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color w:val="000000"/>
                <w:sz w:val="24"/>
              </w:rPr>
            </w:pPr>
            <w:r>
              <w:rPr>
                <w:rFonts w:hint="eastAsia" w:ascii="仿宋_GB2312" w:hAnsi="仿宋" w:eastAsia="仿宋_GB2312"/>
                <w:color w:val="000000"/>
                <w:sz w:val="24"/>
              </w:rPr>
              <w:t xml:space="preserve">  暂未明确类别</w:t>
            </w:r>
          </w:p>
        </w:tc>
        <w:tc>
          <w:tcPr>
            <w:tcW w:w="992"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color w:val="000000"/>
                <w:sz w:val="24"/>
              </w:rPr>
            </w:pPr>
          </w:p>
        </w:tc>
        <w:tc>
          <w:tcPr>
            <w:tcW w:w="1133" w:type="dxa"/>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jc w:val="center"/>
              <w:rPr>
                <w:rFonts w:ascii="仿宋_GB2312" w:hAnsi="仿宋" w:eastAsia="仿宋_GB2312"/>
                <w:sz w:val="24"/>
              </w:rPr>
            </w:pPr>
            <w:r>
              <w:rPr>
                <w:rFonts w:hint="eastAsia" w:ascii="仿宋_GB2312" w:hAnsi="仿宋" w:eastAsia="仿宋_GB2312"/>
                <w:sz w:val="24"/>
              </w:rPr>
              <w:t>—</w:t>
            </w:r>
          </w:p>
        </w:tc>
        <w:tc>
          <w:tcPr>
            <w:tcW w:w="3457" w:type="dxa"/>
            <w:gridSpan w:val="2"/>
            <w:tcBorders>
              <w:top w:val="nil"/>
              <w:left w:val="nil"/>
              <w:bottom w:val="single" w:color="auto" w:sz="8" w:space="0"/>
              <w:right w:val="single" w:color="auto" w:sz="8" w:space="0"/>
            </w:tcBorders>
            <w:tcMar>
              <w:top w:w="0" w:type="dxa"/>
              <w:left w:w="108" w:type="dxa"/>
              <w:bottom w:w="0" w:type="dxa"/>
              <w:right w:w="108" w:type="dxa"/>
            </w:tcMar>
            <w:vAlign w:val="center"/>
          </w:tcPr>
          <w:p>
            <w:pPr>
              <w:spacing w:line="600" w:lineRule="exact"/>
              <w:rPr>
                <w:rFonts w:ascii="仿宋_GB2312" w:hAnsi="仿宋" w:eastAsia="仿宋_GB2312"/>
                <w:sz w:val="24"/>
                <w:highlight w:val="yellow"/>
              </w:rPr>
            </w:pPr>
          </w:p>
        </w:tc>
      </w:tr>
    </w:tbl>
    <w:p>
      <w:pPr>
        <w:pStyle w:val="4"/>
        <w:spacing w:before="0" w:beforeAutospacing="0" w:after="0" w:afterAutospacing="0" w:line="600" w:lineRule="exact"/>
        <w:rPr>
          <w:rStyle w:val="7"/>
          <w:rFonts w:ascii="方正楷体_GBK" w:eastAsia="方正楷体_GBK"/>
          <w:sz w:val="32"/>
          <w:szCs w:val="32"/>
        </w:rPr>
      </w:pPr>
      <w:r>
        <w:rPr>
          <w:rFonts w:hint="eastAsia"/>
          <w:sz w:val="27"/>
          <w:szCs w:val="27"/>
          <w:shd w:val="clear" w:color="auto" w:fill="FFFFFF"/>
        </w:rPr>
        <w:t xml:space="preserve"> </w:t>
      </w:r>
      <w:r>
        <w:rPr>
          <w:rStyle w:val="7"/>
          <w:rFonts w:hint="eastAsia" w:ascii="方正楷体_GBK" w:eastAsia="方正楷体_GBK"/>
          <w:sz w:val="32"/>
          <w:szCs w:val="32"/>
        </w:rPr>
        <w:t xml:space="preserve"> （三）单位构成</w:t>
      </w:r>
    </w:p>
    <w:p>
      <w:pPr>
        <w:pStyle w:val="4"/>
        <w:snapToGrid w:val="0"/>
        <w:spacing w:before="0" w:beforeAutospacing="0" w:line="600" w:lineRule="exact"/>
      </w:pPr>
      <w:r>
        <w:rPr>
          <w:rStyle w:val="8"/>
          <w:rFonts w:hint="eastAsia"/>
          <w:sz w:val="27"/>
          <w:szCs w:val="27"/>
          <w:shd w:val="clear" w:color="auto" w:fill="FFFFFF"/>
        </w:rPr>
        <w:t xml:space="preserve">    </w:t>
      </w:r>
      <w:r>
        <w:rPr>
          <w:rFonts w:hint="eastAsia" w:ascii="方正仿宋_GBK" w:eastAsia="方正仿宋_GBK"/>
          <w:sz w:val="32"/>
          <w:szCs w:val="32"/>
        </w:rPr>
        <w:t>重庆市綦江区三角小学为实施九年制小学义务教育的全日制公办教育机构，具有法人资格，独立承担民事责任。</w:t>
      </w:r>
      <w:r>
        <w:rPr>
          <w:rFonts w:hint="eastAsia" w:ascii="方正仿宋_GBK" w:eastAsia="方正仿宋_GBK"/>
          <w:color w:val="333333"/>
          <w:sz w:val="32"/>
          <w:szCs w:val="32"/>
        </w:rPr>
        <w:t>本单位是全额拨款事业单位。独立编制机构1个，年末在职人数57人，退休人员2人，学生人数702人。学校面向镇教育行政部门规定的区域范围进行招生，招生对象为辖区内健康适龄儿童，促进基础教育发展。</w:t>
      </w:r>
      <w:r>
        <w:rPr>
          <w:rFonts w:hint="eastAsia" w:ascii="方正仿宋_GBK" w:eastAsia="方正仿宋_GBK"/>
          <w:sz w:val="32"/>
          <w:szCs w:val="32"/>
        </w:rPr>
        <w:t>学校坐落于重庆市綦江区三角镇 ,我校以“健康人格 美丽心灵”为培养理念。</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二、部门决算情况说明</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（一）收入支出决算总体情况说明</w:t>
      </w:r>
    </w:p>
    <w:p>
      <w:pPr>
        <w:pStyle w:val="4"/>
        <w:snapToGrid w:val="0"/>
        <w:spacing w:before="0" w:beforeAutospacing="0" w:line="600" w:lineRule="exact"/>
      </w:pPr>
      <w:r>
        <w:rPr>
          <w:rStyle w:val="8"/>
          <w:rFonts w:hint="eastAsia"/>
          <w:sz w:val="27"/>
          <w:szCs w:val="27"/>
          <w:shd w:val="clear" w:color="auto" w:fill="FFFFFF"/>
        </w:rPr>
        <w:t>1.总体情况</w:t>
      </w:r>
      <w:r>
        <w:rPr>
          <w:rFonts w:hint="eastAsia"/>
          <w:sz w:val="27"/>
          <w:szCs w:val="27"/>
          <w:shd w:val="clear" w:color="auto" w:fill="FFFFFF"/>
        </w:rPr>
        <w:t>。</w:t>
      </w:r>
      <w:r>
        <w:rPr>
          <w:rFonts w:hint="eastAsia" w:ascii="方正仿宋_GBK" w:eastAsia="方正仿宋_GBK"/>
          <w:sz w:val="32"/>
          <w:szCs w:val="32"/>
        </w:rPr>
        <w:t>2020年度收入总计1700.09万元，支出总计1598.20万元。收支较上年决算数 增加50.9万元、 增长3%，主要原因是学校加大办学经费投入。</w:t>
      </w:r>
    </w:p>
    <w:p>
      <w:pPr>
        <w:pStyle w:val="4"/>
        <w:snapToGrid w:val="0"/>
        <w:spacing w:before="0" w:beforeAutospacing="0" w:line="600" w:lineRule="exact"/>
        <w:rPr>
          <w:rFonts w:ascii="方正仿宋_GBK" w:eastAsia="方正仿宋_GBK"/>
          <w:sz w:val="32"/>
          <w:szCs w:val="32"/>
        </w:rPr>
      </w:pPr>
      <w:r>
        <w:rPr>
          <w:rStyle w:val="8"/>
          <w:rFonts w:hint="eastAsia"/>
          <w:sz w:val="27"/>
          <w:szCs w:val="27"/>
          <w:shd w:val="clear" w:color="auto" w:fill="FFFFFF"/>
        </w:rPr>
        <w:t>2.收入情况。</w:t>
      </w:r>
      <w:r>
        <w:rPr>
          <w:rFonts w:hint="eastAsia" w:ascii="方正仿宋_GBK" w:eastAsia="方正仿宋_GBK"/>
          <w:sz w:val="32"/>
          <w:szCs w:val="32"/>
        </w:rPr>
        <w:t>2020年度收入合计1373.97万元，较上年决算数减少36.23万元，下降2.5%，主要原因人员经费减少。其中：财政拨款收入1373.97万元，占100%；年初结转和结余326.12万元。</w:t>
      </w:r>
    </w:p>
    <w:p>
      <w:pPr>
        <w:pStyle w:val="4"/>
        <w:snapToGrid w:val="0"/>
        <w:spacing w:before="0" w:beforeAutospacing="0" w:line="600" w:lineRule="exact"/>
      </w:pPr>
      <w:r>
        <w:rPr>
          <w:rStyle w:val="8"/>
          <w:rFonts w:hint="eastAsia"/>
          <w:sz w:val="27"/>
          <w:szCs w:val="27"/>
          <w:shd w:val="clear" w:color="auto" w:fill="FFFFFF"/>
        </w:rPr>
        <w:t>3.支出情况。</w:t>
      </w:r>
      <w:r>
        <w:rPr>
          <w:rFonts w:hint="eastAsia" w:ascii="方正仿宋_GBK" w:eastAsia="方正仿宋_GBK"/>
          <w:sz w:val="32"/>
          <w:szCs w:val="32"/>
        </w:rPr>
        <w:t>2020年度支出合计1598.20万元，较上年决算数增加128.27万元，增长8.7%，主要原因是贫困学生增加。其中：基本支出 1544.12万元，占96.6%；项目支出54.1万元，占3.4%。</w:t>
      </w:r>
    </w:p>
    <w:p>
      <w:pPr>
        <w:pStyle w:val="4"/>
        <w:spacing w:before="0" w:beforeAutospacing="0" w:after="0" w:afterAutospacing="0" w:line="600" w:lineRule="exact"/>
        <w:ind w:firstLine="542" w:firstLineChars="200"/>
        <w:rPr>
          <w:rFonts w:ascii="方正仿宋_GBK" w:eastAsia="方正仿宋_GBK"/>
          <w:sz w:val="32"/>
          <w:szCs w:val="32"/>
        </w:rPr>
      </w:pPr>
      <w:r>
        <w:rPr>
          <w:rStyle w:val="8"/>
          <w:rFonts w:hint="eastAsia"/>
          <w:sz w:val="27"/>
          <w:szCs w:val="27"/>
          <w:shd w:val="clear" w:color="auto" w:fill="FFFFFF"/>
        </w:rPr>
        <w:t>4.结转结余情况。</w:t>
      </w:r>
      <w:r>
        <w:rPr>
          <w:rFonts w:hint="eastAsia" w:ascii="方正仿宋_GBK" w:eastAsia="方正仿宋_GBK"/>
          <w:sz w:val="32"/>
          <w:szCs w:val="32"/>
        </w:rPr>
        <w:t>2020年度年末结转和结余326.12万元，较上年决算数增加98.14万元，增加4.1%，主要原因是人员经费减少。</w:t>
      </w:r>
    </w:p>
    <w:p>
      <w:pPr>
        <w:pStyle w:val="4"/>
        <w:snapToGrid w:val="0"/>
        <w:spacing w:before="0" w:beforeAutospacing="0" w:line="600" w:lineRule="exact"/>
      </w:pPr>
    </w:p>
    <w:p>
      <w:pPr>
        <w:pStyle w:val="4"/>
        <w:snapToGrid w:val="0"/>
        <w:spacing w:before="0" w:beforeAutospacing="0" w:line="600" w:lineRule="exact"/>
      </w:pPr>
      <w:r>
        <w:rPr>
          <w:rStyle w:val="8"/>
          <w:rFonts w:hint="eastAsia"/>
          <w:sz w:val="27"/>
          <w:szCs w:val="27"/>
          <w:shd w:val="clear" w:color="auto" w:fill="FFFFFF"/>
        </w:rPr>
        <w:t>（</w:t>
      </w:r>
      <w:r>
        <w:rPr>
          <w:rStyle w:val="7"/>
          <w:rFonts w:hint="eastAsia" w:ascii="方正楷体_GBK" w:eastAsia="方正楷体_GBK"/>
          <w:sz w:val="32"/>
          <w:szCs w:val="32"/>
        </w:rPr>
        <w:t>二）财政拨款收入支出决算总体情况说明</w:t>
      </w:r>
    </w:p>
    <w:p>
      <w:pPr>
        <w:pStyle w:val="4"/>
        <w:spacing w:before="0" w:beforeAutospacing="0" w:after="0" w:afterAutospacing="0" w:line="600" w:lineRule="exact"/>
        <w:ind w:firstLine="540" w:firstLineChars="200"/>
        <w:rPr>
          <w:rFonts w:ascii="方正仿宋_GBK" w:eastAsia="方正仿宋_GBK"/>
          <w:sz w:val="32"/>
          <w:szCs w:val="32"/>
        </w:rPr>
      </w:pPr>
      <w:r>
        <w:rPr>
          <w:rFonts w:hint="eastAsia"/>
          <w:sz w:val="27"/>
          <w:szCs w:val="27"/>
          <w:shd w:val="clear" w:color="auto" w:fill="FFFFFF"/>
        </w:rPr>
        <w:t xml:space="preserve"> </w:t>
      </w:r>
      <w:r>
        <w:rPr>
          <w:rFonts w:hint="eastAsia" w:ascii="方正仿宋_GBK" w:eastAsia="方正仿宋_GBK"/>
          <w:sz w:val="32"/>
          <w:szCs w:val="32"/>
        </w:rPr>
        <w:t>2020年度财政拨款收、支总计1700.09万元。与2019年相比，财政拨款收、支总计各增加50.9万 元，增长3%。主要原因是学校加大办学投入。</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（三）一般公共预算财政拨款支出决算情况说明</w:t>
      </w:r>
    </w:p>
    <w:p>
      <w:pPr>
        <w:pStyle w:val="4"/>
        <w:snapToGrid w:val="0"/>
        <w:spacing w:before="0" w:beforeAutospacing="0" w:line="600" w:lineRule="exact"/>
      </w:pPr>
      <w:r>
        <w:rPr>
          <w:rStyle w:val="8"/>
          <w:rFonts w:hint="eastAsia"/>
          <w:sz w:val="27"/>
          <w:szCs w:val="27"/>
          <w:shd w:val="clear" w:color="auto" w:fill="FFFFFF"/>
        </w:rPr>
        <w:t>1.收入情况。</w:t>
      </w:r>
      <w:r>
        <w:rPr>
          <w:rFonts w:hint="eastAsia" w:ascii="方正仿宋_GBK" w:eastAsia="方正仿宋_GBK"/>
          <w:sz w:val="32"/>
          <w:szCs w:val="32"/>
        </w:rPr>
        <w:t>2020年度收入合计1373.97万元，较上年决算数减少36.23万元，下降2.5%，主要原因人员经费减少。其中：财政拨款收入1373.97万元，占100%；年初结转和结余326.12万元。</w:t>
      </w:r>
    </w:p>
    <w:p>
      <w:pPr>
        <w:pStyle w:val="4"/>
        <w:snapToGrid w:val="0"/>
        <w:spacing w:before="0" w:beforeAutospacing="0" w:line="600" w:lineRule="exact"/>
      </w:pPr>
      <w:r>
        <w:rPr>
          <w:rStyle w:val="8"/>
          <w:rFonts w:hint="eastAsia"/>
          <w:sz w:val="27"/>
          <w:szCs w:val="27"/>
          <w:shd w:val="clear" w:color="auto" w:fill="FFFFFF"/>
        </w:rPr>
        <w:t>2.支出情况。</w:t>
      </w:r>
      <w:r>
        <w:rPr>
          <w:rFonts w:hint="eastAsia" w:ascii="方正仿宋_GBK" w:eastAsia="方正仿宋_GBK"/>
          <w:sz w:val="32"/>
          <w:szCs w:val="32"/>
        </w:rPr>
        <w:t>2020年度支出合计1598.20万元，较上年决算数增加128.27万元，增长8.7%，主要原因是贫困学生增加。其中：基本支出 1544.12万元，占96.6%；项目支出54.1万元，占3.4%。</w:t>
      </w:r>
    </w:p>
    <w:p>
      <w:pPr>
        <w:pStyle w:val="4"/>
        <w:snapToGrid w:val="0"/>
        <w:spacing w:before="0" w:beforeAutospacing="0" w:line="600" w:lineRule="exact"/>
      </w:pPr>
      <w:r>
        <w:rPr>
          <w:rStyle w:val="8"/>
          <w:rFonts w:hint="eastAsia"/>
          <w:sz w:val="27"/>
          <w:szCs w:val="27"/>
          <w:shd w:val="clear" w:color="auto" w:fill="FFFFFF"/>
        </w:rPr>
        <w:t>3.结转结余情况。</w:t>
      </w:r>
      <w:r>
        <w:rPr>
          <w:rFonts w:hint="eastAsia" w:ascii="方正仿宋_GBK" w:eastAsia="方正仿宋_GBK"/>
          <w:sz w:val="32"/>
          <w:szCs w:val="32"/>
        </w:rPr>
        <w:t>2020年度年末结转和结余326.12万元，较上年决算数增加98.14万元，增加4.1%，主要原因是人员经费减少。</w:t>
      </w:r>
    </w:p>
    <w:p>
      <w:pPr>
        <w:pStyle w:val="4"/>
        <w:spacing w:before="0" w:beforeAutospacing="0" w:after="0" w:afterAutospacing="0" w:line="600" w:lineRule="exact"/>
        <w:ind w:firstLine="542" w:firstLineChars="200"/>
        <w:rPr>
          <w:rFonts w:ascii="方正仿宋_GBK" w:eastAsia="方正仿宋_GBK"/>
          <w:color w:val="FF0000"/>
          <w:sz w:val="32"/>
          <w:szCs w:val="32"/>
          <w:shd w:val="clear" w:color="auto" w:fill="FFFF00"/>
        </w:rPr>
      </w:pPr>
      <w:r>
        <w:rPr>
          <w:rStyle w:val="8"/>
          <w:rFonts w:hint="eastAsia"/>
          <w:sz w:val="27"/>
          <w:szCs w:val="27"/>
          <w:shd w:val="clear" w:color="auto" w:fill="FFFFFF"/>
        </w:rPr>
        <w:t>4.比较情况</w:t>
      </w:r>
      <w:r>
        <w:rPr>
          <w:rFonts w:hint="eastAsia"/>
          <w:sz w:val="27"/>
          <w:szCs w:val="27"/>
          <w:shd w:val="clear" w:color="auto" w:fill="FFFFFF"/>
        </w:rPr>
        <w:t>。</w:t>
      </w:r>
      <w:r>
        <w:rPr>
          <w:rFonts w:hint="eastAsia" w:ascii="方正仿宋_GBK" w:eastAsia="方正仿宋_GBK"/>
          <w:sz w:val="32"/>
          <w:szCs w:val="32"/>
        </w:rPr>
        <w:t>本部门2020年度一般公共预算财政拨款支出主要用于以下几个方面：</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（1）教育支出1123.25万元，占70.28%，较年初预算数增加54.48万 元，增长17.4%，主要原因是加大办学经费投入。</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（2）社会保障与就业支出290.16万元，占18.2%，较年初预算数增加2.67万 元，增长5.9%，主要原因是人员工资增长。</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（3）卫生健康支出70.8万元，占4.4%，较年初预算数减少1.09万 元，下降5.6%，主要原因是该年有死亡人员。</w:t>
      </w:r>
    </w:p>
    <w:p>
      <w:pPr>
        <w:pStyle w:val="4"/>
        <w:snapToGrid w:val="0"/>
        <w:spacing w:before="0" w:beforeAutospacing="0" w:line="600" w:lineRule="exact"/>
      </w:pPr>
      <w:r>
        <w:rPr>
          <w:rFonts w:hint="eastAsia" w:ascii="方正仿宋_GBK" w:eastAsia="方正仿宋_GBK"/>
          <w:sz w:val="32"/>
          <w:szCs w:val="32"/>
        </w:rPr>
        <w:t xml:space="preserve">    （4）住房保障支出59.9万元，占3.7%，较年初预算数增加0.57万 元，增长2.9%，主要原因是人员工资增长。</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（四）一般公共预算财政拨款基本支出决算情况说明</w:t>
      </w:r>
    </w:p>
    <w:p>
      <w:pPr>
        <w:pStyle w:val="4"/>
        <w:spacing w:before="0" w:beforeAutospacing="0" w:after="0" w:afterAutospacing="0" w:line="600" w:lineRule="exact"/>
        <w:ind w:firstLine="675" w:firstLineChars="250"/>
        <w:rPr>
          <w:rFonts w:ascii="方正仿宋_GBK" w:eastAsia="方正仿宋_GBK"/>
          <w:sz w:val="32"/>
          <w:szCs w:val="32"/>
        </w:rPr>
      </w:pPr>
      <w:r>
        <w:rPr>
          <w:rFonts w:hint="eastAsia"/>
          <w:sz w:val="27"/>
          <w:szCs w:val="27"/>
          <w:shd w:val="clear" w:color="auto" w:fill="FFFFFF"/>
        </w:rPr>
        <w:t xml:space="preserve">  </w:t>
      </w:r>
      <w:r>
        <w:rPr>
          <w:rFonts w:hint="eastAsia" w:ascii="方正仿宋_GBK" w:eastAsia="方正仿宋_GBK"/>
          <w:sz w:val="32"/>
          <w:szCs w:val="32"/>
        </w:rPr>
        <w:t>2020年度一般公共财政拨款基本支出1544.12万元。其中：人员经费1467.3万元，较上年决算数增加69.55万 元，增长4.7%，主要原因是人员工资增长。人员经费用途主要包括养老保险、职业年金、医疗保障、住房保障。公用经费133.85万元，较上年决算数增加35.11万元，增长35.5%，主要原因是差旅、办公增加。公用经费用途主要包括办公费、差旅费、印刷费、维修维护费、电费、水费、劳务费等。</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（五）政府性基金预算收支决算情况说明</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本部门2020年度无政府性基金预算财政拨款收支。</w:t>
      </w:r>
    </w:p>
    <w:p>
      <w:pPr>
        <w:pStyle w:val="4"/>
        <w:snapToGrid w:val="0"/>
        <w:spacing w:before="0" w:beforeAutospacing="0" w:line="600" w:lineRule="exact"/>
      </w:pPr>
    </w:p>
    <w:p>
      <w:pPr>
        <w:pStyle w:val="4"/>
        <w:snapToGrid w:val="0"/>
        <w:spacing w:before="0" w:beforeAutospacing="0" w:line="600" w:lineRule="exact"/>
        <w:rPr>
          <w:rFonts w:ascii="方正仿宋_GBK" w:eastAsia="方正仿宋_GBK"/>
          <w:sz w:val="32"/>
          <w:szCs w:val="32"/>
        </w:rPr>
      </w:pPr>
      <w:r>
        <w:rPr>
          <w:rStyle w:val="7"/>
          <w:rFonts w:hint="eastAsia" w:ascii="方正楷体_GBK" w:eastAsia="方正楷体_GBK"/>
          <w:sz w:val="32"/>
          <w:szCs w:val="32"/>
        </w:rPr>
        <w:t>（六）国有资本经营预算财政拨款支决算情况说明。</w:t>
      </w:r>
      <w:r>
        <w:rPr>
          <w:rStyle w:val="7"/>
          <w:rFonts w:hint="eastAsia" w:ascii="方正楷体_GBK" w:eastAsia="方正楷体_GBK"/>
          <w:sz w:val="32"/>
          <w:szCs w:val="32"/>
        </w:rPr>
        <w:br w:type="textWrapping"/>
      </w:r>
      <w:r>
        <w:rPr>
          <w:rFonts w:hint="eastAsia" w:ascii="方正仿宋_GBK" w:eastAsia="方正仿宋_GBK"/>
          <w:sz w:val="32"/>
          <w:szCs w:val="32"/>
        </w:rPr>
        <w:t>本部门无国有资本经营预算财政拨款支出。</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三、“三公”经费情况说明</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（一）“三公”经费支出总体情况说明</w:t>
      </w:r>
    </w:p>
    <w:p>
      <w:pPr>
        <w:pStyle w:val="4"/>
        <w:snapToGrid w:val="0"/>
        <w:spacing w:before="0" w:beforeAutospacing="0" w:line="600" w:lineRule="exact"/>
      </w:pPr>
      <w:r>
        <w:rPr>
          <w:rFonts w:hint="eastAsia"/>
        </w:rPr>
        <w:t xml:space="preserve">    </w:t>
      </w:r>
      <w:r>
        <w:rPr>
          <w:rFonts w:hint="eastAsia" w:ascii="方正仿宋_GBK" w:eastAsia="方正仿宋_GBK"/>
          <w:sz w:val="32"/>
          <w:szCs w:val="32"/>
        </w:rPr>
        <w:t>本单位2020年未发生“三公”经费支出</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（二）“三公”经费分项支出情况</w:t>
      </w:r>
    </w:p>
    <w:p>
      <w:pPr>
        <w:pStyle w:val="4"/>
        <w:snapToGrid w:val="0"/>
        <w:spacing w:before="0" w:beforeAutospacing="0" w:line="600" w:lineRule="exact"/>
        <w:rPr>
          <w:rStyle w:val="8"/>
          <w:rFonts w:ascii="宋体" w:hAnsi="宋体" w:cs="宋体"/>
          <w:b w:val="0"/>
        </w:rPr>
      </w:pPr>
      <w:r>
        <w:rPr>
          <w:rFonts w:hint="eastAsia"/>
        </w:rPr>
        <w:t xml:space="preserve">    </w:t>
      </w:r>
      <w:r>
        <w:rPr>
          <w:rFonts w:hint="eastAsia" w:ascii="方正仿宋_GBK" w:eastAsia="方正仿宋_GBK"/>
          <w:sz w:val="32"/>
          <w:szCs w:val="32"/>
        </w:rPr>
        <w:t>本单位2020年未发生“三公”经费支出</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（三）“三公”经费实物量情况</w:t>
      </w:r>
    </w:p>
    <w:p>
      <w:pPr>
        <w:pStyle w:val="4"/>
        <w:snapToGrid w:val="0"/>
        <w:spacing w:before="0" w:beforeAutospacing="0" w:line="600" w:lineRule="exact"/>
      </w:pPr>
      <w:r>
        <w:rPr>
          <w:rFonts w:hint="eastAsia"/>
        </w:rPr>
        <w:t xml:space="preserve">    </w:t>
      </w:r>
      <w:r>
        <w:rPr>
          <w:rFonts w:hint="eastAsia" w:ascii="方正仿宋_GBK" w:eastAsia="方正仿宋_GBK"/>
          <w:sz w:val="32"/>
          <w:szCs w:val="32"/>
        </w:rPr>
        <w:t>本单位2020年未发生“三公”经费支出</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四、其他需要说明的事项</w:t>
      </w:r>
    </w:p>
    <w:p>
      <w:pPr>
        <w:pStyle w:val="4"/>
        <w:snapToGrid w:val="0"/>
        <w:spacing w:before="0" w:beforeAutospacing="0" w:line="600" w:lineRule="exact"/>
        <w:rPr>
          <w:rStyle w:val="7"/>
          <w:rFonts w:ascii="方正楷体_GBK" w:eastAsia="方正楷体_GBK"/>
          <w:sz w:val="32"/>
          <w:szCs w:val="32"/>
        </w:rPr>
      </w:pPr>
      <w:r>
        <w:rPr>
          <w:rStyle w:val="8"/>
          <w:rFonts w:hint="eastAsia"/>
          <w:sz w:val="27"/>
          <w:szCs w:val="27"/>
          <w:shd w:val="clear" w:color="auto" w:fill="FFFFFF"/>
        </w:rPr>
        <w:t>（</w:t>
      </w:r>
      <w:r>
        <w:rPr>
          <w:rStyle w:val="7"/>
          <w:rFonts w:hint="eastAsia" w:ascii="方正楷体_GBK" w:eastAsia="方正楷体_GBK"/>
          <w:sz w:val="32"/>
          <w:szCs w:val="32"/>
        </w:rPr>
        <w:t>一）机关运行经费情况说明</w:t>
      </w:r>
    </w:p>
    <w:p>
      <w:pPr>
        <w:pStyle w:val="4"/>
        <w:snapToGrid w:val="0"/>
        <w:spacing w:before="0" w:beforeAutospacing="0" w:line="600" w:lineRule="exact"/>
      </w:pPr>
      <w:r>
        <w:rPr>
          <w:rFonts w:hint="eastAsia" w:ascii="方正仿宋_GBK" w:eastAsia="方正仿宋_GBK"/>
          <w:sz w:val="32"/>
          <w:szCs w:val="32"/>
        </w:rPr>
        <w:t xml:space="preserve">    本年度会议费支出0.89万元，较上年决算数减少0.25万元，减少28%，主要原因是教师校内培训增加。本年度培训费支出0.7万元，较上年决算数减少0.01万元，下降2.9%，主要原因是教师职工外出培训减少。</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（二）国有资产占用情况说明</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本单位无用车需求</w:t>
      </w:r>
    </w:p>
    <w:p>
      <w:pPr>
        <w:pStyle w:val="4"/>
        <w:snapToGrid w:val="0"/>
        <w:spacing w:before="0" w:beforeAutospacing="0" w:line="600" w:lineRule="exact"/>
      </w:pP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（三）政府采购支出情况说明</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本单位2020年度未发生政府采购事项，无相关经费支出。</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五、预算绩效管理情况说明</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（一）预算绩效管理工作开展情况</w:t>
      </w:r>
    </w:p>
    <w:p>
      <w:pPr>
        <w:pStyle w:val="4"/>
        <w:snapToGrid w:val="0"/>
        <w:spacing w:before="0" w:beforeAutospacing="0" w:line="600" w:lineRule="exact"/>
        <w:rPr>
          <w:rFonts w:ascii="方正仿宋_GBK" w:eastAsia="方正仿宋_GBK"/>
          <w:sz w:val="32"/>
          <w:szCs w:val="32"/>
        </w:rPr>
      </w:pPr>
      <w:r>
        <w:rPr>
          <w:rFonts w:hint="eastAsia" w:ascii="方正仿宋_GBK" w:eastAsia="方正仿宋_GBK"/>
          <w:sz w:val="32"/>
          <w:szCs w:val="32"/>
        </w:rPr>
        <w:t xml:space="preserve">    根据预算绩效管理要求，本部门对10个项目开展了绩效自评，其中，以填报目标自评表形式开展自评10项，涉及资金87.6万元；以委托第三方形式开展绩效自评0项，涉及资金0万元。</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（二）绩效自评结果</w:t>
      </w:r>
    </w:p>
    <w:p>
      <w:pPr>
        <w:pStyle w:val="4"/>
        <w:snapToGrid w:val="0"/>
        <w:spacing w:before="0" w:beforeAutospacing="0" w:line="600" w:lineRule="exact"/>
        <w:rPr>
          <w:rStyle w:val="8"/>
          <w:rFonts w:hint="eastAsia"/>
          <w:sz w:val="27"/>
          <w:szCs w:val="27"/>
          <w:shd w:val="clear" w:color="auto" w:fill="FFFFFF"/>
        </w:rPr>
      </w:pPr>
      <w:r>
        <w:rPr>
          <w:rStyle w:val="8"/>
          <w:rFonts w:hint="eastAsia"/>
          <w:sz w:val="27"/>
          <w:szCs w:val="27"/>
          <w:shd w:val="clear" w:color="auto" w:fill="FFFFFF"/>
        </w:rPr>
        <w:t>1.绩效自评表（见附表）</w:t>
      </w:r>
    </w:p>
    <w:p>
      <w:pPr>
        <w:pStyle w:val="4"/>
        <w:snapToGrid w:val="0"/>
        <w:spacing w:before="0" w:beforeAutospacing="0" w:line="600" w:lineRule="exact"/>
      </w:pPr>
      <w:r>
        <w:rPr>
          <w:rStyle w:val="8"/>
          <w:rFonts w:hint="eastAsia"/>
          <w:sz w:val="27"/>
          <w:szCs w:val="27"/>
          <w:shd w:val="clear" w:color="auto" w:fill="FFFFFF"/>
        </w:rPr>
        <w:t>2.绩效自评报告或案例</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本单位未委托第三方开展绩效自评。</w:t>
      </w:r>
    </w:p>
    <w:p>
      <w:pPr>
        <w:pStyle w:val="4"/>
        <w:spacing w:before="0" w:beforeAutospacing="0" w:after="0" w:afterAutospacing="0" w:line="600" w:lineRule="exact"/>
        <w:rPr>
          <w:rStyle w:val="7"/>
          <w:rFonts w:ascii="方正楷体_GBK" w:eastAsia="方正楷体_GBK"/>
          <w:sz w:val="32"/>
          <w:szCs w:val="32"/>
        </w:rPr>
      </w:pPr>
      <w:r>
        <w:rPr>
          <w:rStyle w:val="7"/>
          <w:rFonts w:hint="eastAsia" w:ascii="方正楷体_GBK" w:eastAsia="方正楷体_GBK"/>
          <w:sz w:val="32"/>
          <w:szCs w:val="32"/>
        </w:rPr>
        <w:t>（三）重点绩效评价结果</w:t>
      </w:r>
    </w:p>
    <w:p>
      <w:pPr>
        <w:pStyle w:val="4"/>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本单位未委托第三方开展绩效自评。</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六、专业名词解释</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（二）事业收入</w:t>
      </w:r>
      <w:r>
        <w:rPr>
          <w:rStyle w:val="7"/>
          <w:rFonts w:hint="eastAsia" w:ascii="方正楷体_GBK" w:eastAsia="方正楷体_GBK"/>
        </w:rPr>
        <w:t>：</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（三）经营收入</w:t>
      </w:r>
      <w:r>
        <w:rPr>
          <w:rStyle w:val="7"/>
          <w:rFonts w:hint="eastAsia" w:ascii="方正楷体_GBK" w:eastAsia="方正楷体_GBK"/>
        </w:rPr>
        <w:t>：</w:t>
      </w:r>
      <w:r>
        <w:rPr>
          <w:rFonts w:hint="eastAsia" w:ascii="方正仿宋_GBK" w:eastAsia="方正仿宋_GBK"/>
          <w:sz w:val="32"/>
          <w:szCs w:val="32"/>
        </w:rPr>
        <w:t>指事业单位在专业业务活动及其辅助活动之外开展非独立核算经营活动取得的现金流入。</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（四）其他收入</w:t>
      </w:r>
      <w:r>
        <w:rPr>
          <w:rStyle w:val="7"/>
          <w:rFonts w:hint="eastAsia" w:ascii="方正楷体_GBK" w:eastAsia="方正楷体_GBK"/>
        </w:rPr>
        <w:t>：</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pacing w:before="0" w:beforeAutospacing="0" w:after="0" w:afterAutospacing="0" w:line="600" w:lineRule="exact"/>
        <w:ind w:firstLine="472" w:firstLineChars="147"/>
        <w:rPr>
          <w:rFonts w:ascii="方正仿宋_GBK" w:eastAsia="方正仿宋_GBK"/>
          <w:sz w:val="32"/>
          <w:szCs w:val="32"/>
        </w:rPr>
      </w:pPr>
      <w:r>
        <w:rPr>
          <w:rStyle w:val="7"/>
          <w:rFonts w:hint="eastAsia" w:ascii="方正楷体_GBK" w:eastAsia="方正楷体_GBK"/>
          <w:sz w:val="32"/>
          <w:szCs w:val="32"/>
        </w:rPr>
        <w:t>（五）使用非财政拨款结余</w:t>
      </w:r>
      <w:r>
        <w:rPr>
          <w:rStyle w:val="7"/>
          <w:rFonts w:hint="eastAsia" w:ascii="方正楷体_GBK" w:eastAsia="方正楷体_GBK"/>
        </w:rPr>
        <w:t>：</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（六）年初结转和结余</w:t>
      </w:r>
      <w:r>
        <w:rPr>
          <w:rStyle w:val="7"/>
          <w:rFonts w:hint="eastAsia" w:ascii="方正楷体_GBK" w:eastAsia="方正楷体_GBK"/>
        </w:rPr>
        <w:t>：</w:t>
      </w:r>
      <w:r>
        <w:rPr>
          <w:rFonts w:hint="eastAsia" w:ascii="方正仿宋_GBK" w:eastAsia="方正仿宋_GBK"/>
          <w:sz w:val="32"/>
          <w:szCs w:val="32"/>
        </w:rPr>
        <w:t>指单位上年结转本年使用的基本支出结转、项目支出结转和结余、经营结余。</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（七）结余分配</w:t>
      </w:r>
      <w:r>
        <w:rPr>
          <w:rStyle w:val="7"/>
          <w:rFonts w:hint="eastAsia" w:ascii="方正楷体_GBK" w:eastAsia="方正楷体_GBK"/>
        </w:rPr>
        <w:t>：</w:t>
      </w:r>
      <w:r>
        <w:rPr>
          <w:rFonts w:hint="eastAsia" w:ascii="方正仿宋_GBK" w:eastAsia="方正仿宋_GBK"/>
          <w:sz w:val="32"/>
          <w:szCs w:val="32"/>
        </w:rPr>
        <w:t>指单位按照国家有关规定，缴纳所得税、提取专用基金、转入非财政拨款结余等当年结余的分配情况。</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（八）年末结转和结余</w:t>
      </w:r>
      <w:r>
        <w:rPr>
          <w:rStyle w:val="7"/>
          <w:rFonts w:hint="eastAsia" w:ascii="方正楷体_GBK" w:eastAsia="方正楷体_GBK"/>
        </w:rPr>
        <w:t>：</w:t>
      </w:r>
      <w:r>
        <w:rPr>
          <w:rFonts w:hint="eastAsia" w:ascii="方正仿宋_GBK" w:eastAsia="方正仿宋_GBK"/>
          <w:sz w:val="32"/>
          <w:szCs w:val="32"/>
        </w:rPr>
        <w:t>指单位结转下年的基本支出结转、项目支出结转和结余、经营结余。</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（九）基本支出</w:t>
      </w:r>
      <w:r>
        <w:rPr>
          <w:rStyle w:val="7"/>
          <w:rFonts w:hint="eastAsia" w:ascii="方正楷体_GBK" w:eastAsia="方正楷体_GBK"/>
        </w:rPr>
        <w:t>：</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（十）项目支出</w:t>
      </w:r>
      <w:r>
        <w:rPr>
          <w:rStyle w:val="7"/>
          <w:rFonts w:hint="eastAsia" w:ascii="方正楷体_GBK" w:eastAsia="方正楷体_GBK"/>
        </w:rPr>
        <w:t>：</w:t>
      </w:r>
      <w:r>
        <w:rPr>
          <w:rFonts w:hint="eastAsia" w:ascii="方正仿宋_GBK" w:eastAsia="方正仿宋_GBK"/>
          <w:sz w:val="32"/>
          <w:szCs w:val="32"/>
        </w:rPr>
        <w:t>指在基本支出之外为完成特定行政任务和事业发展目标所发生的支出。</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（十一）经营支出</w:t>
      </w:r>
      <w:r>
        <w:rPr>
          <w:rStyle w:val="7"/>
          <w:rFonts w:hint="eastAsia" w:ascii="方正楷体_GBK" w:eastAsia="方正楷体_GBK"/>
        </w:rPr>
        <w:t>：</w:t>
      </w:r>
      <w:r>
        <w:rPr>
          <w:rFonts w:hint="eastAsia" w:ascii="方正仿宋_GBK" w:eastAsia="方正仿宋_GBK"/>
          <w:sz w:val="32"/>
          <w:szCs w:val="32"/>
        </w:rPr>
        <w:t>指事业单位在专业业务活动及其辅助活动之外开展非独立核算经营活动发生的支出。</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（十二）“三公”经费</w:t>
      </w:r>
      <w:r>
        <w:rPr>
          <w:rStyle w:val="7"/>
          <w:rFonts w:hint="eastAsia" w:ascii="方正楷体_GBK" w:eastAsia="方正楷体_GBK"/>
        </w:rPr>
        <w:t>：</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（十三）机关运行经费</w:t>
      </w:r>
      <w:r>
        <w:rPr>
          <w:rStyle w:val="7"/>
          <w:rFonts w:hint="eastAsia" w:ascii="方正楷体_GBK" w:eastAsia="方正楷体_GBK"/>
        </w:rPr>
        <w:t>：</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（十四）工资福利支出</w:t>
      </w:r>
      <w:r>
        <w:rPr>
          <w:rStyle w:val="7"/>
          <w:rFonts w:hint="eastAsia" w:ascii="方正仿宋_GBK" w:eastAsia="方正仿宋_GBK"/>
          <w:sz w:val="32"/>
          <w:szCs w:val="32"/>
        </w:rPr>
        <w:t>（支出经济分类科目类级）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（十五）商品和服务支出（</w:t>
      </w:r>
      <w:r>
        <w:rPr>
          <w:rStyle w:val="7"/>
          <w:rFonts w:hint="eastAsia" w:ascii="方正仿宋_GBK" w:eastAsia="方正仿宋_GBK"/>
          <w:sz w:val="32"/>
          <w:szCs w:val="32"/>
        </w:rPr>
        <w:t>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4"/>
        <w:spacing w:before="0" w:beforeAutospacing="0" w:after="0" w:afterAutospacing="0" w:line="600" w:lineRule="exact"/>
        <w:ind w:firstLine="643" w:firstLineChars="200"/>
        <w:rPr>
          <w:rFonts w:ascii="方正仿宋_GBK" w:eastAsia="方正仿宋_GBK"/>
          <w:sz w:val="32"/>
          <w:szCs w:val="32"/>
        </w:rPr>
      </w:pPr>
      <w:r>
        <w:rPr>
          <w:rStyle w:val="7"/>
          <w:rFonts w:hint="eastAsia" w:ascii="方正楷体_GBK" w:eastAsia="方正楷体_GBK"/>
          <w:sz w:val="32"/>
          <w:szCs w:val="32"/>
        </w:rPr>
        <w:t>（十六）对个人和家庭的补助</w:t>
      </w:r>
      <w:r>
        <w:rPr>
          <w:rStyle w:val="7"/>
          <w:rFonts w:hint="eastAsia" w:ascii="方正仿宋_GBK" w:eastAsia="方正仿宋_GBK"/>
          <w:sz w:val="32"/>
          <w:szCs w:val="32"/>
        </w:rPr>
        <w:t>（支出经济分类科目类级）</w:t>
      </w:r>
      <w:r>
        <w:rPr>
          <w:rFonts w:hint="eastAsia" w:ascii="方正仿宋_GBK" w:eastAsia="方正仿宋_GBK"/>
          <w:sz w:val="32"/>
          <w:szCs w:val="32"/>
        </w:rPr>
        <w:t>：反映用于对个人和家庭的补助支出。</w:t>
      </w:r>
    </w:p>
    <w:p>
      <w:pPr>
        <w:pStyle w:val="4"/>
        <w:snapToGrid w:val="0"/>
        <w:spacing w:before="0" w:beforeAutospacing="0" w:line="600" w:lineRule="exact"/>
        <w:rPr>
          <w:rFonts w:ascii="方正仿宋_GBK" w:eastAsia="方正仿宋_GBK"/>
          <w:sz w:val="32"/>
          <w:szCs w:val="32"/>
        </w:rPr>
      </w:pPr>
      <w:r>
        <w:rPr>
          <w:rStyle w:val="7"/>
          <w:rFonts w:hint="eastAsia" w:ascii="方正楷体_GBK" w:eastAsia="方正楷体_GBK"/>
          <w:sz w:val="32"/>
          <w:szCs w:val="32"/>
        </w:rPr>
        <w:t>（十七）其他资本性支出</w:t>
      </w:r>
      <w:r>
        <w:rPr>
          <w:rStyle w:val="7"/>
          <w:rFonts w:hint="eastAsia" w:ascii="方正仿宋_GBK" w:eastAsia="方正仿宋_GBK"/>
          <w:sz w:val="32"/>
          <w:szCs w:val="32"/>
        </w:rPr>
        <w:t>（支出经济分类科目类级）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4"/>
        <w:snapToGrid w:val="0"/>
        <w:spacing w:before="0" w:beforeAutospacing="0" w:line="600" w:lineRule="exact"/>
        <w:rPr>
          <w:rStyle w:val="8"/>
          <w:rFonts w:ascii="方正黑体_GBK" w:eastAsia="方正黑体_GBK"/>
          <w:sz w:val="32"/>
          <w:szCs w:val="32"/>
          <w:shd w:val="clear" w:color="auto" w:fill="FFFFFF"/>
        </w:rPr>
      </w:pPr>
      <w:r>
        <w:rPr>
          <w:rStyle w:val="8"/>
          <w:rFonts w:hint="eastAsia" w:ascii="方正黑体_GBK" w:eastAsia="方正黑体_GBK"/>
          <w:sz w:val="32"/>
          <w:szCs w:val="32"/>
          <w:shd w:val="clear" w:color="auto" w:fill="FFFFFF"/>
        </w:rPr>
        <w:t>七、决算公开联系方式及信息反馈渠道</w:t>
      </w:r>
    </w:p>
    <w:p>
      <w:pPr>
        <w:pStyle w:val="4"/>
        <w:snapToGrid w:val="0"/>
        <w:spacing w:before="0" w:beforeAutospacing="0" w:line="600" w:lineRule="exact"/>
        <w:rPr>
          <w:rFonts w:hint="eastAsia" w:ascii="方正仿宋_GBK" w:eastAsia="方正仿宋_GBK"/>
          <w:sz w:val="32"/>
          <w:szCs w:val="32"/>
        </w:rPr>
      </w:pPr>
      <w:r>
        <w:rPr>
          <w:rFonts w:hint="eastAsia" w:ascii="方正仿宋_GBK" w:eastAsia="方正仿宋_GBK"/>
          <w:sz w:val="32"/>
          <w:szCs w:val="32"/>
        </w:rPr>
        <w:t>本单位决算公开信息反馈和联系方式：</w:t>
      </w:r>
    </w:p>
    <w:p>
      <w:pPr>
        <w:pStyle w:val="4"/>
        <w:snapToGrid w:val="0"/>
        <w:spacing w:before="0" w:beforeAutospacing="0" w:line="600" w:lineRule="exact"/>
        <w:rPr>
          <w:rFonts w:hint="eastAsia" w:ascii="方正仿宋_GBK" w:eastAsia="方正仿宋_GBK"/>
          <w:sz w:val="32"/>
          <w:szCs w:val="32"/>
        </w:rPr>
      </w:pPr>
      <w:r>
        <w:rPr>
          <w:rFonts w:hint="eastAsia" w:ascii="方正仿宋_GBK" w:eastAsia="方正仿宋_GBK"/>
          <w:sz w:val="32"/>
          <w:szCs w:val="32"/>
        </w:rPr>
        <w:t>联系人：叶洪良     联系电话：13509412615</w:t>
      </w:r>
    </w:p>
    <w:tbl>
      <w:tblPr>
        <w:tblStyle w:val="5"/>
        <w:tblW w:w="9866" w:type="dxa"/>
        <w:tblInd w:w="93" w:type="dxa"/>
        <w:tblLayout w:type="autofit"/>
        <w:tblCellMar>
          <w:top w:w="0" w:type="dxa"/>
          <w:left w:w="108" w:type="dxa"/>
          <w:bottom w:w="0" w:type="dxa"/>
          <w:right w:w="108" w:type="dxa"/>
        </w:tblCellMar>
      </w:tblPr>
      <w:tblGrid>
        <w:gridCol w:w="1078"/>
        <w:gridCol w:w="1079"/>
        <w:gridCol w:w="268"/>
        <w:gridCol w:w="425"/>
        <w:gridCol w:w="387"/>
        <w:gridCol w:w="322"/>
        <w:gridCol w:w="756"/>
        <w:gridCol w:w="619"/>
        <w:gridCol w:w="184"/>
        <w:gridCol w:w="895"/>
        <w:gridCol w:w="239"/>
        <w:gridCol w:w="839"/>
        <w:gridCol w:w="916"/>
        <w:gridCol w:w="1079"/>
        <w:gridCol w:w="780"/>
      </w:tblGrid>
      <w:tr>
        <w:tblPrEx>
          <w:tblCellMar>
            <w:top w:w="0" w:type="dxa"/>
            <w:left w:w="108" w:type="dxa"/>
            <w:bottom w:w="0" w:type="dxa"/>
            <w:right w:w="108" w:type="dxa"/>
          </w:tblCellMar>
        </w:tblPrEx>
        <w:trPr>
          <w:trHeight w:val="499" w:hRule="atLeast"/>
        </w:trPr>
        <w:tc>
          <w:tcPr>
            <w:tcW w:w="2157" w:type="dxa"/>
            <w:gridSpan w:val="2"/>
            <w:tcBorders>
              <w:top w:val="nil"/>
              <w:left w:val="nil"/>
              <w:bottom w:val="single" w:color="auto" w:sz="4" w:space="0"/>
              <w:right w:val="nil"/>
            </w:tcBorders>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填表单位（盖章）：重庆市綦江区三角小学</w:t>
            </w:r>
          </w:p>
        </w:tc>
        <w:tc>
          <w:tcPr>
            <w:tcW w:w="1080" w:type="dxa"/>
            <w:gridSpan w:val="3"/>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078" w:type="dxa"/>
            <w:gridSpan w:val="2"/>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803" w:type="dxa"/>
            <w:gridSpan w:val="2"/>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134" w:type="dxa"/>
            <w:gridSpan w:val="2"/>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839"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916"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1079"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c>
          <w:tcPr>
            <w:tcW w:w="780" w:type="dxa"/>
            <w:tcBorders>
              <w:top w:val="nil"/>
              <w:left w:val="nil"/>
              <w:bottom w:val="nil"/>
              <w:right w:val="nil"/>
            </w:tcBorders>
            <w:shd w:val="clear" w:color="auto" w:fill="auto"/>
            <w:vAlign w:val="center"/>
          </w:tcPr>
          <w:p>
            <w:pPr>
              <w:widowControl/>
              <w:jc w:val="center"/>
              <w:rPr>
                <w:rFonts w:ascii="宋体" w:hAnsi="宋体" w:eastAsia="宋体" w:cs="宋体"/>
                <w:b/>
                <w:bCs/>
                <w:color w:val="000000"/>
                <w:kern w:val="0"/>
                <w:sz w:val="32"/>
                <w:szCs w:val="32"/>
              </w:rPr>
            </w:pPr>
          </w:p>
        </w:tc>
      </w:tr>
      <w:tr>
        <w:tblPrEx>
          <w:tblCellMar>
            <w:top w:w="0" w:type="dxa"/>
            <w:left w:w="108" w:type="dxa"/>
            <w:bottom w:w="0" w:type="dxa"/>
            <w:right w:w="108" w:type="dxa"/>
          </w:tblCellMar>
        </w:tblPrEx>
        <w:trPr>
          <w:trHeight w:val="589" w:hRule="atLeast"/>
        </w:trPr>
        <w:tc>
          <w:tcPr>
            <w:tcW w:w="10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项目名称</w:t>
            </w:r>
          </w:p>
        </w:tc>
        <w:tc>
          <w:tcPr>
            <w:tcW w:w="404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2020年学前教育幼儿资助补助资金（中央资金）—2020年春期家庭经济困难幼儿资助</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自评总分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c>
          <w:tcPr>
            <w:tcW w:w="36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r>
      <w:tr>
        <w:tblPrEx>
          <w:tblCellMar>
            <w:top w:w="0" w:type="dxa"/>
            <w:left w:w="108" w:type="dxa"/>
            <w:bottom w:w="0" w:type="dxa"/>
            <w:right w:w="108" w:type="dxa"/>
          </w:tblCellMar>
        </w:tblPrEx>
        <w:trPr>
          <w:trHeight w:val="480" w:hRule="atLeast"/>
        </w:trPr>
        <w:tc>
          <w:tcPr>
            <w:tcW w:w="10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业务主管部门</w:t>
            </w:r>
          </w:p>
        </w:tc>
        <w:tc>
          <w:tcPr>
            <w:tcW w:w="404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重庆市綦江区教育委员会</w:t>
            </w:r>
          </w:p>
        </w:tc>
        <w:tc>
          <w:tcPr>
            <w:tcW w:w="113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联系人</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及电话</w:t>
            </w:r>
          </w:p>
        </w:tc>
        <w:tc>
          <w:tcPr>
            <w:tcW w:w="361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叶洪良13509412615</w:t>
            </w:r>
          </w:p>
        </w:tc>
      </w:tr>
      <w:tr>
        <w:tblPrEx>
          <w:tblCellMar>
            <w:top w:w="0" w:type="dxa"/>
            <w:left w:w="108" w:type="dxa"/>
            <w:bottom w:w="0" w:type="dxa"/>
            <w:right w:w="108" w:type="dxa"/>
          </w:tblCellMar>
        </w:tblPrEx>
        <w:trPr>
          <w:trHeight w:val="413" w:hRule="atLeast"/>
        </w:trPr>
        <w:tc>
          <w:tcPr>
            <w:tcW w:w="107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项目资金（万元）</w:t>
            </w:r>
          </w:p>
        </w:tc>
        <w:tc>
          <w:tcPr>
            <w:tcW w:w="1772" w:type="dxa"/>
            <w:gridSpan w:val="3"/>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268"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全年预算数（A）</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全年执行数（B）</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执行率%（B/A）</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执行率得分（分）</w:t>
            </w:r>
          </w:p>
        </w:tc>
      </w:tr>
      <w:tr>
        <w:tblPrEx>
          <w:tblCellMar>
            <w:top w:w="0" w:type="dxa"/>
            <w:left w:w="108" w:type="dxa"/>
            <w:bottom w:w="0" w:type="dxa"/>
            <w:right w:w="108" w:type="dxa"/>
          </w:tblCellMar>
        </w:tblPrEx>
        <w:trPr>
          <w:trHeight w:val="480" w:hRule="atLeast"/>
        </w:trPr>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72" w:type="dxa"/>
            <w:gridSpan w:val="3"/>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年度资金总额：</w:t>
            </w:r>
          </w:p>
        </w:tc>
        <w:tc>
          <w:tcPr>
            <w:tcW w:w="226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20520</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20520</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377" w:hRule="atLeast"/>
        </w:trPr>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7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其中：中央补助</w:t>
            </w:r>
          </w:p>
        </w:tc>
        <w:tc>
          <w:tcPr>
            <w:tcW w:w="226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20520</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20520</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35" w:hRule="atLeast"/>
        </w:trPr>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7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市级补助</w:t>
            </w:r>
          </w:p>
        </w:tc>
        <w:tc>
          <w:tcPr>
            <w:tcW w:w="226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269" w:hRule="atLeast"/>
        </w:trPr>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7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区级资金</w:t>
            </w:r>
          </w:p>
        </w:tc>
        <w:tc>
          <w:tcPr>
            <w:tcW w:w="226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373" w:hRule="atLeast"/>
        </w:trPr>
        <w:tc>
          <w:tcPr>
            <w:tcW w:w="107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772"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其他资金</w:t>
            </w:r>
          </w:p>
        </w:tc>
        <w:tc>
          <w:tcPr>
            <w:tcW w:w="2268"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7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9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r>
      <w:tr>
        <w:tblPrEx>
          <w:tblCellMar>
            <w:top w:w="0" w:type="dxa"/>
            <w:left w:w="108" w:type="dxa"/>
            <w:bottom w:w="0" w:type="dxa"/>
            <w:right w:w="108" w:type="dxa"/>
          </w:tblCellMar>
        </w:tblPrEx>
        <w:trPr>
          <w:trHeight w:val="285" w:hRule="atLeast"/>
        </w:trPr>
        <w:tc>
          <w:tcPr>
            <w:tcW w:w="107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年度总体目标</w:t>
            </w:r>
          </w:p>
        </w:tc>
        <w:tc>
          <w:tcPr>
            <w:tcW w:w="404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年初设定目标</w:t>
            </w:r>
          </w:p>
        </w:tc>
        <w:tc>
          <w:tcPr>
            <w:tcW w:w="474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全年目标实际完成情况</w:t>
            </w:r>
          </w:p>
        </w:tc>
      </w:tr>
      <w:tr>
        <w:tblPrEx>
          <w:tblCellMar>
            <w:top w:w="0" w:type="dxa"/>
            <w:left w:w="108" w:type="dxa"/>
            <w:bottom w:w="0" w:type="dxa"/>
            <w:right w:w="108" w:type="dxa"/>
          </w:tblCellMar>
        </w:tblPrEx>
        <w:trPr>
          <w:trHeight w:val="1219"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404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准备解决学校19名幼儿的资助费用，每人每期免保教保育费750元，每人每期生活补助330元，促进教育公平和社会和谐，保证贫困幼儿不能因贫失学。</w:t>
            </w:r>
          </w:p>
        </w:tc>
        <w:tc>
          <w:tcPr>
            <w:tcW w:w="4748"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该项目按资金用途完成支付</w:t>
            </w:r>
          </w:p>
        </w:tc>
      </w:tr>
      <w:tr>
        <w:tblPrEx>
          <w:tblCellMar>
            <w:top w:w="0" w:type="dxa"/>
            <w:left w:w="108" w:type="dxa"/>
            <w:bottom w:w="0" w:type="dxa"/>
            <w:right w:w="108" w:type="dxa"/>
          </w:tblCellMar>
        </w:tblPrEx>
        <w:trPr>
          <w:trHeight w:val="720" w:hRule="atLeast"/>
        </w:trPr>
        <w:tc>
          <w:tcPr>
            <w:tcW w:w="1078"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绩效指标</w:t>
            </w: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指标名称</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（三级指标）</w:t>
            </w:r>
          </w:p>
        </w:tc>
        <w:tc>
          <w:tcPr>
            <w:tcW w:w="1134"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计量单位</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指标权重</w:t>
            </w:r>
          </w:p>
        </w:tc>
        <w:tc>
          <w:tcPr>
            <w:tcW w:w="8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指标值</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全年完成值</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得分系数（%）</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指标得分</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（分)</w:t>
            </w:r>
          </w:p>
        </w:tc>
      </w:tr>
      <w:tr>
        <w:tblPrEx>
          <w:tblCellMar>
            <w:top w:w="0" w:type="dxa"/>
            <w:left w:w="108" w:type="dxa"/>
            <w:bottom w:w="0" w:type="dxa"/>
            <w:right w:w="108" w:type="dxa"/>
          </w:tblCellMar>
        </w:tblPrEx>
        <w:trPr>
          <w:trHeight w:val="285"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补助标准</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元/人/期</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1,080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526"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资助发放精准度</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450"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资金到位准时度</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w:t>
            </w:r>
          </w:p>
        </w:tc>
      </w:tr>
      <w:tr>
        <w:tblPrEx>
          <w:tblCellMar>
            <w:top w:w="0" w:type="dxa"/>
            <w:left w:w="108" w:type="dxa"/>
            <w:bottom w:w="0" w:type="dxa"/>
            <w:right w:w="108" w:type="dxa"/>
          </w:tblCellMar>
        </w:tblPrEx>
        <w:trPr>
          <w:trHeight w:val="409"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保障贫困学生入学率</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75"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家长学校满意度</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480" w:hRule="atLeast"/>
        </w:trPr>
        <w:tc>
          <w:tcPr>
            <w:tcW w:w="107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0"/>
                <w:szCs w:val="20"/>
              </w:rPr>
            </w:pPr>
          </w:p>
        </w:tc>
        <w:tc>
          <w:tcPr>
            <w:tcW w:w="134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社会公众满意度</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55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c>
          <w:tcPr>
            <w:tcW w:w="8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99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107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100%</w:t>
            </w:r>
          </w:p>
        </w:tc>
        <w:tc>
          <w:tcPr>
            <w:tcW w:w="7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10</w:t>
            </w:r>
          </w:p>
        </w:tc>
      </w:tr>
      <w:tr>
        <w:tblPrEx>
          <w:tblCellMar>
            <w:top w:w="0" w:type="dxa"/>
            <w:left w:w="108" w:type="dxa"/>
            <w:bottom w:w="0" w:type="dxa"/>
            <w:right w:w="108" w:type="dxa"/>
          </w:tblCellMar>
        </w:tblPrEx>
        <w:trPr>
          <w:trHeight w:val="1200" w:hRule="atLeast"/>
        </w:trPr>
        <w:tc>
          <w:tcPr>
            <w:tcW w:w="10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未完成绩效目标或偏离较多的原因、改进措施及其他说明</w:t>
            </w:r>
          </w:p>
        </w:tc>
        <w:tc>
          <w:tcPr>
            <w:tcW w:w="8788" w:type="dxa"/>
            <w:gridSpan w:val="1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285" w:hRule="atLeast"/>
        </w:trPr>
        <w:tc>
          <w:tcPr>
            <w:tcW w:w="2157" w:type="dxa"/>
            <w:gridSpan w:val="2"/>
            <w:tcBorders>
              <w:top w:val="nil"/>
              <w:left w:val="nil"/>
              <w:bottom w:val="nil"/>
              <w:right w:val="nil"/>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预算单位主要领导：           </w:t>
            </w:r>
          </w:p>
        </w:tc>
        <w:tc>
          <w:tcPr>
            <w:tcW w:w="2777" w:type="dxa"/>
            <w:gridSpan w:val="6"/>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绩效评价负责人：</w:t>
            </w:r>
          </w:p>
        </w:tc>
        <w:tc>
          <w:tcPr>
            <w:tcW w:w="3073" w:type="dxa"/>
            <w:gridSpan w:val="5"/>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经办人：</w:t>
            </w:r>
          </w:p>
        </w:tc>
        <w:tc>
          <w:tcPr>
            <w:tcW w:w="1079" w:type="dxa"/>
            <w:tcBorders>
              <w:top w:val="nil"/>
              <w:left w:val="nil"/>
              <w:bottom w:val="nil"/>
              <w:right w:val="nil"/>
            </w:tcBorders>
            <w:shd w:val="clear" w:color="auto" w:fill="auto"/>
            <w:vAlign w:val="center"/>
          </w:tcPr>
          <w:p>
            <w:pPr>
              <w:widowControl/>
              <w:jc w:val="right"/>
              <w:rPr>
                <w:rFonts w:ascii="宋体" w:hAnsi="宋体" w:eastAsia="宋体" w:cs="宋体"/>
                <w:kern w:val="0"/>
                <w:sz w:val="20"/>
                <w:szCs w:val="20"/>
              </w:rPr>
            </w:pPr>
          </w:p>
        </w:tc>
        <w:tc>
          <w:tcPr>
            <w:tcW w:w="78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22"/>
              </w:rPr>
            </w:pPr>
          </w:p>
        </w:tc>
      </w:tr>
    </w:tbl>
    <w:p>
      <w:pPr>
        <w:pStyle w:val="4"/>
        <w:snapToGrid w:val="0"/>
        <w:spacing w:before="0" w:beforeAutospacing="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EzYWYxYTY4NzQ3ZjAxZTg4Njg0OTUxNTYxM2Y5ZGQifQ=="/>
  </w:docVars>
  <w:rsids>
    <w:rsidRoot w:val="00C32A25"/>
    <w:rsid w:val="000A11EE"/>
    <w:rsid w:val="00146E01"/>
    <w:rsid w:val="00183D50"/>
    <w:rsid w:val="005B1CC0"/>
    <w:rsid w:val="005B5E14"/>
    <w:rsid w:val="007321F1"/>
    <w:rsid w:val="00C32A25"/>
    <w:rsid w:val="00C7215C"/>
    <w:rsid w:val="00ED782A"/>
    <w:rsid w:val="00EE1634"/>
    <w:rsid w:val="00FD278A"/>
    <w:rsid w:val="0E441C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b/>
      <w:bCs/>
    </w:rPr>
  </w:style>
  <w:style w:type="character" w:customStyle="1" w:styleId="8">
    <w:name w:val="15"/>
    <w:basedOn w:val="6"/>
    <w:uiPriority w:val="0"/>
    <w:rPr>
      <w:rFonts w:hint="default" w:ascii="Times New Roman" w:hAnsi="Times New Roman" w:cs="Times New Roman"/>
      <w:b/>
    </w:rPr>
  </w:style>
  <w:style w:type="character" w:customStyle="1" w:styleId="9">
    <w:name w:val="页眉 Char"/>
    <w:basedOn w:val="6"/>
    <w:link w:val="3"/>
    <w:semiHidden/>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13</Pages>
  <Words>4287</Words>
  <Characters>4746</Characters>
  <Lines>37</Lines>
  <Paragraphs>10</Paragraphs>
  <TotalTime>51</TotalTime>
  <ScaleCrop>false</ScaleCrop>
  <LinksUpToDate>false</LinksUpToDate>
  <CharactersWithSpaces>4938</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2022-08-29T01:26:00Z</dcterms:created>
  <dc:creator>AutoBVT</dc:creator>
  <cp:lastModifiedBy>陈列</cp:lastModifiedBy>
  <dcterms:modified xsi:type="dcterms:W3CDTF">2022-09-01T14:25:27Z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DA7EC11AEDA749DC929960F23381468C</vt:lpwstr>
  </property>
</Properties>
</file>