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600" w:lineRule="exact"/>
        <w:jc w:val="center"/>
        <w:rPr>
          <w:rFonts w:ascii="方正小标宋_GBK" w:hAnsi="Times New Roman" w:eastAsia="方正小标宋_GBK" w:cs="Times New Roman"/>
          <w:kern w:val="2"/>
          <w:sz w:val="44"/>
          <w:szCs w:val="44"/>
        </w:rPr>
      </w:pPr>
      <w:r>
        <w:rPr>
          <w:rFonts w:hint="eastAsia" w:ascii="方正小标宋_GBK" w:hAnsi="Times New Roman" w:eastAsia="方正小标宋_GBK" w:cs="Times New Roman"/>
          <w:kern w:val="2"/>
          <w:sz w:val="44"/>
          <w:szCs w:val="44"/>
        </w:rPr>
        <w:t>重庆市綦江区隆盛小学</w:t>
      </w:r>
    </w:p>
    <w:p>
      <w:pPr>
        <w:widowControl w:val="0"/>
        <w:spacing w:line="600" w:lineRule="exact"/>
        <w:jc w:val="center"/>
        <w:rPr>
          <w:rFonts w:ascii="方正小标宋_GBK" w:hAnsi="Times New Roman" w:eastAsia="方正小标宋_GBK" w:cs="Times New Roman"/>
          <w:kern w:val="2"/>
          <w:sz w:val="44"/>
          <w:szCs w:val="44"/>
        </w:rPr>
      </w:pPr>
      <w:r>
        <w:rPr>
          <w:rFonts w:hint="eastAsia" w:ascii="方正小标宋_GBK" w:hAnsi="Times New Roman" w:eastAsia="方正小标宋_GBK" w:cs="Times New Roman"/>
          <w:kern w:val="2"/>
          <w:sz w:val="44"/>
          <w:szCs w:val="44"/>
        </w:rPr>
        <w:t>2020年度部门决算情况说明</w:t>
      </w:r>
    </w:p>
    <w:p>
      <w:pPr>
        <w:pStyle w:val="13"/>
        <w:tabs>
          <w:tab w:val="center" w:pos="4153"/>
          <w:tab w:val="left" w:pos="7275"/>
        </w:tabs>
        <w:spacing w:line="600" w:lineRule="exact"/>
        <w:ind w:firstLine="643"/>
        <w:rPr>
          <w:rFonts w:eastAsia="方正黑体_GBK"/>
          <w:b/>
          <w:bCs/>
          <w:sz w:val="32"/>
          <w:szCs w:val="32"/>
        </w:rPr>
      </w:pPr>
    </w:p>
    <w:p>
      <w:pPr>
        <w:pStyle w:val="13"/>
        <w:tabs>
          <w:tab w:val="center" w:pos="4153"/>
          <w:tab w:val="left" w:pos="7275"/>
        </w:tabs>
        <w:spacing w:line="600" w:lineRule="exact"/>
        <w:ind w:firstLine="643"/>
        <w:rPr>
          <w:rFonts w:eastAsia="方正黑体_GBK"/>
          <w:sz w:val="32"/>
          <w:szCs w:val="32"/>
        </w:rPr>
      </w:pPr>
      <w:r>
        <w:rPr>
          <w:rFonts w:hint="eastAsia" w:eastAsia="方正黑体_GBK"/>
          <w:b/>
          <w:bCs/>
          <w:sz w:val="32"/>
          <w:szCs w:val="32"/>
        </w:rPr>
        <w:t>一、部门基本情况</w:t>
      </w:r>
    </w:p>
    <w:p>
      <w:pPr>
        <w:pStyle w:val="5"/>
        <w:shd w:val="clear" w:color="auto" w:fill="FFFFFF"/>
        <w:rPr>
          <w:rFonts w:ascii="Times New Roman" w:hAnsi="Times New Roman" w:eastAsia="方正楷体_GBK" w:cs="Times New Roman"/>
          <w:b/>
          <w:color w:val="333333"/>
          <w:kern w:val="2"/>
          <w:sz w:val="32"/>
          <w:szCs w:val="32"/>
        </w:rPr>
      </w:pPr>
      <w:r>
        <w:rPr>
          <w:rFonts w:hint="eastAsia"/>
          <w:sz w:val="27"/>
          <w:szCs w:val="27"/>
        </w:rPr>
        <w:t xml:space="preserve">  </w:t>
      </w:r>
      <w:r>
        <w:rPr>
          <w:rFonts w:hint="eastAsia" w:ascii="Times New Roman" w:hAnsi="Times New Roman" w:eastAsia="方正楷体_GBK" w:cs="Times New Roman"/>
          <w:b/>
          <w:color w:val="333333"/>
          <w:kern w:val="2"/>
          <w:sz w:val="32"/>
          <w:szCs w:val="32"/>
        </w:rPr>
        <w:t>（一）职能职责</w:t>
      </w:r>
    </w:p>
    <w:p>
      <w:pPr>
        <w:widowControl w:val="0"/>
        <w:spacing w:line="600" w:lineRule="exact"/>
        <w:ind w:firstLine="405" w:firstLineChars="150"/>
        <w:jc w:val="both"/>
        <w:rPr>
          <w:rFonts w:ascii="Times New Roman" w:hAnsi="Times New Roman" w:eastAsia="方正仿宋_GBK"/>
          <w:sz w:val="32"/>
          <w:szCs w:val="32"/>
        </w:rPr>
      </w:pPr>
      <w:r>
        <w:rPr>
          <w:rStyle w:val="9"/>
          <w:rFonts w:hint="eastAsia"/>
          <w:b w:val="0"/>
          <w:sz w:val="27"/>
          <w:szCs w:val="27"/>
        </w:rPr>
        <w:t> </w:t>
      </w:r>
      <w:r>
        <w:rPr>
          <w:rFonts w:hint="eastAsia" w:ascii="Times New Roman" w:hAnsi="Times New Roman" w:eastAsia="方正仿宋_GBK"/>
          <w:sz w:val="32"/>
          <w:szCs w:val="32"/>
        </w:rPr>
        <w:t>1、宣传贯彻执行党和国家的教育方针、政策、法律法规等，坚持依法治教、依法治学，贯彻执行区教委的行政规章制度。</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仿宋_GBK"/>
          <w:sz w:val="32"/>
          <w:szCs w:val="32"/>
        </w:rPr>
        <w:t>2、配合区、镇人民政府制定符合党的教育方针和国家教育法律法规以及本校实际的教育发展规划和学校布局调整规划，并抓好组织实施和落实工作。</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仿宋_GBK"/>
          <w:sz w:val="32"/>
          <w:szCs w:val="32"/>
        </w:rPr>
        <w:t>3、配合各级人民政府依法动员、组织适龄儿童少年入学，严格控制辍学。负责抓所在镇的成人教育工作，抓好扫盲和巩固工作，推进普及义务教育。</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仿宋_GBK"/>
          <w:sz w:val="32"/>
          <w:szCs w:val="32"/>
        </w:rPr>
        <w:t>4、组织开展本校的教育教学科研和教育教学改革，科研兴教，科研必校。负责对本校教育教学业务的具体管理，负责教育教学管理及教研教改工作，全力推进素质教育实施。</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仿宋_GBK"/>
          <w:sz w:val="32"/>
          <w:szCs w:val="32"/>
        </w:rPr>
        <w:t>5、按照干部和教师的职数、编制和管理权限，负责本校教师人事管理、继续教育、考核考评等工作。</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仿宋_GBK"/>
          <w:sz w:val="32"/>
          <w:szCs w:val="32"/>
        </w:rPr>
        <w:t>6、负责本校财务和基建管理，</w:t>
      </w:r>
      <w:r>
        <w:rPr>
          <w:rFonts w:hint="eastAsia" w:ascii="Times New Roman" w:hAnsi="Times New Roman" w:eastAsia="方正仿宋_GBK"/>
          <w:sz w:val="32"/>
          <w:szCs w:val="32"/>
          <w:lang w:eastAsia="zh-CN"/>
        </w:rPr>
        <w:t>筹措</w:t>
      </w:r>
      <w:r>
        <w:rPr>
          <w:rFonts w:hint="eastAsia" w:ascii="Times New Roman" w:hAnsi="Times New Roman" w:eastAsia="方正仿宋_GBK"/>
          <w:sz w:val="32"/>
          <w:szCs w:val="32"/>
        </w:rPr>
        <w:t>资金，改善办学条件等工作。</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仿宋_GBK"/>
          <w:sz w:val="32"/>
          <w:szCs w:val="32"/>
        </w:rPr>
        <w:t>7、指导、管理、检查、评价本校的教育教学工作，提高办学质量和办学效益。按照义务教育课程计划，开齐课程，开足课时，认真实施中小学的教育教学管理，全面推进素质教育，全面提高教育教学质量。</w:t>
      </w:r>
    </w:p>
    <w:p>
      <w:pPr>
        <w:pStyle w:val="5"/>
        <w:shd w:val="clear" w:color="auto" w:fill="FFFFFF"/>
        <w:rPr>
          <w:rFonts w:ascii="Times New Roman" w:hAnsi="Times New Roman" w:eastAsia="方正楷体_GBK" w:cs="Times New Roman"/>
          <w:color w:val="333333"/>
          <w:kern w:val="2"/>
          <w:sz w:val="32"/>
          <w:szCs w:val="32"/>
        </w:rPr>
      </w:pPr>
      <w:r>
        <w:rPr>
          <w:rFonts w:hint="eastAsia"/>
          <w:sz w:val="27"/>
          <w:szCs w:val="27"/>
        </w:rPr>
        <w:t xml:space="preserve">  </w:t>
      </w:r>
      <w:r>
        <w:rPr>
          <w:rFonts w:hint="eastAsia" w:ascii="Times New Roman" w:hAnsi="Times New Roman" w:eastAsia="方正楷体_GBK" w:cs="Times New Roman"/>
          <w:b/>
          <w:bCs/>
          <w:color w:val="333333"/>
          <w:kern w:val="2"/>
          <w:sz w:val="32"/>
          <w:szCs w:val="32"/>
        </w:rPr>
        <w:t>（二）机构设置</w:t>
      </w:r>
    </w:p>
    <w:p>
      <w:pPr>
        <w:pStyle w:val="14"/>
        <w:autoSpaceDE w:val="0"/>
        <w:spacing w:before="0" w:beforeAutospacing="0" w:line="600" w:lineRule="exact"/>
        <w:ind w:firstLine="540" w:firstLineChars="200"/>
        <w:jc w:val="both"/>
        <w:rPr>
          <w:rFonts w:ascii="方正仿宋_GBK" w:eastAsia="方正仿宋_GBK"/>
          <w:sz w:val="32"/>
          <w:szCs w:val="32"/>
        </w:rPr>
      </w:pPr>
      <w:r>
        <w:rPr>
          <w:rFonts w:hint="eastAsia"/>
          <w:color w:val="FF0000"/>
          <w:sz w:val="27"/>
          <w:szCs w:val="27"/>
        </w:rPr>
        <w:t> </w:t>
      </w:r>
      <w:r>
        <w:rPr>
          <w:rFonts w:hint="eastAsia" w:ascii="方正仿宋_GBK" w:eastAsia="方正仿宋_GBK"/>
          <w:sz w:val="32"/>
          <w:szCs w:val="32"/>
        </w:rPr>
        <w:t>2020年度，纳入本地区（本部门）部门决算汇编范围的独立核算单位共1个，比上年增加（减少）0个，分类说明如下：</w:t>
      </w:r>
    </w:p>
    <w:tbl>
      <w:tblPr>
        <w:tblStyle w:val="6"/>
        <w:tblW w:w="0" w:type="auto"/>
        <w:tblInd w:w="2" w:type="dxa"/>
        <w:tblLayout w:type="fixed"/>
        <w:tblCellMar>
          <w:top w:w="0" w:type="dxa"/>
          <w:left w:w="0" w:type="dxa"/>
          <w:bottom w:w="0" w:type="dxa"/>
          <w:right w:w="0" w:type="dxa"/>
        </w:tblCellMar>
      </w:tblPr>
      <w:tblGrid>
        <w:gridCol w:w="2940"/>
        <w:gridCol w:w="992"/>
        <w:gridCol w:w="1133"/>
        <w:gridCol w:w="3451"/>
        <w:gridCol w:w="6"/>
      </w:tblGrid>
      <w:tr>
        <w:tblPrEx>
          <w:tblCellMar>
            <w:top w:w="0" w:type="dxa"/>
            <w:left w:w="0" w:type="dxa"/>
            <w:bottom w:w="0" w:type="dxa"/>
            <w:right w:w="0" w:type="dxa"/>
          </w:tblCellMar>
        </w:tblPrEx>
        <w:trPr>
          <w:gridAfter w:val="1"/>
          <w:wAfter w:w="6" w:type="dxa"/>
          <w:trHeight w:val="70" w:hRule="atLeast"/>
        </w:trPr>
        <w:tc>
          <w:tcPr>
            <w:tcW w:w="29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240" w:lineRule="atLeast"/>
              <w:jc w:val="center"/>
              <w:rPr>
                <w:bCs/>
                <w:sz w:val="27"/>
                <w:szCs w:val="27"/>
              </w:rPr>
            </w:pPr>
            <w:r>
              <w:rPr>
                <w:rFonts w:hint="eastAsia"/>
                <w:bCs/>
                <w:sz w:val="27"/>
                <w:szCs w:val="27"/>
              </w:rPr>
              <w:t>项目</w:t>
            </w:r>
          </w:p>
        </w:tc>
        <w:tc>
          <w:tcPr>
            <w:tcW w:w="99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line="240" w:lineRule="atLeast"/>
              <w:jc w:val="center"/>
              <w:rPr>
                <w:bCs/>
                <w:sz w:val="27"/>
                <w:szCs w:val="27"/>
              </w:rPr>
            </w:pPr>
            <w:r>
              <w:rPr>
                <w:rFonts w:hint="eastAsia"/>
                <w:bCs/>
                <w:sz w:val="27"/>
                <w:szCs w:val="27"/>
              </w:rPr>
              <w:t>数量</w:t>
            </w:r>
          </w:p>
        </w:tc>
        <w:tc>
          <w:tcPr>
            <w:tcW w:w="113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line="240" w:lineRule="atLeast"/>
              <w:jc w:val="center"/>
              <w:rPr>
                <w:bCs/>
                <w:sz w:val="27"/>
                <w:szCs w:val="27"/>
              </w:rPr>
            </w:pPr>
            <w:r>
              <w:rPr>
                <w:rFonts w:hint="eastAsia"/>
                <w:bCs/>
                <w:sz w:val="27"/>
                <w:szCs w:val="27"/>
              </w:rPr>
              <w:t>比上年增减</w:t>
            </w:r>
          </w:p>
        </w:tc>
        <w:tc>
          <w:tcPr>
            <w:tcW w:w="345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line="240" w:lineRule="atLeast"/>
              <w:jc w:val="center"/>
              <w:rPr>
                <w:bCs/>
                <w:sz w:val="27"/>
                <w:szCs w:val="27"/>
              </w:rPr>
            </w:pPr>
            <w:r>
              <w:rPr>
                <w:rFonts w:hint="eastAsia"/>
                <w:bCs/>
                <w:sz w:val="27"/>
                <w:szCs w:val="27"/>
              </w:rPr>
              <w:t>变动原因说明</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jc w:val="center"/>
              <w:rPr>
                <w:bCs/>
                <w:sz w:val="27"/>
                <w:szCs w:val="27"/>
              </w:rPr>
            </w:pPr>
            <w:r>
              <w:rPr>
                <w:rFonts w:hint="eastAsia"/>
                <w:bCs/>
                <w:sz w:val="27"/>
                <w:szCs w:val="27"/>
              </w:rPr>
              <w:t>合    计</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1</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0</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一、按单位基本性质</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xml:space="preserve">    行政单位</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xml:space="preserve">    事业单位</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1</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0</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xml:space="preserve">    其他</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二、按执行会计制度</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xml:space="preserve">    行政单位</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ind w:firstLine="282"/>
              <w:rPr>
                <w:bCs/>
                <w:sz w:val="27"/>
                <w:szCs w:val="27"/>
              </w:rPr>
            </w:pPr>
            <w:r>
              <w:rPr>
                <w:rFonts w:hint="eastAsia"/>
                <w:bCs/>
                <w:sz w:val="27"/>
                <w:szCs w:val="27"/>
              </w:rPr>
              <w:t>事业单位（含行业）</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1</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0</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xml:space="preserve">    民间非营利组织</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xml:space="preserve">    企业</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三、按预算管理级次</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xml:space="preserve">    省级单位</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xml:space="preserve">    地（市）级单位</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xml:space="preserve">    县级单位</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1</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0</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xml:space="preserve">    乡镇级单位</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w:t>
            </w:r>
          </w:p>
        </w:tc>
      </w:tr>
      <w:tr>
        <w:tblPrEx>
          <w:tblCellMar>
            <w:top w:w="0" w:type="dxa"/>
            <w:left w:w="0" w:type="dxa"/>
            <w:bottom w:w="0" w:type="dxa"/>
            <w:right w:w="0" w:type="dxa"/>
          </w:tblCellMar>
        </w:tblPrEx>
        <w:trPr>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四、按事业单位分类</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jc w:val="center"/>
              <w:rPr>
                <w:bCs/>
                <w:sz w:val="27"/>
                <w:szCs w:val="27"/>
              </w:rPr>
            </w:pPr>
            <w:r>
              <w:rPr>
                <w:rFonts w:hint="eastAsia"/>
                <w:bCs/>
                <w:sz w:val="27"/>
                <w:szCs w:val="27"/>
              </w:rPr>
              <w:t>—</w:t>
            </w:r>
          </w:p>
        </w:tc>
        <w:tc>
          <w:tcPr>
            <w:tcW w:w="3457"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p>
        </w:tc>
      </w:tr>
      <w:tr>
        <w:tblPrEx>
          <w:tblCellMar>
            <w:top w:w="0" w:type="dxa"/>
            <w:left w:w="0" w:type="dxa"/>
            <w:bottom w:w="0" w:type="dxa"/>
            <w:right w:w="0" w:type="dxa"/>
          </w:tblCellMar>
        </w:tblPrEx>
        <w:trPr>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xml:space="preserve">    行政类</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jc w:val="center"/>
              <w:rPr>
                <w:bCs/>
                <w:sz w:val="27"/>
                <w:szCs w:val="27"/>
              </w:rPr>
            </w:pPr>
            <w:r>
              <w:rPr>
                <w:rFonts w:hint="eastAsia"/>
                <w:bCs/>
                <w:sz w:val="27"/>
                <w:szCs w:val="27"/>
              </w:rPr>
              <w:t>—</w:t>
            </w:r>
          </w:p>
        </w:tc>
        <w:tc>
          <w:tcPr>
            <w:tcW w:w="3457"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p>
        </w:tc>
      </w:tr>
      <w:tr>
        <w:tblPrEx>
          <w:tblCellMar>
            <w:top w:w="0" w:type="dxa"/>
            <w:left w:w="0" w:type="dxa"/>
            <w:bottom w:w="0" w:type="dxa"/>
            <w:right w:w="0" w:type="dxa"/>
          </w:tblCellMar>
        </w:tblPrEx>
        <w:trPr>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xml:space="preserve">  公益一类</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jc w:val="center"/>
              <w:rPr>
                <w:bCs/>
                <w:sz w:val="27"/>
                <w:szCs w:val="27"/>
              </w:rPr>
            </w:pPr>
            <w:r>
              <w:rPr>
                <w:rFonts w:hint="eastAsia"/>
                <w:bCs/>
                <w:sz w:val="27"/>
                <w:szCs w:val="27"/>
              </w:rPr>
              <w:t>—</w:t>
            </w:r>
          </w:p>
        </w:tc>
        <w:tc>
          <w:tcPr>
            <w:tcW w:w="3457"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p>
        </w:tc>
      </w:tr>
      <w:tr>
        <w:tblPrEx>
          <w:tblCellMar>
            <w:top w:w="0" w:type="dxa"/>
            <w:left w:w="0" w:type="dxa"/>
            <w:bottom w:w="0" w:type="dxa"/>
            <w:right w:w="0" w:type="dxa"/>
          </w:tblCellMar>
        </w:tblPrEx>
        <w:trPr>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xml:space="preserve">  公益二类</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jc w:val="center"/>
              <w:rPr>
                <w:bCs/>
                <w:sz w:val="27"/>
                <w:szCs w:val="27"/>
              </w:rPr>
            </w:pPr>
            <w:r>
              <w:rPr>
                <w:rFonts w:hint="eastAsia"/>
                <w:bCs/>
                <w:sz w:val="27"/>
                <w:szCs w:val="27"/>
              </w:rPr>
              <w:t>—</w:t>
            </w:r>
          </w:p>
        </w:tc>
        <w:tc>
          <w:tcPr>
            <w:tcW w:w="3457"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p>
        </w:tc>
      </w:tr>
      <w:tr>
        <w:tblPrEx>
          <w:tblCellMar>
            <w:top w:w="0" w:type="dxa"/>
            <w:left w:w="0" w:type="dxa"/>
            <w:bottom w:w="0" w:type="dxa"/>
            <w:right w:w="0" w:type="dxa"/>
          </w:tblCellMar>
        </w:tblPrEx>
        <w:trPr>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xml:space="preserve">  生产经营类</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jc w:val="center"/>
              <w:rPr>
                <w:bCs/>
                <w:sz w:val="27"/>
                <w:szCs w:val="27"/>
              </w:rPr>
            </w:pPr>
            <w:r>
              <w:rPr>
                <w:rFonts w:hint="eastAsia"/>
                <w:bCs/>
                <w:sz w:val="27"/>
                <w:szCs w:val="27"/>
              </w:rPr>
              <w:t>—</w:t>
            </w:r>
          </w:p>
        </w:tc>
        <w:tc>
          <w:tcPr>
            <w:tcW w:w="3457"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p>
        </w:tc>
      </w:tr>
      <w:tr>
        <w:tblPrEx>
          <w:tblCellMar>
            <w:top w:w="0" w:type="dxa"/>
            <w:left w:w="0" w:type="dxa"/>
            <w:bottom w:w="0" w:type="dxa"/>
            <w:right w:w="0" w:type="dxa"/>
          </w:tblCellMar>
        </w:tblPrEx>
        <w:trPr>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rPr>
                <w:bCs/>
                <w:sz w:val="27"/>
                <w:szCs w:val="27"/>
              </w:rPr>
            </w:pPr>
            <w:r>
              <w:rPr>
                <w:rFonts w:hint="eastAsia"/>
                <w:bCs/>
                <w:sz w:val="27"/>
                <w:szCs w:val="27"/>
              </w:rPr>
              <w:t xml:space="preserve">  暂未明确类别</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jc w:val="center"/>
              <w:rPr>
                <w:bCs/>
                <w:sz w:val="27"/>
                <w:szCs w:val="27"/>
              </w:rPr>
            </w:pP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jc w:val="center"/>
              <w:rPr>
                <w:bCs/>
                <w:sz w:val="27"/>
                <w:szCs w:val="27"/>
              </w:rPr>
            </w:pPr>
            <w:r>
              <w:rPr>
                <w:rFonts w:hint="eastAsia"/>
                <w:bCs/>
                <w:sz w:val="27"/>
                <w:szCs w:val="27"/>
              </w:rPr>
              <w:t>—</w:t>
            </w:r>
          </w:p>
        </w:tc>
        <w:tc>
          <w:tcPr>
            <w:tcW w:w="3457"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rPr>
                <w:bCs/>
                <w:sz w:val="27"/>
                <w:szCs w:val="27"/>
              </w:rPr>
            </w:pPr>
          </w:p>
        </w:tc>
      </w:tr>
    </w:tbl>
    <w:p>
      <w:pPr>
        <w:pStyle w:val="5"/>
        <w:shd w:val="clear" w:color="auto" w:fill="FFFFFF"/>
        <w:rPr>
          <w:rFonts w:ascii="Times New Roman" w:hAnsi="Times New Roman" w:eastAsia="方正楷体_GBK" w:cs="Times New Roman"/>
          <w:b/>
          <w:color w:val="333333"/>
          <w:kern w:val="2"/>
          <w:sz w:val="32"/>
          <w:szCs w:val="32"/>
        </w:rPr>
      </w:pPr>
      <w:r>
        <w:rPr>
          <w:rFonts w:hint="eastAsia"/>
          <w:sz w:val="27"/>
          <w:szCs w:val="27"/>
        </w:rPr>
        <w:t xml:space="preserve">  </w:t>
      </w:r>
      <w:r>
        <w:rPr>
          <w:rFonts w:hint="eastAsia" w:ascii="Times New Roman" w:hAnsi="Times New Roman" w:eastAsia="方正楷体_GBK" w:cs="Times New Roman"/>
          <w:b/>
          <w:bCs/>
          <w:color w:val="333333"/>
          <w:kern w:val="2"/>
          <w:sz w:val="32"/>
          <w:szCs w:val="32"/>
        </w:rPr>
        <w:t>（三）单位构成</w:t>
      </w:r>
    </w:p>
    <w:p>
      <w:pPr>
        <w:pStyle w:val="14"/>
        <w:autoSpaceDE w:val="0"/>
        <w:spacing w:before="0" w:beforeAutospacing="0" w:line="600" w:lineRule="exact"/>
        <w:ind w:firstLine="542" w:firstLineChars="200"/>
        <w:jc w:val="both"/>
        <w:rPr>
          <w:rFonts w:ascii="方正仿宋_GBK" w:eastAsia="方正仿宋_GBK"/>
          <w:sz w:val="32"/>
          <w:szCs w:val="32"/>
        </w:rPr>
      </w:pPr>
      <w:r>
        <w:rPr>
          <w:rStyle w:val="9"/>
          <w:rFonts w:hint="eastAsia"/>
          <w:sz w:val="27"/>
          <w:szCs w:val="27"/>
        </w:rPr>
        <w:t> </w:t>
      </w:r>
      <w:r>
        <w:rPr>
          <w:rFonts w:hint="eastAsia" w:ascii="方正仿宋_GBK" w:eastAsia="方正仿宋_GBK"/>
          <w:sz w:val="32"/>
          <w:szCs w:val="32"/>
        </w:rPr>
        <w:t xml:space="preserve">重庆市綦江区隆盛小学为实施六年制小学义务教育的全日制公办教育机构，具有法人资格，独立承担民事责任。本单位是全额拨款事业单位。独立编制机构1个，年末在职人数55人，退休人员73人，学生人数653人。学校面向镇教育行政部门规定的区域范围进行招生，招生对象为辖区内健康适龄儿童，促进基础教育发展。学校坐落于重庆市綦江区隆盛镇关口巷66号 </w:t>
      </w:r>
      <w:r>
        <w:rPr>
          <w:rFonts w:hint="eastAsia" w:ascii="方正仿宋_GBK" w:eastAsia="方正仿宋_GBK"/>
          <w:sz w:val="32"/>
          <w:szCs w:val="32"/>
          <w:lang w:eastAsia="zh-CN"/>
        </w:rPr>
        <w:t>，</w:t>
      </w:r>
      <w:r>
        <w:rPr>
          <w:rFonts w:hint="eastAsia" w:ascii="方正仿宋_GBK" w:eastAsia="方正仿宋_GBK"/>
          <w:sz w:val="32"/>
          <w:szCs w:val="32"/>
        </w:rPr>
        <w:t>我校以“德隆致远  文盛弥新”为培养理念。</w:t>
      </w:r>
    </w:p>
    <w:p>
      <w:pPr>
        <w:pStyle w:val="13"/>
        <w:tabs>
          <w:tab w:val="center" w:pos="4153"/>
          <w:tab w:val="left" w:pos="7275"/>
        </w:tabs>
        <w:spacing w:line="600" w:lineRule="exact"/>
        <w:ind w:firstLine="640"/>
        <w:rPr>
          <w:rFonts w:eastAsia="方正黑体_GBK"/>
          <w:b/>
          <w:bCs/>
          <w:sz w:val="32"/>
          <w:szCs w:val="32"/>
        </w:rPr>
      </w:pPr>
      <w:r>
        <w:rPr>
          <w:rFonts w:hint="eastAsia" w:eastAsia="方正黑体_GBK"/>
          <w:sz w:val="32"/>
          <w:szCs w:val="32"/>
        </w:rPr>
        <w:t>二、部门决算情况说明</w:t>
      </w:r>
    </w:p>
    <w:p>
      <w:pPr>
        <w:pStyle w:val="5"/>
        <w:shd w:val="clear" w:color="auto" w:fill="FFFFFF"/>
        <w:rPr>
          <w:rFonts w:ascii="Times New Roman" w:hAnsi="Times New Roman" w:eastAsia="方正楷体_GBK" w:cs="Times New Roman"/>
          <w:b/>
          <w:bCs/>
          <w:color w:val="333333"/>
          <w:kern w:val="2"/>
          <w:sz w:val="32"/>
          <w:szCs w:val="32"/>
        </w:rPr>
      </w:pPr>
      <w:r>
        <w:rPr>
          <w:rFonts w:hint="eastAsia" w:ascii="Times New Roman" w:hAnsi="Times New Roman" w:eastAsia="方正楷体_GBK" w:cs="Times New Roman"/>
          <w:b/>
          <w:color w:val="333333"/>
          <w:kern w:val="2"/>
          <w:sz w:val="32"/>
          <w:szCs w:val="32"/>
        </w:rPr>
        <w:t>（一）收入支出决算总体情况说明</w:t>
      </w:r>
    </w:p>
    <w:p>
      <w:pPr>
        <w:widowControl w:val="0"/>
        <w:spacing w:line="600" w:lineRule="exact"/>
        <w:ind w:firstLine="482" w:firstLineChars="150"/>
        <w:jc w:val="both"/>
        <w:rPr>
          <w:rFonts w:ascii="方正仿宋_GBK" w:eastAsia="方正仿宋_GBK"/>
          <w:sz w:val="32"/>
          <w:szCs w:val="32"/>
        </w:rPr>
      </w:pPr>
      <w:r>
        <w:rPr>
          <w:rFonts w:hint="eastAsia" w:ascii="Times New Roman" w:hAnsi="Times New Roman" w:eastAsia="方正仿宋_GBK"/>
          <w:b/>
          <w:sz w:val="32"/>
          <w:szCs w:val="32"/>
        </w:rPr>
        <w:t>1.总体情况</w:t>
      </w:r>
      <w:r>
        <w:rPr>
          <w:rFonts w:hint="eastAsia" w:ascii="Times New Roman" w:hAnsi="Times New Roman" w:eastAsia="方正仿宋_GBK"/>
          <w:bCs/>
          <w:sz w:val="32"/>
          <w:szCs w:val="32"/>
        </w:rPr>
        <w:t>。</w:t>
      </w:r>
      <w:r>
        <w:rPr>
          <w:rFonts w:hint="eastAsia" w:ascii="方正仿宋_GBK" w:eastAsia="方正仿宋_GBK"/>
          <w:sz w:val="32"/>
          <w:szCs w:val="32"/>
        </w:rPr>
        <w:t>2020年度收入总计1,509.86万元，支出总计1,509.86万元。收支较上年决算数 减少1,611.45万元、 下降 51.6%，主要原因是比上年减少了学校整体迁建工程投入。</w:t>
      </w:r>
    </w:p>
    <w:p>
      <w:pPr>
        <w:widowControl w:val="0"/>
        <w:spacing w:line="600" w:lineRule="exact"/>
        <w:ind w:firstLine="482" w:firstLineChars="150"/>
        <w:jc w:val="both"/>
        <w:rPr>
          <w:rFonts w:ascii="方正仿宋_GBK" w:eastAsia="方正仿宋_GBK"/>
          <w:sz w:val="32"/>
          <w:szCs w:val="32"/>
        </w:rPr>
      </w:pPr>
      <w:r>
        <w:rPr>
          <w:rFonts w:hint="eastAsia" w:ascii="Times New Roman" w:hAnsi="Times New Roman" w:eastAsia="方正仿宋_GBK"/>
          <w:b/>
          <w:sz w:val="32"/>
          <w:szCs w:val="32"/>
        </w:rPr>
        <w:t>2.收入情况。</w:t>
      </w:r>
      <w:r>
        <w:rPr>
          <w:rFonts w:hint="eastAsia" w:ascii="方正仿宋_GBK" w:eastAsia="方正仿宋_GBK"/>
          <w:sz w:val="32"/>
          <w:szCs w:val="32"/>
        </w:rPr>
        <w:t>2020年度收入合计1,227.80万元，较上年决算数减少1,648.04万元，下降57.3%，主要原因 是减少了学校整体迁建工程投入。其中：财政拨款收入1,224.06万元，占99.7%；事业收入3.73万元，占0.3%。此外，使用年初结转和结余282.07万元。</w:t>
      </w:r>
    </w:p>
    <w:p>
      <w:pPr>
        <w:widowControl w:val="0"/>
        <w:spacing w:line="600" w:lineRule="exact"/>
        <w:ind w:firstLine="482" w:firstLineChars="150"/>
        <w:jc w:val="both"/>
        <w:rPr>
          <w:rFonts w:ascii="方正仿宋_GBK" w:eastAsia="方正仿宋_GBK"/>
          <w:sz w:val="32"/>
          <w:szCs w:val="32"/>
        </w:rPr>
      </w:pPr>
      <w:r>
        <w:rPr>
          <w:rFonts w:hint="eastAsia" w:ascii="Times New Roman" w:hAnsi="Times New Roman" w:eastAsia="方正仿宋_GBK"/>
          <w:b/>
          <w:sz w:val="32"/>
          <w:szCs w:val="32"/>
        </w:rPr>
        <w:t>3.支出情况。</w:t>
      </w:r>
      <w:r>
        <w:rPr>
          <w:rFonts w:hint="eastAsia" w:ascii="方正仿宋_GBK" w:eastAsia="方正仿宋_GBK"/>
          <w:sz w:val="32"/>
          <w:szCs w:val="32"/>
        </w:rPr>
        <w:t>2020年度支出合计1,449.33万元，较上年决算数减少1,564.02万元，下降51.9%，主要原因是减少了学校整体迁建工程支出。其中：基本支出 1,408.93万元，占97.2%；项目支出40.41万元，占2.8%。</w:t>
      </w:r>
    </w:p>
    <w:p>
      <w:pPr>
        <w:widowControl w:val="0"/>
        <w:spacing w:line="600" w:lineRule="exact"/>
        <w:ind w:firstLine="482" w:firstLineChars="150"/>
        <w:jc w:val="both"/>
        <w:rPr>
          <w:rFonts w:ascii="方正仿宋_GBK" w:eastAsia="方正仿宋_GBK"/>
          <w:sz w:val="32"/>
          <w:szCs w:val="32"/>
        </w:rPr>
      </w:pPr>
      <w:r>
        <w:rPr>
          <w:rFonts w:hint="eastAsia" w:ascii="Times New Roman" w:hAnsi="Times New Roman" w:eastAsia="方正仿宋_GBK"/>
          <w:b/>
          <w:sz w:val="32"/>
          <w:szCs w:val="32"/>
        </w:rPr>
        <w:t>4.结转结余情况。</w:t>
      </w:r>
      <w:r>
        <w:rPr>
          <w:rFonts w:hint="eastAsia" w:ascii="方正仿宋_GBK" w:eastAsia="方正仿宋_GBK"/>
          <w:sz w:val="32"/>
          <w:szCs w:val="32"/>
        </w:rPr>
        <w:t>2020年度年末结转和结余60.53万元，较上年决算数减少47.43万元，下降43.9%，主要原因是本年度支出以前年度结转和结余资金。</w:t>
      </w:r>
    </w:p>
    <w:p>
      <w:pPr>
        <w:pStyle w:val="5"/>
        <w:shd w:val="clear" w:color="auto" w:fill="FFFFFF"/>
        <w:rPr>
          <w:rFonts w:ascii="Times New Roman" w:hAnsi="Times New Roman" w:eastAsia="方正楷体_GBK" w:cs="Times New Roman"/>
          <w:b/>
          <w:color w:val="333333"/>
          <w:kern w:val="2"/>
          <w:sz w:val="32"/>
          <w:szCs w:val="32"/>
        </w:rPr>
      </w:pPr>
      <w:r>
        <w:rPr>
          <w:rFonts w:hint="eastAsia" w:ascii="Times New Roman" w:hAnsi="Times New Roman" w:eastAsia="方正楷体_GBK" w:cs="Times New Roman"/>
          <w:b/>
          <w:bCs/>
          <w:color w:val="333333"/>
          <w:kern w:val="2"/>
          <w:sz w:val="32"/>
          <w:szCs w:val="32"/>
        </w:rPr>
        <w:t>（二）财政拨款收入支出决算总体情况说明</w:t>
      </w:r>
    </w:p>
    <w:p>
      <w:pPr>
        <w:widowControl w:val="0"/>
        <w:spacing w:line="600" w:lineRule="exact"/>
        <w:ind w:firstLine="405" w:firstLineChars="150"/>
        <w:jc w:val="both"/>
        <w:rPr>
          <w:rFonts w:ascii="方正仿宋_GBK" w:eastAsia="方正仿宋_GBK"/>
          <w:sz w:val="32"/>
          <w:szCs w:val="32"/>
        </w:rPr>
      </w:pPr>
      <w:r>
        <w:rPr>
          <w:rFonts w:hint="eastAsia"/>
          <w:sz w:val="27"/>
          <w:szCs w:val="27"/>
        </w:rPr>
        <w:t> </w:t>
      </w:r>
      <w:r>
        <w:rPr>
          <w:rFonts w:hint="eastAsia" w:ascii="方正仿宋_GBK" w:eastAsia="方正仿宋_GBK"/>
          <w:sz w:val="32"/>
          <w:szCs w:val="32"/>
        </w:rPr>
        <w:t xml:space="preserve"> 2020年度财政拨款收、支总计1,506.13万元。与2019年相比，财政拨款收、支总计各减少1,597.91万 元，下降51.5%。主要原因是减少了学校整体迁建工程投入。</w:t>
      </w:r>
    </w:p>
    <w:p>
      <w:pPr>
        <w:pStyle w:val="5"/>
        <w:shd w:val="clear" w:color="auto" w:fill="FFFFFF"/>
        <w:rPr>
          <w:rFonts w:ascii="Times New Roman" w:hAnsi="Times New Roman" w:eastAsia="方正楷体_GBK" w:cs="Times New Roman"/>
          <w:b/>
          <w:bCs/>
          <w:color w:val="333333"/>
          <w:kern w:val="2"/>
          <w:sz w:val="32"/>
          <w:szCs w:val="32"/>
        </w:rPr>
      </w:pPr>
      <w:r>
        <w:rPr>
          <w:rFonts w:hint="eastAsia" w:ascii="Times New Roman" w:hAnsi="Times New Roman" w:eastAsia="方正楷体_GBK" w:cs="Times New Roman"/>
          <w:b/>
          <w:color w:val="333333"/>
          <w:kern w:val="2"/>
          <w:sz w:val="32"/>
          <w:szCs w:val="32"/>
        </w:rPr>
        <w:t>（三）一般公共预算财政拨款支出决算情况说明</w:t>
      </w:r>
    </w:p>
    <w:p>
      <w:pPr>
        <w:pStyle w:val="5"/>
        <w:shd w:val="clear" w:color="auto" w:fill="FFFFFF"/>
        <w:rPr>
          <w:rFonts w:ascii="方正仿宋_GBK" w:eastAsia="方正仿宋_GBK"/>
          <w:sz w:val="32"/>
          <w:szCs w:val="32"/>
        </w:rPr>
      </w:pPr>
      <w:r>
        <w:rPr>
          <w:rFonts w:hint="eastAsia" w:ascii="Times New Roman" w:hAnsi="Times New Roman" w:eastAsia="方正仿宋_GBK"/>
          <w:b/>
          <w:sz w:val="32"/>
          <w:szCs w:val="32"/>
        </w:rPr>
        <w:t>1.收入情况。</w:t>
      </w:r>
      <w:r>
        <w:rPr>
          <w:rFonts w:hint="eastAsia" w:ascii="方正仿宋_GBK" w:eastAsia="方正仿宋_GBK"/>
          <w:sz w:val="32"/>
          <w:szCs w:val="32"/>
        </w:rPr>
        <w:t>2020年度一般公共预算财政拨款收入1,224.06万元，较上年决算数减少1,634.51万元，下降57.2%。主要原因是减少了学校整体迁建工程投入。较年初预算数 减少17.67万元，下降1.4%。主要原因是人员经费减少。此外，年初财政拨款结转和结余282.07万元。</w:t>
      </w:r>
    </w:p>
    <w:p>
      <w:pPr>
        <w:pStyle w:val="5"/>
        <w:shd w:val="clear" w:color="auto" w:fill="FFFFFF"/>
        <w:rPr>
          <w:rFonts w:ascii="方正仿宋_GBK" w:eastAsia="方正仿宋_GBK"/>
          <w:sz w:val="32"/>
          <w:szCs w:val="32"/>
        </w:rPr>
      </w:pPr>
      <w:r>
        <w:rPr>
          <w:rFonts w:hint="eastAsia" w:ascii="Times New Roman" w:hAnsi="Times New Roman" w:eastAsia="方正仿宋_GBK"/>
          <w:b/>
          <w:sz w:val="32"/>
          <w:szCs w:val="32"/>
        </w:rPr>
        <w:t>2.支出情况。</w:t>
      </w:r>
      <w:r>
        <w:rPr>
          <w:rFonts w:hint="eastAsia" w:ascii="方正仿宋_GBK" w:eastAsia="方正仿宋_GBK"/>
          <w:sz w:val="32"/>
          <w:szCs w:val="32"/>
        </w:rPr>
        <w:t>2020年度一般公共预算财政拨款支出1,445.60万元，较上年决算数减少1,550.48万元，下降51.8%。主要原因是减少了学校整体迁建工程支出。较年初预算数 增加95.91万 元，增长7.1%。主要原因是财政投入增加。</w:t>
      </w:r>
    </w:p>
    <w:p>
      <w:pPr>
        <w:pStyle w:val="5"/>
        <w:shd w:val="clear" w:color="auto" w:fill="FFFFFF"/>
        <w:rPr>
          <w:rFonts w:ascii="方正仿宋_GBK" w:eastAsia="方正仿宋_GBK"/>
          <w:sz w:val="32"/>
          <w:szCs w:val="32"/>
        </w:rPr>
      </w:pPr>
      <w:r>
        <w:rPr>
          <w:rFonts w:hint="eastAsia" w:ascii="Times New Roman" w:hAnsi="Times New Roman" w:eastAsia="方正仿宋_GBK"/>
          <w:b/>
          <w:sz w:val="32"/>
          <w:szCs w:val="32"/>
        </w:rPr>
        <w:t>3.结转结余情况。</w:t>
      </w:r>
      <w:r>
        <w:rPr>
          <w:rFonts w:hint="eastAsia" w:ascii="方正仿宋_GBK" w:eastAsia="方正仿宋_GBK"/>
          <w:sz w:val="32"/>
          <w:szCs w:val="32"/>
        </w:rPr>
        <w:t>2020年度年末一般公共预算财政拨款结转和结余60.53万元，较上年决算数减少47.43万元，下降43.9%，主要原因是本年度支出以前年度结转和结余资金。</w:t>
      </w:r>
    </w:p>
    <w:p>
      <w:pPr>
        <w:pStyle w:val="5"/>
        <w:shd w:val="clear" w:color="auto" w:fill="FFFFFF"/>
        <w:rPr>
          <w:rFonts w:ascii="方正仿宋_GBK" w:eastAsia="方正仿宋_GBK"/>
          <w:sz w:val="32"/>
          <w:szCs w:val="32"/>
        </w:rPr>
      </w:pPr>
      <w:r>
        <w:rPr>
          <w:rFonts w:hint="eastAsia" w:ascii="Times New Roman" w:hAnsi="Times New Roman" w:eastAsia="方正仿宋_GBK"/>
          <w:b/>
          <w:sz w:val="32"/>
          <w:szCs w:val="32"/>
        </w:rPr>
        <w:t>4.比较情况。</w:t>
      </w:r>
      <w:r>
        <w:rPr>
          <w:rFonts w:hint="eastAsia" w:ascii="方正仿宋_GBK" w:eastAsia="方正仿宋_GBK"/>
          <w:sz w:val="32"/>
          <w:szCs w:val="32"/>
        </w:rPr>
        <w:t xml:space="preserve">本部门2020年度一般公共预算财政拨款支出主要用于以下几个方面： </w:t>
      </w:r>
    </w:p>
    <w:p>
      <w:pPr>
        <w:pStyle w:val="5"/>
        <w:shd w:val="clear" w:color="auto" w:fill="FFFFFF"/>
        <w:rPr>
          <w:rFonts w:ascii="方正仿宋_GBK" w:eastAsia="方正仿宋_GBK"/>
          <w:sz w:val="32"/>
          <w:szCs w:val="32"/>
        </w:rPr>
      </w:pPr>
      <w:r>
        <w:rPr>
          <w:rFonts w:hint="eastAsia" w:ascii="方正仿宋_GBK" w:eastAsia="方正仿宋_GBK"/>
          <w:sz w:val="32"/>
          <w:szCs w:val="32"/>
        </w:rPr>
        <w:t>（1）教育支出986.65万元，占68.3%，较年初预算数增加36.75万 元，增长3.9%，主要原因是财政投入增加。</w:t>
      </w:r>
    </w:p>
    <w:p>
      <w:pPr>
        <w:pStyle w:val="5"/>
        <w:shd w:val="clear" w:color="auto" w:fill="FFFFFF"/>
        <w:rPr>
          <w:rFonts w:ascii="方正仿宋_GBK" w:eastAsia="方正仿宋_GBK"/>
          <w:sz w:val="32"/>
          <w:szCs w:val="32"/>
        </w:rPr>
      </w:pPr>
      <w:r>
        <w:rPr>
          <w:rFonts w:hint="eastAsia" w:ascii="方正仿宋_GBK" w:eastAsia="方正仿宋_GBK"/>
          <w:sz w:val="32"/>
          <w:szCs w:val="32"/>
        </w:rPr>
        <w:t>（2）社会保障与就业支出334.05万元，占23.1%，较年初预算数增加80.80万 元，增长31.9%，主要原因是财政投入增加。</w:t>
      </w:r>
    </w:p>
    <w:p>
      <w:pPr>
        <w:pStyle w:val="5"/>
        <w:shd w:val="clear" w:color="auto" w:fill="FFFFFF"/>
        <w:rPr>
          <w:rFonts w:ascii="方正仿宋_GBK" w:eastAsia="方正仿宋_GBK"/>
          <w:sz w:val="32"/>
          <w:szCs w:val="32"/>
        </w:rPr>
      </w:pPr>
      <w:r>
        <w:rPr>
          <w:rFonts w:hint="eastAsia" w:ascii="方正仿宋_GBK" w:eastAsia="方正仿宋_GBK"/>
          <w:sz w:val="32"/>
          <w:szCs w:val="32"/>
        </w:rPr>
        <w:t>（3）卫生健康支出68.65万元，占4.7%，较年初预算数减少11.33万 元，下降14.2%，主要原因是教师调出较多，人员减少。</w:t>
      </w:r>
    </w:p>
    <w:p>
      <w:pPr>
        <w:pStyle w:val="5"/>
        <w:shd w:val="clear" w:color="auto" w:fill="FFFFFF"/>
        <w:rPr>
          <w:rFonts w:ascii="方正仿宋_GBK" w:eastAsia="方正仿宋_GBK"/>
          <w:sz w:val="32"/>
          <w:szCs w:val="32"/>
        </w:rPr>
      </w:pPr>
      <w:r>
        <w:rPr>
          <w:rFonts w:hint="eastAsia" w:ascii="方正仿宋_GBK" w:eastAsia="方正仿宋_GBK"/>
          <w:sz w:val="32"/>
          <w:szCs w:val="32"/>
        </w:rPr>
        <w:t>（4）住房保障支出56.26万元，占3.9%，较年初预算数减少10.30万 元，下降15.5%，主要原因是教师调出较多，人员减少。</w:t>
      </w:r>
    </w:p>
    <w:p>
      <w:pPr>
        <w:pStyle w:val="5"/>
        <w:shd w:val="clear" w:color="auto" w:fill="FFFFFF"/>
        <w:rPr>
          <w:rFonts w:ascii="Times New Roman" w:hAnsi="Times New Roman" w:eastAsia="方正楷体_GBK" w:cs="Times New Roman"/>
          <w:bCs/>
          <w:color w:val="333333"/>
          <w:kern w:val="2"/>
          <w:sz w:val="32"/>
          <w:szCs w:val="32"/>
        </w:rPr>
      </w:pPr>
      <w:r>
        <w:rPr>
          <w:rFonts w:hint="eastAsia" w:ascii="Times New Roman" w:hAnsi="Times New Roman" w:eastAsia="方正楷体_GBK" w:cs="Times New Roman"/>
          <w:b/>
          <w:color w:val="333333"/>
          <w:kern w:val="2"/>
          <w:sz w:val="32"/>
          <w:szCs w:val="32"/>
        </w:rPr>
        <w:t>（</w:t>
      </w:r>
      <w:r>
        <w:rPr>
          <w:rFonts w:hint="eastAsia" w:ascii="Times New Roman" w:hAnsi="Times New Roman" w:eastAsia="方正楷体_GBK" w:cs="Times New Roman"/>
          <w:bCs/>
          <w:color w:val="333333"/>
          <w:kern w:val="2"/>
          <w:sz w:val="32"/>
          <w:szCs w:val="32"/>
        </w:rPr>
        <w:t>四）</w:t>
      </w:r>
      <w:r>
        <w:rPr>
          <w:rFonts w:hint="eastAsia" w:ascii="Times New Roman" w:hAnsi="Times New Roman" w:eastAsia="方正楷体_GBK" w:cs="Times New Roman"/>
          <w:b/>
          <w:color w:val="333333"/>
          <w:kern w:val="2"/>
          <w:sz w:val="32"/>
          <w:szCs w:val="32"/>
        </w:rPr>
        <w:t>一般公共预算财政拨款基本支出决算情况说明</w:t>
      </w:r>
    </w:p>
    <w:p>
      <w:pPr>
        <w:pStyle w:val="5"/>
        <w:shd w:val="clear" w:color="auto" w:fill="FFFFFF"/>
        <w:rPr>
          <w:rFonts w:ascii="方正仿宋_GBK" w:eastAsia="方正仿宋_GBK"/>
          <w:sz w:val="32"/>
          <w:szCs w:val="32"/>
        </w:rPr>
      </w:pPr>
      <w:r>
        <w:rPr>
          <w:rFonts w:hint="eastAsia"/>
          <w:sz w:val="27"/>
          <w:szCs w:val="27"/>
        </w:rPr>
        <w:t> </w:t>
      </w:r>
      <w:r>
        <w:rPr>
          <w:rFonts w:hint="eastAsia" w:ascii="方正仿宋_GBK" w:eastAsia="方正仿宋_GBK"/>
          <w:sz w:val="32"/>
          <w:szCs w:val="32"/>
        </w:rPr>
        <w:t xml:space="preserve"> 2020年度一般公共财政拨款基本支出1,408.93万元。其中：人员经费1,333.19万元，较上年决算数增加52.44万 元，增长4.1%，主要原因是人员工资增长。人员经费用途主要包括养老保险、职业年金、医疗保障、住房保障。公用经费75.74万元，较上年决算数减少21.87万元，下降22.4%，主要原因是教师学生人数减少。公用经费用途主要包括办公费、差旅费、印刷费、维修维护费、电费、水费、劳务费。</w:t>
      </w:r>
    </w:p>
    <w:p>
      <w:pPr>
        <w:pStyle w:val="5"/>
        <w:shd w:val="clear" w:color="auto" w:fill="FFFFFF"/>
        <w:rPr>
          <w:rFonts w:ascii="Times New Roman" w:hAnsi="Times New Roman" w:eastAsia="方正楷体_GBK" w:cs="Times New Roman"/>
          <w:b/>
          <w:bCs/>
          <w:color w:val="333333"/>
          <w:kern w:val="2"/>
          <w:sz w:val="32"/>
          <w:szCs w:val="32"/>
        </w:rPr>
      </w:pPr>
      <w:r>
        <w:rPr>
          <w:rFonts w:hint="eastAsia" w:ascii="Times New Roman" w:hAnsi="Times New Roman" w:eastAsia="方正楷体_GBK" w:cs="Times New Roman"/>
          <w:b/>
          <w:bCs/>
          <w:color w:val="333333"/>
          <w:kern w:val="2"/>
          <w:sz w:val="32"/>
          <w:szCs w:val="32"/>
        </w:rPr>
        <w:t>（五）政府性基金预算收支决算情况说明</w:t>
      </w:r>
    </w:p>
    <w:p>
      <w:pPr>
        <w:pStyle w:val="5"/>
        <w:shd w:val="clear" w:color="auto" w:fill="FFFFFF"/>
        <w:rPr>
          <w:rFonts w:ascii="方正仿宋_GBK" w:eastAsia="方正仿宋_GBK"/>
          <w:sz w:val="32"/>
          <w:szCs w:val="32"/>
        </w:rPr>
      </w:pPr>
      <w:r>
        <w:rPr>
          <w:rFonts w:hint="eastAsia"/>
          <w:sz w:val="27"/>
          <w:szCs w:val="27"/>
        </w:rPr>
        <w:t> </w:t>
      </w:r>
      <w:r>
        <w:rPr>
          <w:rFonts w:hint="eastAsia" w:ascii="方正仿宋_GBK" w:eastAsia="方正仿宋_GBK"/>
          <w:sz w:val="32"/>
          <w:szCs w:val="32"/>
        </w:rPr>
        <w:t>本部门2020年度无政府性基金预算财政拨款收支。</w:t>
      </w:r>
    </w:p>
    <w:p>
      <w:pPr>
        <w:pStyle w:val="5"/>
        <w:shd w:val="clear" w:color="auto" w:fill="FFFFFF"/>
        <w:rPr>
          <w:rFonts w:ascii="方正仿宋_GBK" w:eastAsia="方正仿宋_GBK"/>
          <w:sz w:val="32"/>
          <w:szCs w:val="32"/>
        </w:rPr>
      </w:pPr>
      <w:r>
        <w:rPr>
          <w:rFonts w:hint="eastAsia" w:ascii="Times New Roman" w:hAnsi="Times New Roman" w:eastAsia="方正楷体_GBK" w:cs="Times New Roman"/>
          <w:b/>
          <w:color w:val="333333"/>
          <w:kern w:val="2"/>
          <w:sz w:val="32"/>
          <w:szCs w:val="32"/>
        </w:rPr>
        <w:t>（六）国有资本经营预算财政拨款</w:t>
      </w:r>
      <w:r>
        <w:rPr>
          <w:rFonts w:hint="eastAsia" w:ascii="Times New Roman" w:hAnsi="Times New Roman" w:eastAsia="方正楷体_GBK" w:cs="Times New Roman"/>
          <w:b/>
          <w:color w:val="333333"/>
          <w:kern w:val="2"/>
          <w:sz w:val="32"/>
          <w:szCs w:val="32"/>
          <w:lang w:eastAsia="zh-CN"/>
        </w:rPr>
        <w:t>支出</w:t>
      </w:r>
      <w:r>
        <w:rPr>
          <w:rFonts w:hint="eastAsia" w:ascii="Times New Roman" w:hAnsi="Times New Roman" w:eastAsia="方正楷体_GBK" w:cs="Times New Roman"/>
          <w:b/>
          <w:color w:val="333333"/>
          <w:kern w:val="2"/>
          <w:sz w:val="32"/>
          <w:szCs w:val="32"/>
        </w:rPr>
        <w:t>决算情况说明。</w:t>
      </w:r>
      <w:r>
        <w:rPr>
          <w:rFonts w:hint="eastAsia" w:ascii="Times New Roman" w:hAnsi="Times New Roman" w:eastAsia="方正楷体_GBK" w:cs="Times New Roman"/>
          <w:b/>
          <w:bCs/>
          <w:color w:val="333333"/>
          <w:kern w:val="2"/>
          <w:sz w:val="32"/>
          <w:szCs w:val="32"/>
        </w:rPr>
        <w:br w:type="textWrapping"/>
      </w:r>
      <w:r>
        <w:rPr>
          <w:rFonts w:hint="eastAsia"/>
          <w:sz w:val="27"/>
          <w:szCs w:val="27"/>
        </w:rPr>
        <w:t> </w:t>
      </w:r>
      <w:r>
        <w:rPr>
          <w:rFonts w:hint="eastAsia" w:ascii="方正仿宋_GBK" w:eastAsia="方正仿宋_GBK"/>
          <w:sz w:val="32"/>
          <w:szCs w:val="32"/>
        </w:rPr>
        <w:t>本部门2020年度无国有资本经营预算财政拨款支出。</w:t>
      </w:r>
    </w:p>
    <w:p>
      <w:pPr>
        <w:pStyle w:val="13"/>
        <w:tabs>
          <w:tab w:val="center" w:pos="4153"/>
          <w:tab w:val="left" w:pos="7275"/>
        </w:tabs>
        <w:spacing w:line="600" w:lineRule="exact"/>
        <w:ind w:firstLine="643"/>
        <w:rPr>
          <w:rFonts w:eastAsia="方正黑体_GBK"/>
          <w:sz w:val="32"/>
          <w:szCs w:val="32"/>
        </w:rPr>
      </w:pPr>
      <w:r>
        <w:rPr>
          <w:rFonts w:hint="eastAsia" w:eastAsia="方正黑体_GBK"/>
          <w:b/>
          <w:bCs/>
          <w:sz w:val="32"/>
          <w:szCs w:val="32"/>
        </w:rPr>
        <w:t>三、“三公”经费情况说明</w:t>
      </w:r>
    </w:p>
    <w:p>
      <w:pPr>
        <w:pStyle w:val="5"/>
        <w:shd w:val="clear" w:color="auto" w:fill="FFFFFF"/>
        <w:rPr>
          <w:rFonts w:ascii="Times New Roman" w:hAnsi="Times New Roman" w:eastAsia="方正楷体_GBK" w:cs="Times New Roman"/>
          <w:b/>
          <w:color w:val="333333"/>
          <w:kern w:val="2"/>
          <w:sz w:val="32"/>
          <w:szCs w:val="32"/>
        </w:rPr>
      </w:pPr>
      <w:r>
        <w:rPr>
          <w:rFonts w:hint="eastAsia" w:ascii="Times New Roman" w:hAnsi="Times New Roman" w:eastAsia="方正楷体_GBK" w:cs="Times New Roman"/>
          <w:b/>
          <w:bCs/>
          <w:color w:val="333333"/>
          <w:kern w:val="2"/>
          <w:sz w:val="32"/>
          <w:szCs w:val="32"/>
        </w:rPr>
        <w:t>（一）“三公”经费支出总体情况说明</w:t>
      </w:r>
    </w:p>
    <w:p>
      <w:pPr>
        <w:pStyle w:val="5"/>
        <w:shd w:val="clear" w:color="auto" w:fill="FFFFFF"/>
        <w:rPr>
          <w:rFonts w:ascii="方正仿宋_GBK" w:eastAsia="方正仿宋_GBK"/>
          <w:sz w:val="32"/>
          <w:szCs w:val="32"/>
        </w:rPr>
      </w:pPr>
      <w:r>
        <w:rPr>
          <w:rFonts w:hint="eastAsia" w:ascii="方正仿宋_GBK" w:eastAsia="方正仿宋_GBK"/>
          <w:sz w:val="32"/>
          <w:szCs w:val="32"/>
        </w:rPr>
        <w:t>本单位2020年度未发生“三公”经费支出。</w:t>
      </w:r>
    </w:p>
    <w:p>
      <w:pPr>
        <w:pStyle w:val="5"/>
        <w:shd w:val="clear" w:color="auto" w:fill="FFFFFF"/>
        <w:rPr>
          <w:rFonts w:ascii="Times New Roman" w:hAnsi="Times New Roman" w:eastAsia="方正楷体_GBK" w:cs="Times New Roman"/>
          <w:b/>
          <w:color w:val="333333"/>
          <w:kern w:val="2"/>
          <w:sz w:val="32"/>
          <w:szCs w:val="32"/>
        </w:rPr>
      </w:pPr>
      <w:r>
        <w:rPr>
          <w:rFonts w:hint="eastAsia" w:ascii="Times New Roman" w:hAnsi="Times New Roman" w:eastAsia="方正楷体_GBK" w:cs="Times New Roman"/>
          <w:b/>
          <w:color w:val="333333"/>
          <w:kern w:val="2"/>
          <w:sz w:val="32"/>
          <w:szCs w:val="32"/>
        </w:rPr>
        <w:t>（二）“三公”经费分项支出情况</w:t>
      </w:r>
    </w:p>
    <w:p>
      <w:pPr>
        <w:pStyle w:val="5"/>
        <w:shd w:val="clear" w:color="auto" w:fill="FFFFFF"/>
        <w:rPr>
          <w:rFonts w:ascii="方正仿宋_GBK" w:eastAsia="方正仿宋_GBK"/>
          <w:sz w:val="32"/>
          <w:szCs w:val="32"/>
        </w:rPr>
      </w:pPr>
      <w:r>
        <w:rPr>
          <w:rFonts w:hint="eastAsia" w:ascii="方正仿宋_GBK" w:eastAsia="方正仿宋_GBK"/>
          <w:sz w:val="32"/>
          <w:szCs w:val="32"/>
        </w:rPr>
        <w:t>本单位2020年度未发生“三公”经费支出。</w:t>
      </w:r>
    </w:p>
    <w:p>
      <w:pPr>
        <w:pStyle w:val="5"/>
        <w:shd w:val="clear" w:color="auto" w:fill="FFFFFF"/>
        <w:rPr>
          <w:rFonts w:ascii="Times New Roman" w:hAnsi="Times New Roman" w:eastAsia="方正楷体_GBK" w:cs="Times New Roman"/>
          <w:b/>
          <w:color w:val="333333"/>
          <w:kern w:val="2"/>
          <w:sz w:val="32"/>
          <w:szCs w:val="32"/>
        </w:rPr>
      </w:pPr>
      <w:r>
        <w:rPr>
          <w:rFonts w:hint="eastAsia" w:ascii="Times New Roman" w:hAnsi="Times New Roman" w:eastAsia="方正楷体_GBK" w:cs="Times New Roman"/>
          <w:b/>
          <w:bCs/>
          <w:color w:val="333333"/>
          <w:kern w:val="2"/>
          <w:sz w:val="32"/>
          <w:szCs w:val="32"/>
        </w:rPr>
        <w:t>（三）“三公”经费实物量情况</w:t>
      </w:r>
    </w:p>
    <w:p>
      <w:pPr>
        <w:pStyle w:val="5"/>
        <w:shd w:val="clear" w:color="auto" w:fill="FFFFFF"/>
        <w:rPr>
          <w:rFonts w:ascii="方正仿宋_GBK" w:eastAsia="方正仿宋_GBK"/>
          <w:sz w:val="32"/>
          <w:szCs w:val="32"/>
        </w:rPr>
      </w:pPr>
      <w:r>
        <w:rPr>
          <w:rFonts w:hint="eastAsia" w:ascii="方正仿宋_GBK" w:eastAsia="方正仿宋_GBK"/>
          <w:sz w:val="32"/>
          <w:szCs w:val="32"/>
        </w:rPr>
        <w:t>本单位2020年度未发生“三公”经费支出。</w:t>
      </w:r>
    </w:p>
    <w:p>
      <w:pPr>
        <w:pStyle w:val="5"/>
        <w:shd w:val="clear" w:color="auto" w:fill="FFFFFF"/>
      </w:pPr>
    </w:p>
    <w:p>
      <w:pPr>
        <w:pStyle w:val="13"/>
        <w:tabs>
          <w:tab w:val="center" w:pos="4153"/>
          <w:tab w:val="left" w:pos="7275"/>
        </w:tabs>
        <w:spacing w:line="600" w:lineRule="exact"/>
        <w:ind w:firstLine="643"/>
        <w:rPr>
          <w:rFonts w:eastAsia="方正黑体_GBK"/>
          <w:sz w:val="32"/>
          <w:szCs w:val="32"/>
        </w:rPr>
      </w:pPr>
      <w:r>
        <w:rPr>
          <w:rFonts w:hint="eastAsia" w:eastAsia="方正黑体_GBK"/>
          <w:b/>
          <w:bCs/>
          <w:sz w:val="32"/>
          <w:szCs w:val="32"/>
        </w:rPr>
        <w:t>四、其他需要说明的事项</w:t>
      </w:r>
    </w:p>
    <w:p>
      <w:pPr>
        <w:pStyle w:val="5"/>
        <w:shd w:val="clear" w:color="auto" w:fill="FFFFFF"/>
        <w:rPr>
          <w:rFonts w:ascii="Times New Roman" w:hAnsi="Times New Roman" w:eastAsia="方正楷体_GBK" w:cs="Times New Roman"/>
          <w:b/>
          <w:bCs/>
          <w:color w:val="333333"/>
          <w:kern w:val="2"/>
          <w:sz w:val="32"/>
          <w:szCs w:val="32"/>
        </w:rPr>
      </w:pPr>
      <w:r>
        <w:rPr>
          <w:rFonts w:hint="eastAsia" w:ascii="Times New Roman" w:hAnsi="Times New Roman" w:eastAsia="方正楷体_GBK" w:cs="Times New Roman"/>
          <w:b/>
          <w:color w:val="333333"/>
          <w:kern w:val="2"/>
          <w:sz w:val="32"/>
          <w:szCs w:val="32"/>
        </w:rPr>
        <w:t>（一）机关运行经费情况说明</w:t>
      </w:r>
    </w:p>
    <w:p>
      <w:pPr>
        <w:pStyle w:val="5"/>
        <w:shd w:val="clear" w:color="auto" w:fill="FFFFFF"/>
        <w:rPr>
          <w:rFonts w:ascii="方正仿宋_GBK" w:eastAsia="方正仿宋_GBK"/>
          <w:sz w:val="32"/>
          <w:szCs w:val="32"/>
        </w:rPr>
      </w:pPr>
      <w:r>
        <w:rPr>
          <w:rFonts w:hint="eastAsia" w:ascii="方正仿宋_GBK" w:eastAsia="方正仿宋_GBK"/>
          <w:sz w:val="32"/>
          <w:szCs w:val="32"/>
        </w:rPr>
        <w:t>2020年度本部门未发生机关运行经费。</w:t>
      </w:r>
    </w:p>
    <w:p>
      <w:pPr>
        <w:pStyle w:val="5"/>
        <w:shd w:val="clear" w:color="auto" w:fill="FFFFFF"/>
        <w:rPr>
          <w:rFonts w:ascii="方正仿宋_GBK" w:eastAsia="方正仿宋_GBK"/>
          <w:sz w:val="32"/>
          <w:szCs w:val="32"/>
        </w:rPr>
      </w:pPr>
      <w:r>
        <w:rPr>
          <w:rFonts w:hint="eastAsia" w:ascii="方正仿宋_GBK" w:eastAsia="方正仿宋_GBK"/>
          <w:sz w:val="32"/>
          <w:szCs w:val="32"/>
        </w:rPr>
        <w:t>本年度会议费支出1.72万元，较上年决算数减少0.17万元，下降9%，主要原因是会议次数、人次减少。本年度培训费支出 3.61万元，较上年决算数减少3.84万元，下降51.5%，主要原因是教师人数减少，教师培训人次减少。</w:t>
      </w:r>
    </w:p>
    <w:p>
      <w:pPr>
        <w:pStyle w:val="5"/>
        <w:shd w:val="clear" w:color="auto" w:fill="FFFFFF"/>
        <w:rPr>
          <w:rFonts w:ascii="Times New Roman" w:hAnsi="Times New Roman" w:eastAsia="方正楷体_GBK" w:cs="Times New Roman"/>
          <w:b/>
          <w:color w:val="333333"/>
          <w:kern w:val="2"/>
          <w:sz w:val="32"/>
          <w:szCs w:val="32"/>
        </w:rPr>
      </w:pPr>
      <w:r>
        <w:rPr>
          <w:rFonts w:hint="eastAsia" w:ascii="Times New Roman" w:hAnsi="Times New Roman" w:eastAsia="方正楷体_GBK" w:cs="Times New Roman"/>
          <w:b/>
          <w:bCs/>
          <w:color w:val="333333"/>
          <w:kern w:val="2"/>
          <w:sz w:val="32"/>
          <w:szCs w:val="32"/>
        </w:rPr>
        <w:t>（二）国有资产占用情况说明</w:t>
      </w:r>
    </w:p>
    <w:p>
      <w:pPr>
        <w:pStyle w:val="5"/>
        <w:shd w:val="clear" w:color="auto" w:fill="FFFFFF"/>
        <w:rPr>
          <w:rFonts w:ascii="Times New Roman" w:hAnsi="Times New Roman" w:eastAsia="方正仿宋_GBK"/>
          <w:sz w:val="32"/>
          <w:szCs w:val="32"/>
        </w:rPr>
      </w:pPr>
      <w:r>
        <w:rPr>
          <w:rFonts w:hint="eastAsia" w:ascii="Times New Roman" w:hAnsi="Times New Roman" w:eastAsia="方正仿宋_GBK"/>
          <w:sz w:val="32"/>
          <w:szCs w:val="32"/>
        </w:rPr>
        <w:t>本单位无用车需求。</w:t>
      </w:r>
    </w:p>
    <w:p>
      <w:pPr>
        <w:pStyle w:val="5"/>
        <w:shd w:val="clear" w:color="auto" w:fill="FFFFFF"/>
        <w:rPr>
          <w:rFonts w:ascii="Times New Roman" w:hAnsi="Times New Roman" w:eastAsia="方正楷体_GBK" w:cs="Times New Roman"/>
          <w:b/>
          <w:color w:val="333333"/>
          <w:kern w:val="2"/>
          <w:sz w:val="32"/>
          <w:szCs w:val="32"/>
        </w:rPr>
      </w:pPr>
      <w:r>
        <w:rPr>
          <w:rFonts w:hint="eastAsia" w:ascii="Times New Roman" w:hAnsi="Times New Roman" w:eastAsia="方正楷体_GBK" w:cs="Times New Roman"/>
          <w:b/>
          <w:bCs/>
          <w:color w:val="333333"/>
          <w:kern w:val="2"/>
          <w:sz w:val="32"/>
          <w:szCs w:val="32"/>
        </w:rPr>
        <w:t>（</w:t>
      </w:r>
      <w:r>
        <w:rPr>
          <w:rFonts w:hint="eastAsia" w:ascii="Times New Roman" w:hAnsi="Times New Roman" w:eastAsia="方正楷体_GBK" w:cs="Times New Roman"/>
          <w:b/>
          <w:color w:val="333333"/>
          <w:kern w:val="2"/>
          <w:sz w:val="32"/>
          <w:szCs w:val="32"/>
        </w:rPr>
        <w:t>三）政府采购支出情况说明</w:t>
      </w:r>
    </w:p>
    <w:p>
      <w:pPr>
        <w:pStyle w:val="5"/>
        <w:shd w:val="clear" w:color="auto" w:fill="FFFFFF"/>
        <w:rPr>
          <w:rFonts w:ascii="方正仿宋_GBK" w:eastAsia="方正仿宋_GBK"/>
          <w:sz w:val="32"/>
          <w:szCs w:val="32"/>
        </w:rPr>
      </w:pPr>
      <w:r>
        <w:rPr>
          <w:rFonts w:hint="eastAsia" w:ascii="方正仿宋_GBK" w:eastAsia="方正仿宋_GBK"/>
          <w:sz w:val="32"/>
          <w:szCs w:val="32"/>
        </w:rPr>
        <w:t>本单位2020年度未发生政府采购事项，无相关经费支出。</w:t>
      </w:r>
    </w:p>
    <w:p>
      <w:pPr>
        <w:pStyle w:val="13"/>
        <w:tabs>
          <w:tab w:val="center" w:pos="4153"/>
          <w:tab w:val="left" w:pos="7275"/>
        </w:tabs>
        <w:spacing w:line="600" w:lineRule="exact"/>
        <w:ind w:firstLine="640"/>
        <w:rPr>
          <w:rFonts w:eastAsia="方正黑体_GBK"/>
          <w:b/>
          <w:bCs/>
          <w:sz w:val="32"/>
          <w:szCs w:val="32"/>
        </w:rPr>
      </w:pPr>
      <w:r>
        <w:rPr>
          <w:rFonts w:hint="eastAsia" w:eastAsia="方正黑体_GBK"/>
          <w:sz w:val="32"/>
          <w:szCs w:val="32"/>
        </w:rPr>
        <w:t>五、预算绩效管理情况说明</w:t>
      </w:r>
    </w:p>
    <w:p>
      <w:pPr>
        <w:pStyle w:val="5"/>
        <w:shd w:val="clear" w:color="auto" w:fill="FFFFFF"/>
        <w:rPr>
          <w:rFonts w:ascii="方正仿宋_GBK" w:eastAsia="方正仿宋_GBK"/>
          <w:sz w:val="32"/>
          <w:szCs w:val="32"/>
        </w:rPr>
      </w:pPr>
      <w:r>
        <w:rPr>
          <w:rFonts w:hint="eastAsia" w:ascii="方正仿宋_GBK" w:eastAsia="方正仿宋_GBK"/>
          <w:sz w:val="32"/>
          <w:szCs w:val="32"/>
        </w:rPr>
        <w:t>有疑问请联系办公室  王晓东：023-48480131</w:t>
      </w:r>
    </w:p>
    <w:p>
      <w:pPr>
        <w:pStyle w:val="5"/>
        <w:shd w:val="clear" w:color="auto" w:fill="FFFFFF"/>
        <w:rPr>
          <w:rFonts w:ascii="Times New Roman" w:hAnsi="Times New Roman" w:eastAsia="方正楷体_GBK" w:cs="Times New Roman"/>
          <w:bCs/>
          <w:color w:val="333333"/>
          <w:kern w:val="2"/>
          <w:sz w:val="32"/>
          <w:szCs w:val="32"/>
        </w:rPr>
      </w:pPr>
      <w:r>
        <w:rPr>
          <w:rFonts w:hint="eastAsia" w:ascii="Times New Roman" w:hAnsi="Times New Roman" w:eastAsia="方正楷体_GBK" w:cs="Times New Roman"/>
          <w:b/>
          <w:color w:val="333333"/>
          <w:kern w:val="2"/>
          <w:sz w:val="32"/>
          <w:szCs w:val="32"/>
        </w:rPr>
        <w:t>（一）预算绩效管理工作开展情况</w:t>
      </w:r>
    </w:p>
    <w:p>
      <w:pPr>
        <w:pStyle w:val="5"/>
        <w:shd w:val="clear" w:color="auto" w:fill="FFFFFF"/>
        <w:rPr>
          <w:rFonts w:ascii="方正仿宋_GBK" w:eastAsia="方正仿宋_GBK"/>
          <w:sz w:val="32"/>
          <w:szCs w:val="32"/>
        </w:rPr>
      </w:pPr>
      <w:r>
        <w:rPr>
          <w:rFonts w:hint="eastAsia" w:ascii="方正仿宋_GBK" w:eastAsia="方正仿宋_GBK"/>
          <w:sz w:val="32"/>
          <w:szCs w:val="32"/>
        </w:rPr>
        <w:t>根据预算绩效管理要求，本部门对9个项目开展了绩效自评，其中，以填报目标自评表形式开展自评9项，涉及资金40.57万元。</w:t>
      </w:r>
    </w:p>
    <w:p>
      <w:pPr>
        <w:pStyle w:val="5"/>
        <w:shd w:val="clear" w:color="auto" w:fill="FFFFFF"/>
        <w:rPr>
          <w:rFonts w:ascii="Times New Roman" w:hAnsi="Times New Roman" w:eastAsia="方正楷体_GBK" w:cs="Times New Roman"/>
          <w:b/>
          <w:bCs/>
          <w:color w:val="333333"/>
          <w:kern w:val="2"/>
          <w:sz w:val="32"/>
          <w:szCs w:val="32"/>
        </w:rPr>
      </w:pPr>
      <w:r>
        <w:rPr>
          <w:rFonts w:hint="eastAsia" w:ascii="Times New Roman" w:hAnsi="Times New Roman" w:eastAsia="方正楷体_GBK" w:cs="Times New Roman"/>
          <w:b/>
          <w:color w:val="333333"/>
          <w:kern w:val="2"/>
          <w:sz w:val="32"/>
          <w:szCs w:val="32"/>
        </w:rPr>
        <w:t>（</w:t>
      </w:r>
      <w:r>
        <w:rPr>
          <w:rFonts w:hint="eastAsia" w:ascii="Times New Roman" w:hAnsi="Times New Roman" w:eastAsia="方正楷体_GBK" w:cs="Times New Roman"/>
          <w:b/>
          <w:bCs/>
          <w:color w:val="333333"/>
          <w:kern w:val="2"/>
          <w:sz w:val="32"/>
          <w:szCs w:val="32"/>
        </w:rPr>
        <w:t>二）绩效自评结果</w:t>
      </w:r>
    </w:p>
    <w:p>
      <w:pPr>
        <w:pStyle w:val="5"/>
        <w:shd w:val="clear" w:color="auto" w:fill="FFFFFF"/>
        <w:rPr>
          <w:rStyle w:val="9"/>
          <w:sz w:val="27"/>
          <w:szCs w:val="27"/>
        </w:rPr>
      </w:pPr>
      <w:r>
        <w:rPr>
          <w:rStyle w:val="9"/>
          <w:rFonts w:hint="eastAsia"/>
          <w:sz w:val="27"/>
          <w:szCs w:val="27"/>
        </w:rPr>
        <w:t>1.绩效自评表</w:t>
      </w:r>
    </w:p>
    <w:tbl>
      <w:tblPr>
        <w:tblStyle w:val="6"/>
        <w:tblW w:w="9120" w:type="dxa"/>
        <w:tblInd w:w="0" w:type="dxa"/>
        <w:tblLayout w:type="autofit"/>
        <w:tblCellMar>
          <w:top w:w="0" w:type="dxa"/>
          <w:left w:w="108" w:type="dxa"/>
          <w:bottom w:w="0" w:type="dxa"/>
          <w:right w:w="108" w:type="dxa"/>
        </w:tblCellMar>
      </w:tblPr>
      <w:tblGrid>
        <w:gridCol w:w="887"/>
        <w:gridCol w:w="1830"/>
        <w:gridCol w:w="1075"/>
        <w:gridCol w:w="849"/>
        <w:gridCol w:w="1567"/>
        <w:gridCol w:w="1113"/>
        <w:gridCol w:w="962"/>
        <w:gridCol w:w="830"/>
        <w:gridCol w:w="7"/>
      </w:tblGrid>
      <w:tr>
        <w:tblPrEx>
          <w:tblCellMar>
            <w:top w:w="0" w:type="dxa"/>
            <w:left w:w="108" w:type="dxa"/>
            <w:bottom w:w="0" w:type="dxa"/>
            <w:right w:w="108" w:type="dxa"/>
          </w:tblCellMar>
        </w:tblPrEx>
        <w:trPr>
          <w:trHeight w:val="484" w:hRule="atLeast"/>
        </w:trPr>
        <w:tc>
          <w:tcPr>
            <w:tcW w:w="9120" w:type="dxa"/>
            <w:gridSpan w:val="9"/>
            <w:tcBorders>
              <w:top w:val="nil"/>
              <w:left w:val="nil"/>
              <w:bottom w:val="nil"/>
              <w:right w:val="nil"/>
            </w:tcBorders>
            <w:shd w:val="clear" w:color="auto" w:fill="auto"/>
            <w:vAlign w:val="center"/>
          </w:tcPr>
          <w:p>
            <w:pPr>
              <w:ind w:firstLine="1285" w:firstLineChars="400"/>
              <w:jc w:val="both"/>
              <w:rPr>
                <w:rFonts w:hint="eastAsia" w:ascii="方正小标宋_GBK" w:eastAsia="方正小标宋_GBK"/>
                <w:b/>
                <w:bCs/>
                <w:color w:val="000000"/>
                <w:sz w:val="32"/>
                <w:szCs w:val="32"/>
              </w:rPr>
            </w:pPr>
            <w:r>
              <w:rPr>
                <w:rFonts w:hint="eastAsia" w:ascii="方正小标宋_GBK" w:eastAsia="方正小标宋_GBK"/>
                <w:b/>
                <w:bCs/>
                <w:color w:val="000000"/>
                <w:sz w:val="32"/>
                <w:szCs w:val="32"/>
              </w:rPr>
              <w:t>2020年度部门（单位）项目支出绩效自评表</w:t>
            </w:r>
          </w:p>
        </w:tc>
      </w:tr>
      <w:tr>
        <w:tblPrEx>
          <w:tblCellMar>
            <w:top w:w="0" w:type="dxa"/>
            <w:left w:w="108" w:type="dxa"/>
            <w:bottom w:w="0" w:type="dxa"/>
            <w:right w:w="108" w:type="dxa"/>
          </w:tblCellMar>
        </w:tblPrEx>
        <w:trPr>
          <w:gridAfter w:val="1"/>
          <w:wAfter w:w="7" w:type="dxa"/>
          <w:trHeight w:val="484" w:hRule="atLeast"/>
        </w:trPr>
        <w:tc>
          <w:tcPr>
            <w:tcW w:w="6209" w:type="dxa"/>
            <w:gridSpan w:val="5"/>
            <w:tcBorders>
              <w:top w:val="nil"/>
              <w:left w:val="nil"/>
              <w:bottom w:val="single" w:color="auto" w:sz="4" w:space="0"/>
              <w:right w:val="nil"/>
            </w:tcBorders>
            <w:shd w:val="clear" w:color="auto" w:fill="auto"/>
            <w:vAlign w:val="center"/>
          </w:tcPr>
          <w:p>
            <w:pPr>
              <w:rPr>
                <w:rFonts w:hint="eastAsia"/>
                <w:b/>
                <w:bCs/>
                <w:color w:val="000000"/>
                <w:sz w:val="20"/>
                <w:szCs w:val="20"/>
              </w:rPr>
            </w:pPr>
            <w:r>
              <w:rPr>
                <w:rFonts w:hint="eastAsia"/>
                <w:b/>
                <w:bCs/>
                <w:color w:val="000000"/>
                <w:sz w:val="20"/>
                <w:szCs w:val="20"/>
              </w:rPr>
              <w:t>填表单位（盖章）：重庆市綦江区隆盛小学</w:t>
            </w:r>
          </w:p>
        </w:tc>
        <w:tc>
          <w:tcPr>
            <w:tcW w:w="1113" w:type="dxa"/>
            <w:tcBorders>
              <w:top w:val="nil"/>
              <w:left w:val="nil"/>
              <w:bottom w:val="nil"/>
              <w:right w:val="nil"/>
            </w:tcBorders>
            <w:shd w:val="clear" w:color="auto" w:fill="auto"/>
            <w:vAlign w:val="center"/>
          </w:tcPr>
          <w:p>
            <w:pPr>
              <w:rPr>
                <w:rFonts w:hint="eastAsia"/>
                <w:b/>
                <w:bCs/>
                <w:color w:val="000000"/>
                <w:sz w:val="20"/>
                <w:szCs w:val="20"/>
              </w:rPr>
            </w:pPr>
          </w:p>
        </w:tc>
        <w:tc>
          <w:tcPr>
            <w:tcW w:w="962" w:type="dxa"/>
            <w:tcBorders>
              <w:top w:val="nil"/>
              <w:left w:val="nil"/>
              <w:bottom w:val="nil"/>
              <w:right w:val="nil"/>
            </w:tcBorders>
            <w:shd w:val="clear" w:color="auto" w:fill="auto"/>
            <w:vAlign w:val="center"/>
          </w:tcPr>
          <w:p>
            <w:pPr>
              <w:jc w:val="center"/>
              <w:rPr>
                <w:rFonts w:ascii="Times New Roman" w:hAnsi="Times New Roman" w:eastAsia="Times New Roman" w:cs="Times New Roman"/>
                <w:sz w:val="20"/>
                <w:szCs w:val="20"/>
              </w:rPr>
            </w:pPr>
          </w:p>
        </w:tc>
        <w:tc>
          <w:tcPr>
            <w:tcW w:w="829" w:type="dxa"/>
            <w:tcBorders>
              <w:top w:val="nil"/>
              <w:left w:val="nil"/>
              <w:bottom w:val="nil"/>
              <w:right w:val="nil"/>
            </w:tcBorders>
            <w:shd w:val="clear" w:color="auto" w:fill="auto"/>
            <w:vAlign w:val="center"/>
          </w:tcPr>
          <w:p>
            <w:pPr>
              <w:jc w:val="center"/>
              <w:rPr>
                <w:rFonts w:ascii="Times New Roman" w:hAnsi="Times New Roman" w:eastAsia="Times New Roman" w:cs="Times New Roman"/>
                <w:sz w:val="20"/>
                <w:szCs w:val="20"/>
              </w:rPr>
            </w:pPr>
          </w:p>
        </w:tc>
      </w:tr>
      <w:tr>
        <w:tblPrEx>
          <w:tblCellMar>
            <w:top w:w="0" w:type="dxa"/>
            <w:left w:w="108" w:type="dxa"/>
            <w:bottom w:w="0" w:type="dxa"/>
            <w:right w:w="108" w:type="dxa"/>
          </w:tblCellMar>
        </w:tblPrEx>
        <w:trPr>
          <w:trHeight w:val="534" w:hRule="atLeast"/>
        </w:trPr>
        <w:tc>
          <w:tcPr>
            <w:tcW w:w="88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项目名称</w:t>
            </w:r>
          </w:p>
        </w:tc>
        <w:tc>
          <w:tcPr>
            <w:tcW w:w="3755"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2020年学前教育幼儿资助补助资金（中央资金）—2020年春期家庭经济困难幼儿资助</w:t>
            </w:r>
          </w:p>
        </w:tc>
        <w:tc>
          <w:tcPr>
            <w:tcW w:w="156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自评总分</w:t>
            </w:r>
            <w:r>
              <w:rPr>
                <w:rFonts w:hint="eastAsia"/>
                <w:color w:val="000000"/>
                <w:sz w:val="20"/>
                <w:szCs w:val="20"/>
              </w:rPr>
              <w:br w:type="textWrapping"/>
            </w:r>
            <w:r>
              <w:rPr>
                <w:rFonts w:hint="eastAsia"/>
                <w:color w:val="000000"/>
                <w:sz w:val="20"/>
                <w:szCs w:val="20"/>
              </w:rPr>
              <w:t>（分</w:t>
            </w:r>
            <w:r>
              <w:rPr>
                <w:rFonts w:hint="eastAsia"/>
                <w:color w:val="000000"/>
                <w:sz w:val="20"/>
                <w:szCs w:val="20"/>
                <w:lang w:eastAsia="zh-CN"/>
              </w:rPr>
              <w:t>）</w:t>
            </w:r>
          </w:p>
        </w:tc>
        <w:tc>
          <w:tcPr>
            <w:tcW w:w="2910" w:type="dxa"/>
            <w:gridSpan w:val="4"/>
            <w:tcBorders>
              <w:top w:val="single" w:color="auto" w:sz="4" w:space="0"/>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100</w:t>
            </w:r>
          </w:p>
        </w:tc>
      </w:tr>
      <w:tr>
        <w:tblPrEx>
          <w:tblCellMar>
            <w:top w:w="0" w:type="dxa"/>
            <w:left w:w="108" w:type="dxa"/>
            <w:bottom w:w="0" w:type="dxa"/>
            <w:right w:w="108" w:type="dxa"/>
          </w:tblCellMar>
        </w:tblPrEx>
        <w:trPr>
          <w:trHeight w:val="534" w:hRule="atLeast"/>
        </w:trPr>
        <w:tc>
          <w:tcPr>
            <w:tcW w:w="88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业务主管部门</w:t>
            </w:r>
          </w:p>
        </w:tc>
        <w:tc>
          <w:tcPr>
            <w:tcW w:w="3755"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重庆市綦江区教育委员会</w:t>
            </w:r>
          </w:p>
        </w:tc>
        <w:tc>
          <w:tcPr>
            <w:tcW w:w="156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联系人</w:t>
            </w:r>
            <w:r>
              <w:rPr>
                <w:rFonts w:hint="eastAsia"/>
                <w:color w:val="000000"/>
                <w:sz w:val="20"/>
                <w:szCs w:val="20"/>
              </w:rPr>
              <w:br w:type="textWrapping"/>
            </w:r>
            <w:r>
              <w:rPr>
                <w:rFonts w:hint="eastAsia"/>
                <w:color w:val="000000"/>
                <w:sz w:val="20"/>
                <w:szCs w:val="20"/>
              </w:rPr>
              <w:t>及电话</w:t>
            </w:r>
          </w:p>
        </w:tc>
        <w:tc>
          <w:tcPr>
            <w:tcW w:w="2910" w:type="dxa"/>
            <w:gridSpan w:val="4"/>
            <w:tcBorders>
              <w:top w:val="single" w:color="auto" w:sz="4" w:space="0"/>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黄强  13708364721</w:t>
            </w:r>
          </w:p>
        </w:tc>
      </w:tr>
      <w:tr>
        <w:tblPrEx>
          <w:tblCellMar>
            <w:top w:w="0" w:type="dxa"/>
            <w:left w:w="108" w:type="dxa"/>
            <w:bottom w:w="0" w:type="dxa"/>
            <w:right w:w="108" w:type="dxa"/>
          </w:tblCellMar>
        </w:tblPrEx>
        <w:trPr>
          <w:gridAfter w:val="1"/>
          <w:wAfter w:w="8" w:type="dxa"/>
          <w:trHeight w:val="298" w:hRule="atLeast"/>
        </w:trPr>
        <w:tc>
          <w:tcPr>
            <w:tcW w:w="887"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项目资金（万元）</w:t>
            </w:r>
          </w:p>
        </w:tc>
        <w:tc>
          <w:tcPr>
            <w:tcW w:w="1830" w:type="dxa"/>
            <w:tcBorders>
              <w:top w:val="nil"/>
              <w:left w:val="nil"/>
              <w:bottom w:val="single" w:color="auto" w:sz="4" w:space="0"/>
              <w:right w:val="nil"/>
            </w:tcBorders>
            <w:shd w:val="clear" w:color="auto" w:fill="auto"/>
            <w:vAlign w:val="center"/>
          </w:tcPr>
          <w:p>
            <w:pPr>
              <w:rPr>
                <w:rFonts w:hint="eastAsia"/>
                <w:color w:val="000000"/>
                <w:sz w:val="20"/>
                <w:szCs w:val="20"/>
              </w:rPr>
            </w:pPr>
            <w:r>
              <w:rPr>
                <w:rFonts w:hint="eastAsia"/>
                <w:color w:val="000000"/>
                <w:sz w:val="20"/>
                <w:szCs w:val="20"/>
              </w:rPr>
              <w:t>　</w:t>
            </w:r>
          </w:p>
        </w:tc>
        <w:tc>
          <w:tcPr>
            <w:tcW w:w="1924" w:type="dxa"/>
            <w:gridSpan w:val="2"/>
            <w:tcBorders>
              <w:top w:val="single" w:color="auto" w:sz="4" w:space="0"/>
              <w:left w:val="single" w:color="auto" w:sz="4" w:space="0"/>
              <w:bottom w:val="single" w:color="auto" w:sz="4" w:space="0"/>
              <w:right w:val="nil"/>
            </w:tcBorders>
            <w:shd w:val="clear" w:color="auto" w:fill="auto"/>
            <w:vAlign w:val="center"/>
          </w:tcPr>
          <w:p>
            <w:pPr>
              <w:jc w:val="center"/>
              <w:rPr>
                <w:rFonts w:hint="eastAsia"/>
                <w:color w:val="000000"/>
                <w:sz w:val="20"/>
                <w:szCs w:val="20"/>
              </w:rPr>
            </w:pPr>
            <w:r>
              <w:rPr>
                <w:rFonts w:hint="eastAsia"/>
                <w:color w:val="000000"/>
                <w:sz w:val="20"/>
                <w:szCs w:val="20"/>
              </w:rPr>
              <w:t>全年预算数（A）</w:t>
            </w:r>
          </w:p>
        </w:tc>
        <w:tc>
          <w:tcPr>
            <w:tcW w:w="156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全年执行数（B）</w:t>
            </w:r>
          </w:p>
        </w:tc>
        <w:tc>
          <w:tcPr>
            <w:tcW w:w="1113"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执行率%（B/A）</w:t>
            </w:r>
          </w:p>
        </w:tc>
        <w:tc>
          <w:tcPr>
            <w:tcW w:w="1792"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执行率得分（分）</w:t>
            </w:r>
          </w:p>
        </w:tc>
      </w:tr>
      <w:tr>
        <w:tblPrEx>
          <w:tblCellMar>
            <w:top w:w="0" w:type="dxa"/>
            <w:left w:w="108" w:type="dxa"/>
            <w:bottom w:w="0" w:type="dxa"/>
            <w:right w:w="108" w:type="dxa"/>
          </w:tblCellMar>
        </w:tblPrEx>
        <w:trPr>
          <w:gridAfter w:val="1"/>
          <w:wAfter w:w="8" w:type="dxa"/>
          <w:trHeight w:val="298" w:hRule="atLeast"/>
        </w:trPr>
        <w:tc>
          <w:tcPr>
            <w:tcW w:w="887"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830" w:type="dxa"/>
            <w:tcBorders>
              <w:top w:val="nil"/>
              <w:left w:val="nil"/>
              <w:bottom w:val="single" w:color="auto" w:sz="4" w:space="0"/>
              <w:right w:val="single" w:color="auto" w:sz="4" w:space="0"/>
            </w:tcBorders>
            <w:shd w:val="clear" w:color="auto" w:fill="auto"/>
            <w:vAlign w:val="center"/>
          </w:tcPr>
          <w:p>
            <w:pPr>
              <w:rPr>
                <w:rFonts w:hint="eastAsia"/>
                <w:color w:val="000000"/>
                <w:sz w:val="20"/>
                <w:szCs w:val="20"/>
              </w:rPr>
            </w:pPr>
            <w:r>
              <w:rPr>
                <w:rFonts w:hint="eastAsia"/>
                <w:color w:val="000000"/>
                <w:sz w:val="20"/>
                <w:szCs w:val="20"/>
              </w:rPr>
              <w:t>年度资金总额：</w:t>
            </w:r>
          </w:p>
        </w:tc>
        <w:tc>
          <w:tcPr>
            <w:tcW w:w="1924" w:type="dxa"/>
            <w:gridSpan w:val="2"/>
            <w:tcBorders>
              <w:top w:val="single" w:color="auto" w:sz="4" w:space="0"/>
              <w:left w:val="nil"/>
              <w:bottom w:val="single" w:color="auto" w:sz="4" w:space="0"/>
              <w:right w:val="nil"/>
            </w:tcBorders>
            <w:shd w:val="clear" w:color="auto" w:fill="auto"/>
            <w:vAlign w:val="center"/>
          </w:tcPr>
          <w:p>
            <w:pPr>
              <w:jc w:val="center"/>
              <w:rPr>
                <w:rFonts w:hint="eastAsia"/>
                <w:color w:val="000000"/>
                <w:sz w:val="20"/>
                <w:szCs w:val="20"/>
              </w:rPr>
            </w:pPr>
            <w:r>
              <w:rPr>
                <w:rFonts w:hint="eastAsia"/>
                <w:color w:val="000000"/>
                <w:sz w:val="20"/>
                <w:szCs w:val="20"/>
              </w:rPr>
              <w:t>1.08</w:t>
            </w:r>
          </w:p>
        </w:tc>
        <w:tc>
          <w:tcPr>
            <w:tcW w:w="156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1.08</w:t>
            </w:r>
          </w:p>
        </w:tc>
        <w:tc>
          <w:tcPr>
            <w:tcW w:w="1113"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100%</w:t>
            </w:r>
          </w:p>
        </w:tc>
        <w:tc>
          <w:tcPr>
            <w:tcW w:w="1792"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 xml:space="preserve">10 </w:t>
            </w:r>
          </w:p>
        </w:tc>
      </w:tr>
      <w:tr>
        <w:tblPrEx>
          <w:tblCellMar>
            <w:top w:w="0" w:type="dxa"/>
            <w:left w:w="108" w:type="dxa"/>
            <w:bottom w:w="0" w:type="dxa"/>
            <w:right w:w="108" w:type="dxa"/>
          </w:tblCellMar>
        </w:tblPrEx>
        <w:trPr>
          <w:gridAfter w:val="1"/>
          <w:wAfter w:w="8" w:type="dxa"/>
          <w:trHeight w:val="298" w:hRule="atLeast"/>
        </w:trPr>
        <w:tc>
          <w:tcPr>
            <w:tcW w:w="887"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830"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其中：中央补助</w:t>
            </w:r>
          </w:p>
        </w:tc>
        <w:tc>
          <w:tcPr>
            <w:tcW w:w="1924" w:type="dxa"/>
            <w:gridSpan w:val="2"/>
            <w:tcBorders>
              <w:top w:val="single" w:color="auto" w:sz="4" w:space="0"/>
              <w:left w:val="nil"/>
              <w:bottom w:val="single" w:color="auto" w:sz="4" w:space="0"/>
              <w:right w:val="nil"/>
            </w:tcBorders>
            <w:shd w:val="clear" w:color="auto" w:fill="auto"/>
            <w:vAlign w:val="center"/>
          </w:tcPr>
          <w:p>
            <w:pPr>
              <w:jc w:val="center"/>
              <w:rPr>
                <w:rFonts w:hint="eastAsia"/>
                <w:color w:val="000000"/>
                <w:sz w:val="20"/>
                <w:szCs w:val="20"/>
              </w:rPr>
            </w:pPr>
            <w:r>
              <w:rPr>
                <w:rFonts w:hint="eastAsia"/>
                <w:color w:val="000000"/>
                <w:sz w:val="20"/>
                <w:szCs w:val="20"/>
              </w:rPr>
              <w:t>1.08</w:t>
            </w:r>
          </w:p>
        </w:tc>
        <w:tc>
          <w:tcPr>
            <w:tcW w:w="156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1.08</w:t>
            </w:r>
          </w:p>
        </w:tc>
        <w:tc>
          <w:tcPr>
            <w:tcW w:w="1113"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100%</w:t>
            </w:r>
          </w:p>
        </w:tc>
        <w:tc>
          <w:tcPr>
            <w:tcW w:w="1792"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gridAfter w:val="1"/>
          <w:wAfter w:w="8" w:type="dxa"/>
          <w:trHeight w:val="310" w:hRule="atLeast"/>
        </w:trPr>
        <w:tc>
          <w:tcPr>
            <w:tcW w:w="887"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830"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 xml:space="preserve">     市级补助</w:t>
            </w:r>
          </w:p>
        </w:tc>
        <w:tc>
          <w:tcPr>
            <w:tcW w:w="1924" w:type="dxa"/>
            <w:gridSpan w:val="2"/>
            <w:tcBorders>
              <w:top w:val="single" w:color="auto" w:sz="4" w:space="0"/>
              <w:left w:val="nil"/>
              <w:bottom w:val="single" w:color="auto" w:sz="4" w:space="0"/>
              <w:right w:val="nil"/>
            </w:tcBorders>
            <w:shd w:val="clear" w:color="auto" w:fill="auto"/>
            <w:vAlign w:val="center"/>
          </w:tcPr>
          <w:p>
            <w:pPr>
              <w:jc w:val="center"/>
              <w:rPr>
                <w:rFonts w:hint="eastAsia"/>
                <w:color w:val="000000"/>
                <w:sz w:val="20"/>
                <w:szCs w:val="20"/>
              </w:rPr>
            </w:pPr>
            <w:r>
              <w:rPr>
                <w:rFonts w:hint="eastAsia"/>
                <w:color w:val="000000"/>
                <w:sz w:val="20"/>
                <w:szCs w:val="20"/>
              </w:rPr>
              <w:t>　</w:t>
            </w:r>
          </w:p>
        </w:tc>
        <w:tc>
          <w:tcPr>
            <w:tcW w:w="156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　</w:t>
            </w:r>
          </w:p>
        </w:tc>
        <w:tc>
          <w:tcPr>
            <w:tcW w:w="1113"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　</w:t>
            </w:r>
          </w:p>
        </w:tc>
        <w:tc>
          <w:tcPr>
            <w:tcW w:w="1792"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gridAfter w:val="1"/>
          <w:wAfter w:w="8" w:type="dxa"/>
          <w:trHeight w:val="347" w:hRule="atLeast"/>
        </w:trPr>
        <w:tc>
          <w:tcPr>
            <w:tcW w:w="887"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830"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 xml:space="preserve">     区级资金</w:t>
            </w:r>
          </w:p>
        </w:tc>
        <w:tc>
          <w:tcPr>
            <w:tcW w:w="1924" w:type="dxa"/>
            <w:gridSpan w:val="2"/>
            <w:tcBorders>
              <w:top w:val="single" w:color="auto" w:sz="4" w:space="0"/>
              <w:left w:val="nil"/>
              <w:bottom w:val="single" w:color="auto" w:sz="4" w:space="0"/>
              <w:right w:val="nil"/>
            </w:tcBorders>
            <w:shd w:val="clear" w:color="auto" w:fill="auto"/>
            <w:vAlign w:val="center"/>
          </w:tcPr>
          <w:p>
            <w:pPr>
              <w:jc w:val="center"/>
              <w:rPr>
                <w:rFonts w:hint="eastAsia"/>
                <w:color w:val="000000"/>
                <w:sz w:val="20"/>
                <w:szCs w:val="20"/>
              </w:rPr>
            </w:pPr>
            <w:r>
              <w:rPr>
                <w:rFonts w:hint="eastAsia"/>
                <w:color w:val="000000"/>
                <w:sz w:val="20"/>
                <w:szCs w:val="20"/>
              </w:rPr>
              <w:t>　</w:t>
            </w:r>
          </w:p>
        </w:tc>
        <w:tc>
          <w:tcPr>
            <w:tcW w:w="156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　</w:t>
            </w:r>
          </w:p>
        </w:tc>
        <w:tc>
          <w:tcPr>
            <w:tcW w:w="1113"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　</w:t>
            </w:r>
          </w:p>
        </w:tc>
        <w:tc>
          <w:tcPr>
            <w:tcW w:w="1792"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gridAfter w:val="1"/>
          <w:wAfter w:w="8" w:type="dxa"/>
          <w:trHeight w:val="273" w:hRule="atLeast"/>
        </w:trPr>
        <w:tc>
          <w:tcPr>
            <w:tcW w:w="887"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830"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 xml:space="preserve">     其他资金</w:t>
            </w:r>
          </w:p>
        </w:tc>
        <w:tc>
          <w:tcPr>
            <w:tcW w:w="1924" w:type="dxa"/>
            <w:gridSpan w:val="2"/>
            <w:tcBorders>
              <w:top w:val="single" w:color="auto" w:sz="4" w:space="0"/>
              <w:left w:val="nil"/>
              <w:bottom w:val="single" w:color="auto" w:sz="4" w:space="0"/>
              <w:right w:val="nil"/>
            </w:tcBorders>
            <w:shd w:val="clear" w:color="auto" w:fill="auto"/>
            <w:vAlign w:val="center"/>
          </w:tcPr>
          <w:p>
            <w:pPr>
              <w:jc w:val="center"/>
              <w:rPr>
                <w:rFonts w:hint="eastAsia"/>
                <w:color w:val="000000"/>
                <w:sz w:val="20"/>
                <w:szCs w:val="20"/>
              </w:rPr>
            </w:pPr>
            <w:r>
              <w:rPr>
                <w:rFonts w:hint="eastAsia"/>
                <w:color w:val="000000"/>
                <w:sz w:val="20"/>
                <w:szCs w:val="20"/>
              </w:rPr>
              <w:t>　</w:t>
            </w:r>
          </w:p>
        </w:tc>
        <w:tc>
          <w:tcPr>
            <w:tcW w:w="156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　</w:t>
            </w:r>
          </w:p>
        </w:tc>
        <w:tc>
          <w:tcPr>
            <w:tcW w:w="1113"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　</w:t>
            </w:r>
          </w:p>
        </w:tc>
        <w:tc>
          <w:tcPr>
            <w:tcW w:w="1792"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422" w:hRule="atLeast"/>
        </w:trPr>
        <w:tc>
          <w:tcPr>
            <w:tcW w:w="887"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年度总体目标</w:t>
            </w:r>
          </w:p>
        </w:tc>
        <w:tc>
          <w:tcPr>
            <w:tcW w:w="3755" w:type="dxa"/>
            <w:gridSpan w:val="3"/>
            <w:tcBorders>
              <w:top w:val="single" w:color="auto" w:sz="4" w:space="0"/>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年初设定目标</w:t>
            </w:r>
          </w:p>
        </w:tc>
        <w:tc>
          <w:tcPr>
            <w:tcW w:w="4476"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全年目标实际完成情况</w:t>
            </w:r>
          </w:p>
        </w:tc>
      </w:tr>
      <w:tr>
        <w:tblPrEx>
          <w:tblCellMar>
            <w:top w:w="0" w:type="dxa"/>
            <w:left w:w="108" w:type="dxa"/>
            <w:bottom w:w="0" w:type="dxa"/>
            <w:right w:w="108" w:type="dxa"/>
          </w:tblCellMar>
        </w:tblPrEx>
        <w:trPr>
          <w:trHeight w:val="1231" w:hRule="atLeast"/>
        </w:trPr>
        <w:tc>
          <w:tcPr>
            <w:tcW w:w="887"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3755" w:type="dxa"/>
            <w:gridSpan w:val="3"/>
            <w:tcBorders>
              <w:top w:val="single" w:color="auto" w:sz="4" w:space="0"/>
              <w:left w:val="nil"/>
              <w:bottom w:val="single" w:color="auto" w:sz="4" w:space="0"/>
              <w:right w:val="nil"/>
            </w:tcBorders>
            <w:shd w:val="clear" w:color="auto" w:fill="auto"/>
            <w:vAlign w:val="center"/>
          </w:tcPr>
          <w:p>
            <w:pPr>
              <w:rPr>
                <w:rFonts w:hint="eastAsia"/>
                <w:color w:val="000000"/>
                <w:sz w:val="20"/>
                <w:szCs w:val="20"/>
              </w:rPr>
            </w:pPr>
            <w:r>
              <w:rPr>
                <w:rFonts w:hint="eastAsia"/>
                <w:color w:val="000000"/>
                <w:sz w:val="20"/>
                <w:szCs w:val="20"/>
              </w:rPr>
              <w:t>准备解决学校10名幼儿的资助费用，每人每期免保教保育费750元，每人每期生活补助330元，促进教育公平和社会和谐，保证贫困幼儿不能因贫失学。</w:t>
            </w:r>
          </w:p>
        </w:tc>
        <w:tc>
          <w:tcPr>
            <w:tcW w:w="4476" w:type="dxa"/>
            <w:gridSpan w:val="5"/>
            <w:tcBorders>
              <w:top w:val="single" w:color="auto" w:sz="4" w:space="0"/>
              <w:left w:val="nil"/>
              <w:bottom w:val="single" w:color="auto" w:sz="4" w:space="0"/>
              <w:right w:val="nil"/>
            </w:tcBorders>
            <w:shd w:val="clear" w:color="auto" w:fill="auto"/>
            <w:vAlign w:val="center"/>
          </w:tcPr>
          <w:p>
            <w:pPr>
              <w:rPr>
                <w:rFonts w:hint="eastAsia"/>
                <w:color w:val="000000"/>
                <w:sz w:val="20"/>
                <w:szCs w:val="20"/>
              </w:rPr>
            </w:pPr>
            <w:r>
              <w:rPr>
                <w:rFonts w:hint="eastAsia"/>
                <w:color w:val="000000"/>
                <w:sz w:val="20"/>
                <w:szCs w:val="20"/>
              </w:rPr>
              <w:t>完成10名贫困幼儿的资助，保证这两名学生不能因贫失学，得到家长社会一致好评。</w:t>
            </w:r>
          </w:p>
        </w:tc>
      </w:tr>
      <w:tr>
        <w:tblPrEx>
          <w:tblCellMar>
            <w:top w:w="0" w:type="dxa"/>
            <w:left w:w="108" w:type="dxa"/>
            <w:bottom w:w="0" w:type="dxa"/>
            <w:right w:w="108" w:type="dxa"/>
          </w:tblCellMar>
        </w:tblPrEx>
        <w:trPr>
          <w:gridAfter w:val="1"/>
          <w:wAfter w:w="9" w:type="dxa"/>
          <w:trHeight w:val="534" w:hRule="atLeast"/>
        </w:trPr>
        <w:tc>
          <w:tcPr>
            <w:tcW w:w="887"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jc w:val="center"/>
              <w:rPr>
                <w:rFonts w:hint="eastAsia"/>
                <w:color w:val="000000"/>
                <w:sz w:val="20"/>
                <w:szCs w:val="20"/>
              </w:rPr>
            </w:pPr>
            <w:r>
              <w:rPr>
                <w:rFonts w:hint="eastAsia"/>
                <w:color w:val="000000"/>
                <w:sz w:val="20"/>
                <w:szCs w:val="20"/>
              </w:rPr>
              <w:t>绩效指标</w:t>
            </w:r>
          </w:p>
        </w:tc>
        <w:tc>
          <w:tcPr>
            <w:tcW w:w="1830"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指标名称</w:t>
            </w:r>
            <w:r>
              <w:rPr>
                <w:rFonts w:hint="eastAsia"/>
                <w:color w:val="000000"/>
                <w:sz w:val="20"/>
                <w:szCs w:val="20"/>
              </w:rPr>
              <w:br w:type="textWrapping"/>
            </w:r>
            <w:r>
              <w:rPr>
                <w:rFonts w:hint="eastAsia"/>
                <w:color w:val="000000"/>
                <w:sz w:val="20"/>
                <w:szCs w:val="20"/>
              </w:rPr>
              <w:t>（三级指标）</w:t>
            </w:r>
          </w:p>
        </w:tc>
        <w:tc>
          <w:tcPr>
            <w:tcW w:w="1075" w:type="dxa"/>
            <w:tcBorders>
              <w:top w:val="nil"/>
              <w:left w:val="nil"/>
              <w:bottom w:val="single" w:color="auto" w:sz="4" w:space="0"/>
              <w:right w:val="single" w:color="auto" w:sz="4" w:space="0"/>
            </w:tcBorders>
            <w:shd w:val="clear" w:color="auto" w:fill="auto"/>
            <w:noWrap/>
            <w:vAlign w:val="center"/>
          </w:tcPr>
          <w:p>
            <w:pPr>
              <w:jc w:val="center"/>
              <w:rPr>
                <w:rFonts w:hint="eastAsia"/>
                <w:color w:val="000000"/>
                <w:sz w:val="20"/>
                <w:szCs w:val="20"/>
              </w:rPr>
            </w:pPr>
            <w:r>
              <w:rPr>
                <w:rFonts w:hint="eastAsia"/>
                <w:color w:val="000000"/>
                <w:sz w:val="20"/>
                <w:szCs w:val="20"/>
              </w:rPr>
              <w:t>计量单位</w:t>
            </w:r>
          </w:p>
        </w:tc>
        <w:tc>
          <w:tcPr>
            <w:tcW w:w="849" w:type="dxa"/>
            <w:tcBorders>
              <w:top w:val="nil"/>
              <w:left w:val="nil"/>
              <w:bottom w:val="single" w:color="auto" w:sz="4" w:space="0"/>
              <w:right w:val="nil"/>
            </w:tcBorders>
            <w:shd w:val="clear" w:color="auto" w:fill="auto"/>
            <w:vAlign w:val="center"/>
          </w:tcPr>
          <w:p>
            <w:pPr>
              <w:jc w:val="center"/>
              <w:rPr>
                <w:rFonts w:hint="eastAsia"/>
                <w:color w:val="000000"/>
                <w:sz w:val="20"/>
                <w:szCs w:val="20"/>
              </w:rPr>
            </w:pPr>
            <w:r>
              <w:rPr>
                <w:rFonts w:hint="eastAsia"/>
                <w:color w:val="000000"/>
                <w:sz w:val="20"/>
                <w:szCs w:val="20"/>
              </w:rPr>
              <w:t>指标权重</w:t>
            </w:r>
          </w:p>
        </w:tc>
        <w:tc>
          <w:tcPr>
            <w:tcW w:w="156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指标值</w:t>
            </w:r>
          </w:p>
        </w:tc>
        <w:tc>
          <w:tcPr>
            <w:tcW w:w="1113"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全年完成值</w:t>
            </w:r>
          </w:p>
        </w:tc>
        <w:tc>
          <w:tcPr>
            <w:tcW w:w="962"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得分系数（%）</w:t>
            </w:r>
          </w:p>
        </w:tc>
        <w:tc>
          <w:tcPr>
            <w:tcW w:w="82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指标得分</w:t>
            </w:r>
            <w:r>
              <w:rPr>
                <w:rFonts w:hint="eastAsia"/>
                <w:color w:val="000000"/>
                <w:sz w:val="20"/>
                <w:szCs w:val="20"/>
              </w:rPr>
              <w:br w:type="textWrapping"/>
            </w:r>
            <w:r>
              <w:rPr>
                <w:rFonts w:hint="eastAsia"/>
                <w:color w:val="000000"/>
                <w:sz w:val="20"/>
                <w:szCs w:val="20"/>
              </w:rPr>
              <w:t>（分</w:t>
            </w:r>
            <w:r>
              <w:rPr>
                <w:rFonts w:hint="eastAsia"/>
                <w:color w:val="000000"/>
                <w:sz w:val="20"/>
                <w:szCs w:val="20"/>
                <w:lang w:eastAsia="zh-CN"/>
              </w:rPr>
              <w:t>）</w:t>
            </w:r>
          </w:p>
        </w:tc>
      </w:tr>
      <w:tr>
        <w:tblPrEx>
          <w:tblCellMar>
            <w:top w:w="0" w:type="dxa"/>
            <w:left w:w="108" w:type="dxa"/>
            <w:bottom w:w="0" w:type="dxa"/>
            <w:right w:w="108" w:type="dxa"/>
          </w:tblCellMar>
        </w:tblPrEx>
        <w:trPr>
          <w:gridAfter w:val="1"/>
          <w:wAfter w:w="9" w:type="dxa"/>
          <w:trHeight w:val="484" w:hRule="atLeast"/>
        </w:trPr>
        <w:tc>
          <w:tcPr>
            <w:tcW w:w="887"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830"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资助人次</w:t>
            </w:r>
          </w:p>
        </w:tc>
        <w:tc>
          <w:tcPr>
            <w:tcW w:w="107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人次</w:t>
            </w:r>
          </w:p>
        </w:tc>
        <w:tc>
          <w:tcPr>
            <w:tcW w:w="84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w:t>
            </w:r>
          </w:p>
        </w:tc>
        <w:tc>
          <w:tcPr>
            <w:tcW w:w="1566"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w:t>
            </w:r>
          </w:p>
        </w:tc>
        <w:tc>
          <w:tcPr>
            <w:tcW w:w="1113"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w:t>
            </w:r>
          </w:p>
        </w:tc>
        <w:tc>
          <w:tcPr>
            <w:tcW w:w="962"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100%</w:t>
            </w:r>
          </w:p>
        </w:tc>
        <w:tc>
          <w:tcPr>
            <w:tcW w:w="82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w:t>
            </w:r>
          </w:p>
        </w:tc>
      </w:tr>
      <w:tr>
        <w:tblPrEx>
          <w:tblCellMar>
            <w:top w:w="0" w:type="dxa"/>
            <w:left w:w="108" w:type="dxa"/>
            <w:bottom w:w="0" w:type="dxa"/>
            <w:right w:w="108" w:type="dxa"/>
          </w:tblCellMar>
        </w:tblPrEx>
        <w:trPr>
          <w:gridAfter w:val="1"/>
          <w:wAfter w:w="9" w:type="dxa"/>
          <w:trHeight w:val="534" w:hRule="atLeast"/>
        </w:trPr>
        <w:tc>
          <w:tcPr>
            <w:tcW w:w="887"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830"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补助标准</w:t>
            </w:r>
          </w:p>
        </w:tc>
        <w:tc>
          <w:tcPr>
            <w:tcW w:w="107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元/人/期</w:t>
            </w:r>
          </w:p>
        </w:tc>
        <w:tc>
          <w:tcPr>
            <w:tcW w:w="84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w:t>
            </w:r>
          </w:p>
        </w:tc>
        <w:tc>
          <w:tcPr>
            <w:tcW w:w="1566" w:type="dxa"/>
            <w:tcBorders>
              <w:top w:val="nil"/>
              <w:left w:val="nil"/>
              <w:bottom w:val="single" w:color="auto" w:sz="4" w:space="0"/>
              <w:right w:val="single" w:color="auto" w:sz="4" w:space="0"/>
            </w:tcBorders>
            <w:shd w:val="clear" w:color="auto" w:fill="auto"/>
            <w:noWrap/>
            <w:vAlign w:val="center"/>
          </w:tcPr>
          <w:p>
            <w:pPr>
              <w:jc w:val="center"/>
              <w:rPr>
                <w:rFonts w:hint="eastAsia"/>
                <w:color w:val="000000"/>
                <w:sz w:val="20"/>
                <w:szCs w:val="20"/>
              </w:rPr>
            </w:pPr>
            <w:r>
              <w:rPr>
                <w:rFonts w:hint="eastAsia"/>
                <w:color w:val="000000"/>
                <w:sz w:val="20"/>
                <w:szCs w:val="20"/>
              </w:rPr>
              <w:t>1,080</w:t>
            </w:r>
          </w:p>
        </w:tc>
        <w:tc>
          <w:tcPr>
            <w:tcW w:w="1113" w:type="dxa"/>
            <w:tcBorders>
              <w:top w:val="nil"/>
              <w:left w:val="nil"/>
              <w:bottom w:val="single" w:color="auto" w:sz="4" w:space="0"/>
              <w:right w:val="single" w:color="auto" w:sz="4" w:space="0"/>
            </w:tcBorders>
            <w:shd w:val="clear" w:color="auto" w:fill="auto"/>
            <w:noWrap/>
            <w:vAlign w:val="center"/>
          </w:tcPr>
          <w:p>
            <w:pPr>
              <w:jc w:val="center"/>
              <w:rPr>
                <w:rFonts w:hint="eastAsia"/>
                <w:color w:val="000000"/>
                <w:sz w:val="20"/>
                <w:szCs w:val="20"/>
              </w:rPr>
            </w:pPr>
            <w:r>
              <w:rPr>
                <w:rFonts w:hint="eastAsia"/>
                <w:color w:val="000000"/>
                <w:sz w:val="20"/>
                <w:szCs w:val="20"/>
              </w:rPr>
              <w:t>1,080</w:t>
            </w:r>
          </w:p>
        </w:tc>
        <w:tc>
          <w:tcPr>
            <w:tcW w:w="962"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100%</w:t>
            </w:r>
          </w:p>
        </w:tc>
        <w:tc>
          <w:tcPr>
            <w:tcW w:w="82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w:t>
            </w:r>
          </w:p>
        </w:tc>
      </w:tr>
      <w:tr>
        <w:tblPrEx>
          <w:tblCellMar>
            <w:top w:w="0" w:type="dxa"/>
            <w:left w:w="108" w:type="dxa"/>
            <w:bottom w:w="0" w:type="dxa"/>
            <w:right w:w="108" w:type="dxa"/>
          </w:tblCellMar>
        </w:tblPrEx>
        <w:trPr>
          <w:gridAfter w:val="1"/>
          <w:wAfter w:w="9" w:type="dxa"/>
          <w:trHeight w:val="497" w:hRule="atLeast"/>
        </w:trPr>
        <w:tc>
          <w:tcPr>
            <w:tcW w:w="887"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830"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资助发放精准度</w:t>
            </w:r>
          </w:p>
        </w:tc>
        <w:tc>
          <w:tcPr>
            <w:tcW w:w="107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w:t>
            </w:r>
            <w:bookmarkStart w:id="0" w:name="_GoBack"/>
            <w:bookmarkEnd w:id="0"/>
          </w:p>
        </w:tc>
        <w:tc>
          <w:tcPr>
            <w:tcW w:w="84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20</w:t>
            </w:r>
          </w:p>
        </w:tc>
        <w:tc>
          <w:tcPr>
            <w:tcW w:w="1566" w:type="dxa"/>
            <w:tcBorders>
              <w:top w:val="nil"/>
              <w:left w:val="nil"/>
              <w:bottom w:val="single" w:color="auto" w:sz="4" w:space="0"/>
              <w:right w:val="single" w:color="auto" w:sz="4" w:space="0"/>
            </w:tcBorders>
            <w:shd w:val="clear" w:color="auto" w:fill="auto"/>
            <w:noWrap/>
            <w:vAlign w:val="center"/>
          </w:tcPr>
          <w:p>
            <w:pPr>
              <w:jc w:val="center"/>
              <w:rPr>
                <w:rFonts w:hint="eastAsia"/>
                <w:color w:val="000000"/>
                <w:sz w:val="20"/>
                <w:szCs w:val="20"/>
              </w:rPr>
            </w:pPr>
            <w:r>
              <w:rPr>
                <w:rFonts w:hint="eastAsia"/>
                <w:color w:val="000000"/>
                <w:sz w:val="20"/>
                <w:szCs w:val="20"/>
              </w:rPr>
              <w:t>100</w:t>
            </w:r>
          </w:p>
        </w:tc>
        <w:tc>
          <w:tcPr>
            <w:tcW w:w="1113" w:type="dxa"/>
            <w:tcBorders>
              <w:top w:val="nil"/>
              <w:left w:val="nil"/>
              <w:bottom w:val="single" w:color="auto" w:sz="4" w:space="0"/>
              <w:right w:val="single" w:color="auto" w:sz="4" w:space="0"/>
            </w:tcBorders>
            <w:shd w:val="clear" w:color="auto" w:fill="auto"/>
            <w:noWrap/>
            <w:vAlign w:val="center"/>
          </w:tcPr>
          <w:p>
            <w:pPr>
              <w:jc w:val="center"/>
              <w:rPr>
                <w:rFonts w:hint="eastAsia"/>
                <w:color w:val="000000"/>
                <w:sz w:val="20"/>
                <w:szCs w:val="20"/>
              </w:rPr>
            </w:pPr>
            <w:r>
              <w:rPr>
                <w:rFonts w:hint="eastAsia"/>
                <w:color w:val="000000"/>
                <w:sz w:val="20"/>
                <w:szCs w:val="20"/>
              </w:rPr>
              <w:t>100</w:t>
            </w:r>
          </w:p>
        </w:tc>
        <w:tc>
          <w:tcPr>
            <w:tcW w:w="962"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100%</w:t>
            </w:r>
          </w:p>
        </w:tc>
        <w:tc>
          <w:tcPr>
            <w:tcW w:w="82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20</w:t>
            </w:r>
          </w:p>
        </w:tc>
      </w:tr>
      <w:tr>
        <w:tblPrEx>
          <w:tblCellMar>
            <w:top w:w="0" w:type="dxa"/>
            <w:left w:w="108" w:type="dxa"/>
            <w:bottom w:w="0" w:type="dxa"/>
            <w:right w:w="108" w:type="dxa"/>
          </w:tblCellMar>
        </w:tblPrEx>
        <w:trPr>
          <w:gridAfter w:val="1"/>
          <w:wAfter w:w="9" w:type="dxa"/>
          <w:trHeight w:val="497" w:hRule="atLeast"/>
        </w:trPr>
        <w:tc>
          <w:tcPr>
            <w:tcW w:w="887"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830"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资金到位准时度</w:t>
            </w:r>
          </w:p>
        </w:tc>
        <w:tc>
          <w:tcPr>
            <w:tcW w:w="107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w:t>
            </w:r>
          </w:p>
        </w:tc>
        <w:tc>
          <w:tcPr>
            <w:tcW w:w="84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20</w:t>
            </w:r>
          </w:p>
        </w:tc>
        <w:tc>
          <w:tcPr>
            <w:tcW w:w="1566" w:type="dxa"/>
            <w:tcBorders>
              <w:top w:val="nil"/>
              <w:left w:val="nil"/>
              <w:bottom w:val="single" w:color="auto" w:sz="4" w:space="0"/>
              <w:right w:val="single" w:color="auto" w:sz="4" w:space="0"/>
            </w:tcBorders>
            <w:shd w:val="clear" w:color="auto" w:fill="auto"/>
            <w:noWrap/>
            <w:vAlign w:val="center"/>
          </w:tcPr>
          <w:p>
            <w:pPr>
              <w:jc w:val="center"/>
              <w:rPr>
                <w:rFonts w:hint="eastAsia"/>
                <w:color w:val="000000"/>
                <w:sz w:val="20"/>
                <w:szCs w:val="20"/>
              </w:rPr>
            </w:pPr>
            <w:r>
              <w:rPr>
                <w:rFonts w:hint="eastAsia"/>
                <w:color w:val="000000"/>
                <w:sz w:val="20"/>
                <w:szCs w:val="20"/>
              </w:rPr>
              <w:t>100</w:t>
            </w:r>
          </w:p>
        </w:tc>
        <w:tc>
          <w:tcPr>
            <w:tcW w:w="1113" w:type="dxa"/>
            <w:tcBorders>
              <w:top w:val="nil"/>
              <w:left w:val="nil"/>
              <w:bottom w:val="single" w:color="auto" w:sz="4" w:space="0"/>
              <w:right w:val="single" w:color="auto" w:sz="4" w:space="0"/>
            </w:tcBorders>
            <w:shd w:val="clear" w:color="auto" w:fill="auto"/>
            <w:noWrap/>
            <w:vAlign w:val="center"/>
          </w:tcPr>
          <w:p>
            <w:pPr>
              <w:jc w:val="center"/>
              <w:rPr>
                <w:rFonts w:hint="eastAsia"/>
                <w:color w:val="000000"/>
                <w:sz w:val="20"/>
                <w:szCs w:val="20"/>
              </w:rPr>
            </w:pPr>
            <w:r>
              <w:rPr>
                <w:rFonts w:hint="eastAsia"/>
                <w:color w:val="000000"/>
                <w:sz w:val="20"/>
                <w:szCs w:val="20"/>
              </w:rPr>
              <w:t>100</w:t>
            </w:r>
          </w:p>
        </w:tc>
        <w:tc>
          <w:tcPr>
            <w:tcW w:w="962"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100%</w:t>
            </w:r>
          </w:p>
        </w:tc>
        <w:tc>
          <w:tcPr>
            <w:tcW w:w="82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20</w:t>
            </w:r>
          </w:p>
        </w:tc>
      </w:tr>
      <w:tr>
        <w:tblPrEx>
          <w:tblCellMar>
            <w:top w:w="0" w:type="dxa"/>
            <w:left w:w="108" w:type="dxa"/>
            <w:bottom w:w="0" w:type="dxa"/>
            <w:right w:w="108" w:type="dxa"/>
          </w:tblCellMar>
        </w:tblPrEx>
        <w:trPr>
          <w:gridAfter w:val="1"/>
          <w:wAfter w:w="9" w:type="dxa"/>
          <w:trHeight w:val="509" w:hRule="atLeast"/>
        </w:trPr>
        <w:tc>
          <w:tcPr>
            <w:tcW w:w="887"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830"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保障贫困学生入学率</w:t>
            </w:r>
          </w:p>
        </w:tc>
        <w:tc>
          <w:tcPr>
            <w:tcW w:w="107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w:t>
            </w:r>
          </w:p>
        </w:tc>
        <w:tc>
          <w:tcPr>
            <w:tcW w:w="84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20</w:t>
            </w:r>
          </w:p>
        </w:tc>
        <w:tc>
          <w:tcPr>
            <w:tcW w:w="1566" w:type="dxa"/>
            <w:tcBorders>
              <w:top w:val="nil"/>
              <w:left w:val="nil"/>
              <w:bottom w:val="single" w:color="auto" w:sz="4" w:space="0"/>
              <w:right w:val="single" w:color="auto" w:sz="4" w:space="0"/>
            </w:tcBorders>
            <w:shd w:val="clear" w:color="auto" w:fill="auto"/>
            <w:noWrap/>
            <w:vAlign w:val="center"/>
          </w:tcPr>
          <w:p>
            <w:pPr>
              <w:jc w:val="center"/>
              <w:rPr>
                <w:rFonts w:hint="eastAsia"/>
                <w:color w:val="000000"/>
                <w:sz w:val="20"/>
                <w:szCs w:val="20"/>
              </w:rPr>
            </w:pPr>
            <w:r>
              <w:rPr>
                <w:rFonts w:hint="eastAsia"/>
                <w:color w:val="000000"/>
                <w:sz w:val="20"/>
                <w:szCs w:val="20"/>
              </w:rPr>
              <w:t>100</w:t>
            </w:r>
          </w:p>
        </w:tc>
        <w:tc>
          <w:tcPr>
            <w:tcW w:w="1113" w:type="dxa"/>
            <w:tcBorders>
              <w:top w:val="nil"/>
              <w:left w:val="nil"/>
              <w:bottom w:val="single" w:color="auto" w:sz="4" w:space="0"/>
              <w:right w:val="single" w:color="auto" w:sz="4" w:space="0"/>
            </w:tcBorders>
            <w:shd w:val="clear" w:color="auto" w:fill="auto"/>
            <w:noWrap/>
            <w:vAlign w:val="center"/>
          </w:tcPr>
          <w:p>
            <w:pPr>
              <w:jc w:val="center"/>
              <w:rPr>
                <w:rFonts w:hint="eastAsia"/>
                <w:color w:val="000000"/>
                <w:sz w:val="20"/>
                <w:szCs w:val="20"/>
              </w:rPr>
            </w:pPr>
            <w:r>
              <w:rPr>
                <w:rFonts w:hint="eastAsia"/>
                <w:color w:val="000000"/>
                <w:sz w:val="20"/>
                <w:szCs w:val="20"/>
              </w:rPr>
              <w:t>100</w:t>
            </w:r>
          </w:p>
        </w:tc>
        <w:tc>
          <w:tcPr>
            <w:tcW w:w="962"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100%</w:t>
            </w:r>
          </w:p>
        </w:tc>
        <w:tc>
          <w:tcPr>
            <w:tcW w:w="82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20</w:t>
            </w:r>
          </w:p>
        </w:tc>
      </w:tr>
      <w:tr>
        <w:tblPrEx>
          <w:tblCellMar>
            <w:top w:w="0" w:type="dxa"/>
            <w:left w:w="108" w:type="dxa"/>
            <w:bottom w:w="0" w:type="dxa"/>
            <w:right w:w="108" w:type="dxa"/>
          </w:tblCellMar>
        </w:tblPrEx>
        <w:trPr>
          <w:gridAfter w:val="1"/>
          <w:wAfter w:w="9" w:type="dxa"/>
          <w:trHeight w:val="509" w:hRule="atLeast"/>
        </w:trPr>
        <w:tc>
          <w:tcPr>
            <w:tcW w:w="887"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830"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家长学校满意度</w:t>
            </w:r>
          </w:p>
        </w:tc>
        <w:tc>
          <w:tcPr>
            <w:tcW w:w="107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w:t>
            </w:r>
          </w:p>
        </w:tc>
        <w:tc>
          <w:tcPr>
            <w:tcW w:w="84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5</w:t>
            </w:r>
          </w:p>
        </w:tc>
        <w:tc>
          <w:tcPr>
            <w:tcW w:w="1566" w:type="dxa"/>
            <w:tcBorders>
              <w:top w:val="nil"/>
              <w:left w:val="nil"/>
              <w:bottom w:val="single" w:color="auto" w:sz="4" w:space="0"/>
              <w:right w:val="single" w:color="auto" w:sz="4" w:space="0"/>
            </w:tcBorders>
            <w:shd w:val="clear" w:color="auto" w:fill="auto"/>
            <w:noWrap/>
            <w:vAlign w:val="center"/>
          </w:tcPr>
          <w:p>
            <w:pPr>
              <w:jc w:val="center"/>
              <w:rPr>
                <w:rFonts w:hint="eastAsia"/>
                <w:color w:val="000000"/>
                <w:sz w:val="20"/>
                <w:szCs w:val="20"/>
              </w:rPr>
            </w:pPr>
            <w:r>
              <w:rPr>
                <w:rFonts w:hint="eastAsia"/>
                <w:color w:val="000000"/>
                <w:sz w:val="20"/>
                <w:szCs w:val="20"/>
              </w:rPr>
              <w:t>100</w:t>
            </w:r>
          </w:p>
        </w:tc>
        <w:tc>
          <w:tcPr>
            <w:tcW w:w="1113" w:type="dxa"/>
            <w:tcBorders>
              <w:top w:val="nil"/>
              <w:left w:val="nil"/>
              <w:bottom w:val="single" w:color="auto" w:sz="4" w:space="0"/>
              <w:right w:val="single" w:color="auto" w:sz="4" w:space="0"/>
            </w:tcBorders>
            <w:shd w:val="clear" w:color="auto" w:fill="auto"/>
            <w:noWrap/>
            <w:vAlign w:val="center"/>
          </w:tcPr>
          <w:p>
            <w:pPr>
              <w:jc w:val="center"/>
              <w:rPr>
                <w:rFonts w:hint="eastAsia"/>
                <w:color w:val="000000"/>
                <w:sz w:val="20"/>
                <w:szCs w:val="20"/>
              </w:rPr>
            </w:pPr>
            <w:r>
              <w:rPr>
                <w:rFonts w:hint="eastAsia"/>
                <w:color w:val="000000"/>
                <w:sz w:val="20"/>
                <w:szCs w:val="20"/>
              </w:rPr>
              <w:t>100</w:t>
            </w:r>
          </w:p>
        </w:tc>
        <w:tc>
          <w:tcPr>
            <w:tcW w:w="962"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100%</w:t>
            </w:r>
          </w:p>
        </w:tc>
        <w:tc>
          <w:tcPr>
            <w:tcW w:w="82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5</w:t>
            </w:r>
          </w:p>
        </w:tc>
      </w:tr>
      <w:tr>
        <w:tblPrEx>
          <w:tblCellMar>
            <w:top w:w="0" w:type="dxa"/>
            <w:left w:w="108" w:type="dxa"/>
            <w:bottom w:w="0" w:type="dxa"/>
            <w:right w:w="108" w:type="dxa"/>
          </w:tblCellMar>
        </w:tblPrEx>
        <w:trPr>
          <w:gridAfter w:val="1"/>
          <w:wAfter w:w="9" w:type="dxa"/>
          <w:trHeight w:val="521" w:hRule="atLeast"/>
        </w:trPr>
        <w:tc>
          <w:tcPr>
            <w:tcW w:w="887"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830"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社会公众满意度</w:t>
            </w:r>
          </w:p>
        </w:tc>
        <w:tc>
          <w:tcPr>
            <w:tcW w:w="1075"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w:t>
            </w:r>
          </w:p>
        </w:tc>
        <w:tc>
          <w:tcPr>
            <w:tcW w:w="84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5</w:t>
            </w:r>
          </w:p>
        </w:tc>
        <w:tc>
          <w:tcPr>
            <w:tcW w:w="1566" w:type="dxa"/>
            <w:tcBorders>
              <w:top w:val="nil"/>
              <w:left w:val="nil"/>
              <w:bottom w:val="single" w:color="auto" w:sz="4" w:space="0"/>
              <w:right w:val="single" w:color="auto" w:sz="4" w:space="0"/>
            </w:tcBorders>
            <w:shd w:val="clear" w:color="auto" w:fill="auto"/>
            <w:noWrap/>
            <w:vAlign w:val="center"/>
          </w:tcPr>
          <w:p>
            <w:pPr>
              <w:jc w:val="center"/>
              <w:rPr>
                <w:rFonts w:hint="eastAsia"/>
                <w:color w:val="000000"/>
                <w:sz w:val="20"/>
                <w:szCs w:val="20"/>
              </w:rPr>
            </w:pPr>
            <w:r>
              <w:rPr>
                <w:rFonts w:hint="eastAsia"/>
                <w:color w:val="000000"/>
                <w:sz w:val="20"/>
                <w:szCs w:val="20"/>
              </w:rPr>
              <w:t>100</w:t>
            </w:r>
          </w:p>
        </w:tc>
        <w:tc>
          <w:tcPr>
            <w:tcW w:w="1113" w:type="dxa"/>
            <w:tcBorders>
              <w:top w:val="nil"/>
              <w:left w:val="nil"/>
              <w:bottom w:val="single" w:color="auto" w:sz="4" w:space="0"/>
              <w:right w:val="single" w:color="auto" w:sz="4" w:space="0"/>
            </w:tcBorders>
            <w:shd w:val="clear" w:color="auto" w:fill="auto"/>
            <w:noWrap/>
            <w:vAlign w:val="center"/>
          </w:tcPr>
          <w:p>
            <w:pPr>
              <w:jc w:val="center"/>
              <w:rPr>
                <w:rFonts w:hint="eastAsia"/>
                <w:color w:val="000000"/>
                <w:sz w:val="20"/>
                <w:szCs w:val="20"/>
              </w:rPr>
            </w:pPr>
            <w:r>
              <w:rPr>
                <w:rFonts w:hint="eastAsia"/>
                <w:color w:val="000000"/>
                <w:sz w:val="20"/>
                <w:szCs w:val="20"/>
              </w:rPr>
              <w:t>100</w:t>
            </w:r>
          </w:p>
        </w:tc>
        <w:tc>
          <w:tcPr>
            <w:tcW w:w="962"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100%</w:t>
            </w:r>
          </w:p>
        </w:tc>
        <w:tc>
          <w:tcPr>
            <w:tcW w:w="829"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5</w:t>
            </w:r>
          </w:p>
        </w:tc>
      </w:tr>
      <w:tr>
        <w:tblPrEx>
          <w:tblCellMar>
            <w:top w:w="0" w:type="dxa"/>
            <w:left w:w="108" w:type="dxa"/>
            <w:bottom w:w="0" w:type="dxa"/>
            <w:right w:w="108" w:type="dxa"/>
          </w:tblCellMar>
        </w:tblPrEx>
        <w:trPr>
          <w:trHeight w:val="1292" w:hRule="atLeast"/>
        </w:trPr>
        <w:tc>
          <w:tcPr>
            <w:tcW w:w="887" w:type="dxa"/>
            <w:tcBorders>
              <w:top w:val="nil"/>
              <w:left w:val="single" w:color="auto" w:sz="4" w:space="0"/>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未完成绩效目标或偏离较多的原因、改进措施及其他说明</w:t>
            </w:r>
          </w:p>
        </w:tc>
        <w:tc>
          <w:tcPr>
            <w:tcW w:w="8232"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hint="eastAsia"/>
                <w:color w:val="000000"/>
                <w:sz w:val="20"/>
                <w:szCs w:val="20"/>
              </w:rPr>
            </w:pPr>
            <w:r>
              <w:rPr>
                <w:rFonts w:hint="eastAsia"/>
                <w:color w:val="000000"/>
                <w:sz w:val="20"/>
                <w:szCs w:val="20"/>
              </w:rPr>
              <w:t>　</w:t>
            </w:r>
          </w:p>
        </w:tc>
      </w:tr>
      <w:tr>
        <w:tblPrEx>
          <w:tblCellMar>
            <w:top w:w="0" w:type="dxa"/>
            <w:left w:w="108" w:type="dxa"/>
            <w:bottom w:w="0" w:type="dxa"/>
            <w:right w:w="108" w:type="dxa"/>
          </w:tblCellMar>
        </w:tblPrEx>
        <w:trPr>
          <w:gridAfter w:val="1"/>
          <w:wAfter w:w="9" w:type="dxa"/>
          <w:trHeight w:val="223" w:hRule="atLeast"/>
        </w:trPr>
        <w:tc>
          <w:tcPr>
            <w:tcW w:w="887" w:type="dxa"/>
            <w:tcBorders>
              <w:top w:val="nil"/>
              <w:left w:val="nil"/>
              <w:bottom w:val="nil"/>
              <w:right w:val="nil"/>
            </w:tcBorders>
            <w:shd w:val="clear" w:color="auto" w:fill="auto"/>
            <w:noWrap/>
            <w:vAlign w:val="center"/>
          </w:tcPr>
          <w:p>
            <w:pPr>
              <w:jc w:val="center"/>
              <w:rPr>
                <w:rFonts w:hint="eastAsia"/>
                <w:color w:val="000000"/>
                <w:sz w:val="20"/>
                <w:szCs w:val="20"/>
              </w:rPr>
            </w:pPr>
          </w:p>
        </w:tc>
        <w:tc>
          <w:tcPr>
            <w:tcW w:w="1830" w:type="dxa"/>
            <w:tcBorders>
              <w:top w:val="nil"/>
              <w:left w:val="nil"/>
              <w:bottom w:val="nil"/>
              <w:right w:val="nil"/>
            </w:tcBorders>
            <w:shd w:val="clear" w:color="auto" w:fill="auto"/>
            <w:noWrap/>
            <w:vAlign w:val="center"/>
          </w:tcPr>
          <w:p>
            <w:pPr>
              <w:rPr>
                <w:rFonts w:ascii="Times New Roman" w:hAnsi="Times New Roman" w:eastAsia="Times New Roman" w:cs="Times New Roman"/>
                <w:sz w:val="20"/>
                <w:szCs w:val="20"/>
              </w:rPr>
            </w:pPr>
          </w:p>
        </w:tc>
        <w:tc>
          <w:tcPr>
            <w:tcW w:w="1075" w:type="dxa"/>
            <w:tcBorders>
              <w:top w:val="nil"/>
              <w:left w:val="nil"/>
              <w:bottom w:val="nil"/>
              <w:right w:val="nil"/>
            </w:tcBorders>
            <w:shd w:val="clear" w:color="auto" w:fill="auto"/>
            <w:noWrap/>
            <w:vAlign w:val="center"/>
          </w:tcPr>
          <w:p>
            <w:pPr>
              <w:rPr>
                <w:rFonts w:ascii="Times New Roman" w:hAnsi="Times New Roman" w:eastAsia="Times New Roman" w:cs="Times New Roman"/>
                <w:sz w:val="20"/>
                <w:szCs w:val="20"/>
              </w:rPr>
            </w:pPr>
          </w:p>
        </w:tc>
        <w:tc>
          <w:tcPr>
            <w:tcW w:w="849" w:type="dxa"/>
            <w:tcBorders>
              <w:top w:val="nil"/>
              <w:left w:val="nil"/>
              <w:bottom w:val="nil"/>
              <w:right w:val="nil"/>
            </w:tcBorders>
            <w:shd w:val="clear" w:color="auto" w:fill="auto"/>
            <w:noWrap/>
            <w:vAlign w:val="center"/>
          </w:tcPr>
          <w:p>
            <w:pPr>
              <w:rPr>
                <w:rFonts w:ascii="Times New Roman" w:hAnsi="Times New Roman" w:eastAsia="Times New Roman" w:cs="Times New Roman"/>
                <w:sz w:val="20"/>
                <w:szCs w:val="20"/>
              </w:rPr>
            </w:pPr>
          </w:p>
        </w:tc>
        <w:tc>
          <w:tcPr>
            <w:tcW w:w="1566" w:type="dxa"/>
            <w:tcBorders>
              <w:top w:val="nil"/>
              <w:left w:val="nil"/>
              <w:bottom w:val="nil"/>
              <w:right w:val="nil"/>
            </w:tcBorders>
            <w:shd w:val="clear" w:color="auto" w:fill="auto"/>
            <w:noWrap/>
            <w:vAlign w:val="center"/>
          </w:tcPr>
          <w:p>
            <w:pPr>
              <w:rPr>
                <w:rFonts w:ascii="Times New Roman" w:hAnsi="Times New Roman" w:eastAsia="Times New Roman" w:cs="Times New Roman"/>
                <w:sz w:val="20"/>
                <w:szCs w:val="20"/>
              </w:rPr>
            </w:pPr>
          </w:p>
        </w:tc>
        <w:tc>
          <w:tcPr>
            <w:tcW w:w="1113" w:type="dxa"/>
            <w:tcBorders>
              <w:top w:val="nil"/>
              <w:left w:val="nil"/>
              <w:bottom w:val="nil"/>
              <w:right w:val="nil"/>
            </w:tcBorders>
            <w:shd w:val="clear" w:color="auto" w:fill="auto"/>
            <w:noWrap/>
            <w:vAlign w:val="center"/>
          </w:tcPr>
          <w:p>
            <w:pPr>
              <w:rPr>
                <w:rFonts w:ascii="Times New Roman" w:hAnsi="Times New Roman" w:eastAsia="Times New Roman" w:cs="Times New Roman"/>
                <w:sz w:val="20"/>
                <w:szCs w:val="20"/>
              </w:rPr>
            </w:pPr>
          </w:p>
        </w:tc>
        <w:tc>
          <w:tcPr>
            <w:tcW w:w="962" w:type="dxa"/>
            <w:tcBorders>
              <w:top w:val="nil"/>
              <w:left w:val="nil"/>
              <w:bottom w:val="nil"/>
              <w:right w:val="nil"/>
            </w:tcBorders>
            <w:shd w:val="clear" w:color="auto" w:fill="auto"/>
            <w:noWrap/>
            <w:vAlign w:val="center"/>
          </w:tcPr>
          <w:p>
            <w:pPr>
              <w:rPr>
                <w:rFonts w:ascii="Times New Roman" w:hAnsi="Times New Roman" w:eastAsia="Times New Roman" w:cs="Times New Roman"/>
                <w:sz w:val="20"/>
                <w:szCs w:val="20"/>
              </w:rPr>
            </w:pPr>
          </w:p>
        </w:tc>
        <w:tc>
          <w:tcPr>
            <w:tcW w:w="829" w:type="dxa"/>
            <w:tcBorders>
              <w:top w:val="nil"/>
              <w:left w:val="nil"/>
              <w:bottom w:val="nil"/>
              <w:right w:val="nil"/>
            </w:tcBorders>
            <w:shd w:val="clear" w:color="auto" w:fill="auto"/>
            <w:noWrap/>
            <w:vAlign w:val="center"/>
          </w:tcPr>
          <w:p>
            <w:pPr>
              <w:rPr>
                <w:rFonts w:ascii="Times New Roman" w:hAnsi="Times New Roman" w:eastAsia="Times New Roman" w:cs="Times New Roman"/>
                <w:sz w:val="20"/>
                <w:szCs w:val="20"/>
              </w:rPr>
            </w:pPr>
          </w:p>
        </w:tc>
      </w:tr>
      <w:tr>
        <w:tblPrEx>
          <w:tblCellMar>
            <w:top w:w="0" w:type="dxa"/>
            <w:left w:w="108" w:type="dxa"/>
            <w:bottom w:w="0" w:type="dxa"/>
            <w:right w:w="108" w:type="dxa"/>
          </w:tblCellMar>
        </w:tblPrEx>
        <w:trPr>
          <w:gridAfter w:val="1"/>
          <w:wAfter w:w="7" w:type="dxa"/>
          <w:trHeight w:val="223" w:hRule="atLeast"/>
        </w:trPr>
        <w:tc>
          <w:tcPr>
            <w:tcW w:w="2718" w:type="dxa"/>
            <w:gridSpan w:val="2"/>
            <w:tcBorders>
              <w:top w:val="nil"/>
              <w:left w:val="nil"/>
              <w:bottom w:val="nil"/>
              <w:right w:val="nil"/>
            </w:tcBorders>
            <w:shd w:val="clear" w:color="auto" w:fill="auto"/>
            <w:vAlign w:val="center"/>
          </w:tcPr>
          <w:p>
            <w:pPr>
              <w:rPr>
                <w:sz w:val="20"/>
                <w:szCs w:val="20"/>
              </w:rPr>
            </w:pPr>
            <w:r>
              <w:rPr>
                <w:rFonts w:hint="eastAsia"/>
                <w:sz w:val="20"/>
                <w:szCs w:val="20"/>
              </w:rPr>
              <w:t xml:space="preserve"> 预算单位主要领导：唐遗旭           </w:t>
            </w:r>
          </w:p>
        </w:tc>
        <w:tc>
          <w:tcPr>
            <w:tcW w:w="3491" w:type="dxa"/>
            <w:gridSpan w:val="3"/>
            <w:tcBorders>
              <w:top w:val="nil"/>
              <w:left w:val="nil"/>
              <w:bottom w:val="nil"/>
              <w:right w:val="nil"/>
            </w:tcBorders>
            <w:shd w:val="clear" w:color="auto" w:fill="auto"/>
            <w:vAlign w:val="center"/>
          </w:tcPr>
          <w:p>
            <w:pPr>
              <w:jc w:val="center"/>
              <w:rPr>
                <w:rFonts w:hint="eastAsia"/>
                <w:sz w:val="20"/>
                <w:szCs w:val="20"/>
              </w:rPr>
            </w:pPr>
            <w:r>
              <w:rPr>
                <w:rFonts w:hint="eastAsia"/>
                <w:sz w:val="20"/>
                <w:szCs w:val="20"/>
              </w:rPr>
              <w:t>绩效评价负责人：李弟明</w:t>
            </w:r>
          </w:p>
        </w:tc>
        <w:tc>
          <w:tcPr>
            <w:tcW w:w="2075" w:type="dxa"/>
            <w:gridSpan w:val="2"/>
            <w:tcBorders>
              <w:top w:val="nil"/>
              <w:left w:val="nil"/>
              <w:bottom w:val="nil"/>
              <w:right w:val="nil"/>
            </w:tcBorders>
            <w:shd w:val="clear" w:color="auto" w:fill="auto"/>
            <w:vAlign w:val="center"/>
          </w:tcPr>
          <w:p>
            <w:pPr>
              <w:jc w:val="center"/>
              <w:rPr>
                <w:rFonts w:hint="eastAsia"/>
                <w:sz w:val="20"/>
                <w:szCs w:val="20"/>
              </w:rPr>
            </w:pPr>
            <w:r>
              <w:rPr>
                <w:rFonts w:hint="eastAsia"/>
                <w:sz w:val="20"/>
                <w:szCs w:val="20"/>
              </w:rPr>
              <w:t>经办人：黄强</w:t>
            </w:r>
          </w:p>
        </w:tc>
        <w:tc>
          <w:tcPr>
            <w:tcW w:w="829" w:type="dxa"/>
            <w:tcBorders>
              <w:top w:val="nil"/>
              <w:left w:val="nil"/>
              <w:bottom w:val="nil"/>
              <w:right w:val="nil"/>
            </w:tcBorders>
            <w:shd w:val="clear" w:color="auto" w:fill="auto"/>
            <w:noWrap/>
            <w:vAlign w:val="center"/>
          </w:tcPr>
          <w:p>
            <w:pPr>
              <w:jc w:val="center"/>
              <w:rPr>
                <w:rFonts w:hint="eastAsia"/>
                <w:sz w:val="20"/>
                <w:szCs w:val="20"/>
              </w:rPr>
            </w:pPr>
          </w:p>
        </w:tc>
      </w:tr>
    </w:tbl>
    <w:p>
      <w:pPr>
        <w:pStyle w:val="5"/>
        <w:shd w:val="clear" w:color="auto" w:fill="FFFFFF"/>
      </w:pPr>
      <w:r>
        <w:rPr>
          <w:rStyle w:val="9"/>
          <w:rFonts w:hint="eastAsia"/>
          <w:sz w:val="27"/>
          <w:szCs w:val="27"/>
        </w:rPr>
        <w:t>2.绩效自评报告或案例</w:t>
      </w:r>
    </w:p>
    <w:p>
      <w:pPr>
        <w:pStyle w:val="5"/>
        <w:spacing w:before="0" w:beforeAutospacing="0" w:after="0" w:afterAutospacing="0" w:line="6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本单位未委托第三方开展绩效自评。</w:t>
      </w:r>
    </w:p>
    <w:p>
      <w:pPr>
        <w:pStyle w:val="5"/>
        <w:shd w:val="clear" w:color="auto" w:fill="FFFFFF"/>
        <w:rPr>
          <w:rFonts w:ascii="Times New Roman" w:hAnsi="Times New Roman" w:eastAsia="方正楷体_GBK" w:cs="Times New Roman"/>
          <w:b/>
          <w:color w:val="333333"/>
          <w:kern w:val="2"/>
          <w:sz w:val="32"/>
          <w:szCs w:val="32"/>
        </w:rPr>
      </w:pPr>
      <w:r>
        <w:rPr>
          <w:rFonts w:hint="eastAsia" w:ascii="Times New Roman" w:hAnsi="Times New Roman" w:eastAsia="方正楷体_GBK" w:cs="Times New Roman"/>
          <w:b/>
          <w:bCs/>
          <w:color w:val="333333"/>
          <w:kern w:val="2"/>
          <w:sz w:val="32"/>
          <w:szCs w:val="32"/>
        </w:rPr>
        <w:t>（三）重点绩效评价结果</w:t>
      </w:r>
    </w:p>
    <w:p>
      <w:pPr>
        <w:pStyle w:val="5"/>
        <w:spacing w:before="0" w:beforeAutospacing="0" w:after="0" w:afterAutospacing="0" w:line="600" w:lineRule="exact"/>
        <w:ind w:firstLine="640" w:firstLineChars="200"/>
        <w:rPr>
          <w:rFonts w:ascii="Times New Roman" w:hAnsi="Times New Roman" w:eastAsia="方正仿宋_GBK"/>
          <w:sz w:val="32"/>
          <w:szCs w:val="32"/>
        </w:rPr>
      </w:pPr>
      <w:r>
        <w:rPr>
          <w:rFonts w:hint="eastAsia" w:ascii="Times New Roman" w:hAnsi="Times New Roman" w:eastAsia="方正仿宋_GBK"/>
          <w:sz w:val="32"/>
          <w:szCs w:val="32"/>
        </w:rPr>
        <w:t>本单位未委托第三方开展绩效自评。</w:t>
      </w:r>
    </w:p>
    <w:p>
      <w:pPr>
        <w:pStyle w:val="13"/>
        <w:tabs>
          <w:tab w:val="center" w:pos="4153"/>
          <w:tab w:val="left" w:pos="7275"/>
        </w:tabs>
        <w:spacing w:line="600" w:lineRule="exact"/>
        <w:ind w:firstLine="643"/>
        <w:rPr>
          <w:rFonts w:eastAsia="方正黑体_GBK"/>
          <w:sz w:val="32"/>
          <w:szCs w:val="32"/>
        </w:rPr>
      </w:pPr>
      <w:r>
        <w:rPr>
          <w:rFonts w:hint="eastAsia" w:eastAsia="方正黑体_GBK"/>
          <w:b/>
          <w:bCs/>
          <w:sz w:val="32"/>
          <w:szCs w:val="32"/>
        </w:rPr>
        <w:t>六、专业名词解释</w:t>
      </w:r>
    </w:p>
    <w:p>
      <w:pPr>
        <w:pStyle w:val="5"/>
        <w:shd w:val="clear" w:color="auto" w:fill="FFFFFF"/>
      </w:pPr>
    </w:p>
    <w:p>
      <w:pPr>
        <w:pStyle w:val="5"/>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
          <w:color w:val="333333"/>
          <w:kern w:val="2"/>
          <w:sz w:val="32"/>
          <w:szCs w:val="32"/>
        </w:rPr>
        <w:t>（一）财政拨款收入</w:t>
      </w:r>
      <w:r>
        <w:rPr>
          <w:rFonts w:hint="eastAsia" w:ascii="Times New Roman" w:hAnsi="Times New Roman" w:eastAsia="方正楷体_GBK" w:cs="Times New Roman"/>
          <w:b/>
          <w:bCs/>
          <w:color w:val="333333"/>
          <w:kern w:val="2"/>
          <w:sz w:val="32"/>
          <w:szCs w:val="32"/>
        </w:rPr>
        <w:t>：</w:t>
      </w:r>
      <w:r>
        <w:rPr>
          <w:rFonts w:hint="eastAsia" w:ascii="Times New Roman" w:hAnsi="Times New Roman" w:eastAsia="方正仿宋_GBK"/>
          <w:bCs/>
          <w:sz w:val="32"/>
          <w:szCs w:val="32"/>
        </w:rPr>
        <w:t>指本年度从本级财政部门取得的财政拨款，包括一般公共预算财政拨款和政府性基金预算财政拨款。</w:t>
      </w:r>
    </w:p>
    <w:p>
      <w:pPr>
        <w:pStyle w:val="5"/>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
          <w:bCs/>
          <w:color w:val="333333"/>
          <w:kern w:val="2"/>
          <w:sz w:val="32"/>
          <w:szCs w:val="32"/>
        </w:rPr>
        <w:t>（二）事业收入</w:t>
      </w:r>
      <w:r>
        <w:rPr>
          <w:rFonts w:hint="eastAsia" w:ascii="Times New Roman" w:hAnsi="Times New Roman" w:eastAsia="方正楷体_GBK" w:cs="Times New Roman"/>
          <w:b/>
          <w:color w:val="333333"/>
          <w:kern w:val="2"/>
          <w:sz w:val="32"/>
          <w:szCs w:val="32"/>
        </w:rPr>
        <w:t>：</w:t>
      </w:r>
      <w:r>
        <w:rPr>
          <w:rFonts w:hint="eastAsia" w:ascii="Times New Roman" w:hAnsi="Times New Roman" w:eastAsia="方正仿宋_GBK"/>
          <w:bCs/>
          <w:sz w:val="32"/>
          <w:szCs w:val="32"/>
        </w:rPr>
        <w:t>指事业单位开展专业业务活动及其辅助活动取得的现金流入；事业单位收到的财政专户实际核拨的教育收费等资金在此反映。</w:t>
      </w:r>
    </w:p>
    <w:p>
      <w:pPr>
        <w:pStyle w:val="5"/>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
          <w:color w:val="333333"/>
          <w:kern w:val="2"/>
          <w:sz w:val="32"/>
          <w:szCs w:val="32"/>
        </w:rPr>
        <w:t>（三）经营收入</w:t>
      </w:r>
      <w:r>
        <w:rPr>
          <w:rFonts w:hint="eastAsia" w:ascii="Times New Roman" w:hAnsi="Times New Roman" w:eastAsia="方正楷体_GBK" w:cs="Times New Roman"/>
          <w:b/>
          <w:bCs/>
          <w:color w:val="333333"/>
          <w:kern w:val="2"/>
          <w:sz w:val="32"/>
          <w:szCs w:val="32"/>
        </w:rPr>
        <w:t>：</w:t>
      </w:r>
      <w:r>
        <w:rPr>
          <w:rFonts w:hint="eastAsia" w:ascii="Times New Roman" w:hAnsi="Times New Roman" w:eastAsia="方正仿宋_GBK"/>
          <w:bCs/>
          <w:sz w:val="32"/>
          <w:szCs w:val="32"/>
        </w:rPr>
        <w:t>指事业单位在专业业务活动及其辅助活动之外开展非独立核算经营活动取得的现金流入。</w:t>
      </w:r>
    </w:p>
    <w:p>
      <w:pPr>
        <w:pStyle w:val="5"/>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
          <w:bCs/>
          <w:color w:val="333333"/>
          <w:kern w:val="2"/>
          <w:sz w:val="32"/>
          <w:szCs w:val="32"/>
        </w:rPr>
        <w:t>（四）其他收入</w:t>
      </w:r>
      <w:r>
        <w:rPr>
          <w:rFonts w:hint="eastAsia" w:ascii="Times New Roman" w:hAnsi="Times New Roman" w:eastAsia="方正楷体_GBK" w:cs="Times New Roman"/>
          <w:b/>
          <w:color w:val="333333"/>
          <w:kern w:val="2"/>
          <w:sz w:val="32"/>
          <w:szCs w:val="32"/>
        </w:rPr>
        <w:t>：</w:t>
      </w:r>
      <w:r>
        <w:rPr>
          <w:rFonts w:hint="eastAsia" w:ascii="Times New Roman" w:hAnsi="Times New Roman" w:eastAsia="方正仿宋_GBK"/>
          <w:bCs/>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5"/>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
          <w:color w:val="333333"/>
          <w:kern w:val="2"/>
          <w:sz w:val="32"/>
          <w:szCs w:val="32"/>
        </w:rPr>
        <w:t>（五）使用非财政拨款结余</w:t>
      </w:r>
      <w:r>
        <w:rPr>
          <w:rFonts w:hint="eastAsia" w:ascii="Times New Roman" w:hAnsi="Times New Roman" w:eastAsia="方正楷体_GBK" w:cs="Times New Roman"/>
          <w:b/>
          <w:bCs/>
          <w:color w:val="333333"/>
          <w:kern w:val="2"/>
          <w:sz w:val="32"/>
          <w:szCs w:val="32"/>
        </w:rPr>
        <w:t>：</w:t>
      </w:r>
      <w:r>
        <w:rPr>
          <w:rFonts w:hint="eastAsia" w:ascii="Times New Roman" w:hAnsi="Times New Roman" w:eastAsia="方正仿宋_GBK"/>
          <w:bCs/>
          <w:sz w:val="32"/>
          <w:szCs w:val="32"/>
        </w:rPr>
        <w:t>指单位在当年的“财政拨款收入”、“事业收入”、“经营收入”、“其他收入”等不足以安排当年支出的情况下，使用以前年度积累的非财政拨款结余弥补本年度收支缺口的资金。</w:t>
      </w:r>
    </w:p>
    <w:p>
      <w:pPr>
        <w:pStyle w:val="5"/>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
          <w:bCs/>
          <w:color w:val="333333"/>
          <w:kern w:val="2"/>
          <w:sz w:val="32"/>
          <w:szCs w:val="32"/>
        </w:rPr>
        <w:t>（六）年初结转和结余</w:t>
      </w:r>
      <w:r>
        <w:rPr>
          <w:rFonts w:hint="eastAsia" w:ascii="Times New Roman" w:hAnsi="Times New Roman" w:eastAsia="方正楷体_GBK" w:cs="Times New Roman"/>
          <w:b/>
          <w:color w:val="333333"/>
          <w:kern w:val="2"/>
          <w:sz w:val="32"/>
          <w:szCs w:val="32"/>
        </w:rPr>
        <w:t>：</w:t>
      </w:r>
      <w:r>
        <w:rPr>
          <w:rFonts w:hint="eastAsia" w:ascii="Times New Roman" w:hAnsi="Times New Roman" w:eastAsia="方正仿宋_GBK"/>
          <w:bCs/>
          <w:sz w:val="32"/>
          <w:szCs w:val="32"/>
        </w:rPr>
        <w:t>指单位上年结转本年使用的基本支出</w:t>
      </w:r>
      <w:r>
        <w:rPr>
          <w:rFonts w:hint="eastAsia" w:ascii="Times New Roman" w:hAnsi="Times New Roman" w:eastAsia="方正仿宋_GBK"/>
          <w:b/>
          <w:sz w:val="32"/>
          <w:szCs w:val="32"/>
        </w:rPr>
        <w:t>结转</w:t>
      </w:r>
      <w:r>
        <w:rPr>
          <w:rFonts w:hint="eastAsia" w:ascii="Times New Roman" w:hAnsi="Times New Roman" w:eastAsia="方正仿宋_GBK"/>
          <w:bCs/>
          <w:sz w:val="32"/>
          <w:szCs w:val="32"/>
        </w:rPr>
        <w:t>、项目支出结转和结余、经营结余。</w:t>
      </w:r>
    </w:p>
    <w:p>
      <w:pPr>
        <w:pStyle w:val="5"/>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
          <w:color w:val="333333"/>
          <w:kern w:val="2"/>
          <w:sz w:val="32"/>
          <w:szCs w:val="32"/>
        </w:rPr>
        <w:t>（七）结余分配：</w:t>
      </w:r>
      <w:r>
        <w:rPr>
          <w:rFonts w:hint="eastAsia" w:ascii="Times New Roman" w:hAnsi="Times New Roman" w:eastAsia="方正仿宋_GBK"/>
          <w:bCs/>
          <w:sz w:val="32"/>
          <w:szCs w:val="32"/>
        </w:rPr>
        <w:t>指单位按照国家有关规定，缴纳所得税、提取专用基金、转入非财政拨款结余等当年结余的分配情况。</w:t>
      </w:r>
    </w:p>
    <w:p>
      <w:pPr>
        <w:pStyle w:val="5"/>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
          <w:bCs/>
          <w:color w:val="333333"/>
          <w:kern w:val="2"/>
          <w:sz w:val="32"/>
          <w:szCs w:val="32"/>
        </w:rPr>
        <w:t>（八）年末结转和结余</w:t>
      </w:r>
      <w:r>
        <w:rPr>
          <w:rFonts w:hint="eastAsia" w:ascii="Times New Roman" w:hAnsi="Times New Roman" w:eastAsia="方正楷体_GBK" w:cs="Times New Roman"/>
          <w:b/>
          <w:color w:val="333333"/>
          <w:kern w:val="2"/>
          <w:sz w:val="32"/>
          <w:szCs w:val="32"/>
        </w:rPr>
        <w:t>：</w:t>
      </w:r>
      <w:r>
        <w:rPr>
          <w:rFonts w:hint="eastAsia" w:ascii="Times New Roman" w:hAnsi="Times New Roman" w:eastAsia="方正仿宋_GBK"/>
          <w:bCs/>
          <w:sz w:val="32"/>
          <w:szCs w:val="32"/>
        </w:rPr>
        <w:t>指单位结转下年的基本支出结转、项目支出结转和结余、经营结余。</w:t>
      </w:r>
    </w:p>
    <w:p>
      <w:pPr>
        <w:pStyle w:val="5"/>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
          <w:color w:val="333333"/>
          <w:kern w:val="2"/>
          <w:sz w:val="32"/>
          <w:szCs w:val="32"/>
        </w:rPr>
        <w:t>（九）基本支出</w:t>
      </w:r>
      <w:r>
        <w:rPr>
          <w:rFonts w:hint="eastAsia" w:ascii="Times New Roman" w:hAnsi="Times New Roman" w:eastAsia="方正楷体_GBK" w:cs="Times New Roman"/>
          <w:b/>
          <w:bCs/>
          <w:color w:val="333333"/>
          <w:kern w:val="2"/>
          <w:sz w:val="32"/>
          <w:szCs w:val="32"/>
        </w:rPr>
        <w:t>：</w:t>
      </w:r>
      <w:r>
        <w:rPr>
          <w:rFonts w:hint="eastAsia" w:ascii="Times New Roman" w:hAnsi="Times New Roman" w:eastAsia="方正仿宋_GBK"/>
          <w:bCs/>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5"/>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
          <w:bCs/>
          <w:color w:val="333333"/>
          <w:kern w:val="2"/>
          <w:sz w:val="32"/>
          <w:szCs w:val="32"/>
        </w:rPr>
        <w:t>（十）项目支出</w:t>
      </w:r>
      <w:r>
        <w:rPr>
          <w:rFonts w:hint="eastAsia" w:ascii="Times New Roman" w:hAnsi="Times New Roman" w:eastAsia="方正楷体_GBK" w:cs="Times New Roman"/>
          <w:b/>
          <w:color w:val="333333"/>
          <w:kern w:val="2"/>
          <w:sz w:val="32"/>
          <w:szCs w:val="32"/>
        </w:rPr>
        <w:t>：</w:t>
      </w:r>
      <w:r>
        <w:rPr>
          <w:rFonts w:hint="eastAsia" w:ascii="Times New Roman" w:hAnsi="Times New Roman" w:eastAsia="方正仿宋_GBK"/>
          <w:bCs/>
          <w:sz w:val="32"/>
          <w:szCs w:val="32"/>
        </w:rPr>
        <w:t>指在基本支出之外为完成特定行政任务和事业发展目标所发生的支出。</w:t>
      </w:r>
    </w:p>
    <w:p>
      <w:pPr>
        <w:pStyle w:val="5"/>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
          <w:color w:val="333333"/>
          <w:kern w:val="2"/>
          <w:sz w:val="32"/>
          <w:szCs w:val="32"/>
        </w:rPr>
        <w:t>（十一）经营支出</w:t>
      </w:r>
      <w:r>
        <w:rPr>
          <w:rFonts w:hint="eastAsia" w:ascii="Times New Roman" w:hAnsi="Times New Roman" w:eastAsia="方正楷体_GBK" w:cs="Times New Roman"/>
          <w:b/>
          <w:bCs/>
          <w:color w:val="333333"/>
          <w:kern w:val="2"/>
          <w:sz w:val="32"/>
          <w:szCs w:val="32"/>
        </w:rPr>
        <w:t>：</w:t>
      </w:r>
      <w:r>
        <w:rPr>
          <w:rFonts w:hint="eastAsia" w:ascii="Times New Roman" w:hAnsi="Times New Roman" w:eastAsia="方正仿宋_GBK"/>
          <w:bCs/>
          <w:sz w:val="32"/>
          <w:szCs w:val="32"/>
        </w:rPr>
        <w:t>指事业单位在专业业务活动及其辅助活动之外开展非独立核算经营活动发生的支出。</w:t>
      </w:r>
    </w:p>
    <w:p>
      <w:pPr>
        <w:pStyle w:val="5"/>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
          <w:bCs/>
          <w:color w:val="333333"/>
          <w:kern w:val="2"/>
          <w:sz w:val="32"/>
          <w:szCs w:val="32"/>
        </w:rPr>
        <w:t>（十二）“三公”经费</w:t>
      </w:r>
      <w:r>
        <w:rPr>
          <w:rFonts w:hint="eastAsia" w:ascii="Times New Roman" w:hAnsi="Times New Roman" w:eastAsia="方正楷体_GBK" w:cs="Times New Roman"/>
          <w:b/>
          <w:color w:val="333333"/>
          <w:kern w:val="2"/>
          <w:sz w:val="32"/>
          <w:szCs w:val="32"/>
        </w:rPr>
        <w:t>：</w:t>
      </w:r>
      <w:r>
        <w:rPr>
          <w:rFonts w:hint="eastAsia" w:ascii="Times New Roman" w:hAnsi="Times New Roman" w:eastAsia="方正仿宋_GBK"/>
          <w:bCs/>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5"/>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
          <w:color w:val="333333"/>
          <w:kern w:val="2"/>
          <w:sz w:val="32"/>
          <w:szCs w:val="32"/>
        </w:rPr>
        <w:t>（十三）机关运行经费</w:t>
      </w:r>
      <w:r>
        <w:rPr>
          <w:rFonts w:hint="eastAsia" w:ascii="Times New Roman" w:hAnsi="Times New Roman" w:eastAsia="方正楷体_GBK" w:cs="Times New Roman"/>
          <w:b/>
          <w:bCs/>
          <w:color w:val="333333"/>
          <w:kern w:val="2"/>
          <w:sz w:val="32"/>
          <w:szCs w:val="32"/>
        </w:rPr>
        <w:t>：</w:t>
      </w:r>
      <w:r>
        <w:rPr>
          <w:rFonts w:hint="eastAsia" w:ascii="Times New Roman" w:hAnsi="Times New Roman" w:eastAsia="方正仿宋_GBK"/>
          <w:bCs/>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5"/>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
          <w:bCs/>
          <w:color w:val="333333"/>
          <w:kern w:val="2"/>
          <w:sz w:val="32"/>
          <w:szCs w:val="32"/>
        </w:rPr>
        <w:t>（十四）工资福利支出（支出经济分类科目类级）</w:t>
      </w:r>
      <w:r>
        <w:rPr>
          <w:rFonts w:hint="eastAsia" w:ascii="Times New Roman" w:hAnsi="Times New Roman" w:eastAsia="方正楷体_GBK" w:cs="Times New Roman"/>
          <w:b/>
          <w:color w:val="333333"/>
          <w:kern w:val="2"/>
          <w:sz w:val="32"/>
          <w:szCs w:val="32"/>
        </w:rPr>
        <w:t>：</w:t>
      </w:r>
      <w:r>
        <w:rPr>
          <w:rFonts w:hint="eastAsia" w:ascii="Times New Roman" w:hAnsi="Times New Roman" w:eastAsia="方正仿宋_GBK"/>
          <w:bCs/>
          <w:sz w:val="32"/>
          <w:szCs w:val="32"/>
        </w:rPr>
        <w:t>反映单位开支的在职职工和编制外长期聘用人员的各类劳动报酬，以及为上述人员缴纳的各项社会保险费等。</w:t>
      </w:r>
    </w:p>
    <w:p>
      <w:pPr>
        <w:pStyle w:val="5"/>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
          <w:color w:val="333333"/>
          <w:kern w:val="2"/>
          <w:sz w:val="32"/>
          <w:szCs w:val="32"/>
        </w:rPr>
        <w:t>（十五）商品和服务支出（支出经济分类科目类级）</w:t>
      </w:r>
      <w:r>
        <w:rPr>
          <w:rFonts w:hint="eastAsia" w:ascii="Times New Roman" w:hAnsi="Times New Roman" w:eastAsia="方正楷体_GBK" w:cs="Times New Roman"/>
          <w:b/>
          <w:bCs/>
          <w:color w:val="333333"/>
          <w:kern w:val="2"/>
          <w:sz w:val="32"/>
          <w:szCs w:val="32"/>
        </w:rPr>
        <w:t>：</w:t>
      </w:r>
      <w:r>
        <w:rPr>
          <w:rFonts w:hint="eastAsia" w:ascii="Times New Roman" w:hAnsi="Times New Roman" w:eastAsia="方正仿宋_GBK"/>
          <w:bCs/>
          <w:sz w:val="32"/>
          <w:szCs w:val="32"/>
        </w:rPr>
        <w:t>反映单位购买商品和服务的支出（不包括用于购置固定资产的支出、战略性和应急储备支出）。</w:t>
      </w:r>
    </w:p>
    <w:p>
      <w:pPr>
        <w:pStyle w:val="5"/>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
          <w:bCs/>
          <w:color w:val="333333"/>
          <w:kern w:val="2"/>
          <w:sz w:val="32"/>
          <w:szCs w:val="32"/>
        </w:rPr>
        <w:t>（十六）对个人和家庭的补助（支出经济分类科目类级）</w:t>
      </w:r>
      <w:r>
        <w:rPr>
          <w:rFonts w:hint="eastAsia" w:ascii="Times New Roman" w:hAnsi="Times New Roman" w:eastAsia="方正楷体_GBK" w:cs="Times New Roman"/>
          <w:b/>
          <w:color w:val="333333"/>
          <w:kern w:val="2"/>
          <w:sz w:val="32"/>
          <w:szCs w:val="32"/>
        </w:rPr>
        <w:t>：</w:t>
      </w:r>
      <w:r>
        <w:rPr>
          <w:rFonts w:hint="eastAsia" w:ascii="Times New Roman" w:hAnsi="Times New Roman" w:eastAsia="方正仿宋_GBK"/>
          <w:bCs/>
          <w:sz w:val="32"/>
          <w:szCs w:val="32"/>
        </w:rPr>
        <w:t>反映用于对个人和家庭的补助支出。</w:t>
      </w:r>
    </w:p>
    <w:p>
      <w:pPr>
        <w:pStyle w:val="5"/>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
          <w:color w:val="333333"/>
          <w:kern w:val="2"/>
          <w:sz w:val="32"/>
          <w:szCs w:val="32"/>
        </w:rPr>
        <w:t>（十七）其他资本性支出（支出经济分类科目类级）：</w:t>
      </w:r>
      <w:r>
        <w:rPr>
          <w:rFonts w:hint="eastAsia" w:ascii="Times New Roman" w:hAnsi="Times New Roman" w:eastAsia="方正仿宋_GBK"/>
          <w:bCs/>
          <w:sz w:val="32"/>
          <w:szCs w:val="32"/>
        </w:rPr>
        <w:t>反映非各级发展与改革部门集中安排的用于购置固定资产、战略性和应急性储备、土地和无形资产，以及构建基础设施、大型修缮和财政支持企业更新改造所发生的支出。</w:t>
      </w:r>
    </w:p>
    <w:p>
      <w:pPr>
        <w:pStyle w:val="13"/>
        <w:tabs>
          <w:tab w:val="center" w:pos="4153"/>
          <w:tab w:val="left" w:pos="7275"/>
        </w:tabs>
        <w:spacing w:line="600" w:lineRule="exact"/>
        <w:ind w:firstLine="640"/>
        <w:rPr>
          <w:rFonts w:eastAsia="方正黑体_GBK"/>
          <w:b/>
          <w:bCs/>
          <w:sz w:val="32"/>
          <w:szCs w:val="32"/>
        </w:rPr>
      </w:pPr>
      <w:r>
        <w:rPr>
          <w:rFonts w:hint="eastAsia" w:eastAsia="方正黑体_GBK"/>
          <w:sz w:val="32"/>
          <w:szCs w:val="32"/>
        </w:rPr>
        <w:t>七、决算公开联系方式及信息反馈渠道</w:t>
      </w:r>
    </w:p>
    <w:p>
      <w:pPr>
        <w:pStyle w:val="5"/>
        <w:shd w:val="clear" w:color="auto" w:fill="FFFFFF"/>
        <w:rPr>
          <w:rFonts w:ascii="方正仿宋_GBK" w:eastAsia="方正仿宋_GBK"/>
          <w:sz w:val="32"/>
          <w:szCs w:val="32"/>
        </w:rPr>
      </w:pPr>
      <w:r>
        <w:rPr>
          <w:rFonts w:hint="eastAsia" w:ascii="方正仿宋_GBK" w:eastAsia="方正仿宋_GBK"/>
          <w:sz w:val="32"/>
          <w:szCs w:val="32"/>
        </w:rPr>
        <w:t>本单位决算公开信息反馈和联系方式：</w:t>
      </w:r>
      <w:r>
        <w:rPr>
          <w:rFonts w:ascii="方正仿宋_GBK" w:eastAsia="方正仿宋_GBK"/>
          <w:sz w:val="32"/>
          <w:szCs w:val="32"/>
        </w:rPr>
        <w:t>023-48480131</w:t>
      </w:r>
      <w:r>
        <w:rPr>
          <w:rFonts w:hint="eastAsia" w:ascii="方正仿宋_GBK" w:eastAsia="方正仿宋_GBK"/>
          <w:sz w:val="32"/>
          <w:szCs w:val="32"/>
        </w:rPr>
        <w:t>。</w:t>
      </w:r>
    </w:p>
    <w:p>
      <w:pPr>
        <w:pStyle w:val="5"/>
        <w:shd w:val="clear" w:color="auto" w:fill="FFFFFF"/>
        <w:rPr>
          <w:rFonts w:ascii="Times New Roman" w:hAnsi="Times New Roman" w:eastAsia="方正仿宋_GBK"/>
          <w:bCs/>
          <w:sz w:val="32"/>
          <w:szCs w:val="32"/>
        </w:rPr>
      </w:pPr>
    </w:p>
    <w:sectPr>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zOWU2OThlZTU0ZDM0MWQ0NWYwODQ4MWQ5MmFiZmMifQ=="/>
  </w:docVars>
  <w:rsids>
    <w:rsidRoot w:val="00EA1C21"/>
    <w:rsid w:val="001100E6"/>
    <w:rsid w:val="001E36E0"/>
    <w:rsid w:val="00382487"/>
    <w:rsid w:val="00433E7B"/>
    <w:rsid w:val="007C0F87"/>
    <w:rsid w:val="008537E5"/>
    <w:rsid w:val="008C369C"/>
    <w:rsid w:val="009F3BFE"/>
    <w:rsid w:val="00AB394C"/>
    <w:rsid w:val="00C515D6"/>
    <w:rsid w:val="00CC3B20"/>
    <w:rsid w:val="00D04161"/>
    <w:rsid w:val="00D82D0E"/>
    <w:rsid w:val="00E0155D"/>
    <w:rsid w:val="00EA1C21"/>
    <w:rsid w:val="00F64156"/>
    <w:rsid w:val="00F678CF"/>
    <w:rsid w:val="48C703BF"/>
    <w:rsid w:val="71FF36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p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character" w:customStyle="1" w:styleId="10">
    <w:name w:val="批注框文本 Char"/>
    <w:basedOn w:val="8"/>
    <w:link w:val="2"/>
    <w:semiHidden/>
    <w:locked/>
    <w:uiPriority w:val="99"/>
    <w:rPr>
      <w:rFonts w:hint="eastAsia" w:ascii="宋体" w:hAnsi="宋体" w:eastAsia="宋体" w:cs="宋体"/>
      <w:sz w:val="18"/>
      <w:szCs w:val="18"/>
    </w:rPr>
  </w:style>
  <w:style w:type="character" w:customStyle="1" w:styleId="11">
    <w:name w:val="页眉 Char"/>
    <w:basedOn w:val="8"/>
    <w:link w:val="4"/>
    <w:uiPriority w:val="99"/>
    <w:rPr>
      <w:rFonts w:ascii="宋体" w:hAnsi="宋体" w:eastAsia="宋体" w:cs="宋体"/>
      <w:sz w:val="18"/>
      <w:szCs w:val="18"/>
    </w:rPr>
  </w:style>
  <w:style w:type="character" w:customStyle="1" w:styleId="12">
    <w:name w:val="页脚 Char"/>
    <w:basedOn w:val="8"/>
    <w:link w:val="3"/>
    <w:uiPriority w:val="99"/>
    <w:rPr>
      <w:rFonts w:ascii="宋体" w:hAnsi="宋体" w:eastAsia="宋体" w:cs="宋体"/>
      <w:sz w:val="18"/>
      <w:szCs w:val="18"/>
    </w:rPr>
  </w:style>
  <w:style w:type="paragraph" w:styleId="13">
    <w:name w:val="List Paragraph"/>
    <w:basedOn w:val="1"/>
    <w:qFormat/>
    <w:uiPriority w:val="34"/>
    <w:pPr>
      <w:widowControl w:val="0"/>
      <w:ind w:firstLine="420" w:firstLineChars="200"/>
      <w:jc w:val="both"/>
    </w:pPr>
    <w:rPr>
      <w:rFonts w:ascii="Times New Roman" w:hAnsi="Times New Roman" w:cs="Times New Roman"/>
      <w:kern w:val="2"/>
      <w:sz w:val="21"/>
      <w:szCs w:val="22"/>
    </w:rPr>
  </w:style>
  <w:style w:type="paragraph" w:customStyle="1" w:styleId="14">
    <w:name w:val="普通(网站) Char"/>
    <w:basedOn w:val="1"/>
    <w:qFormat/>
    <w:uiPriority w:val="0"/>
    <w:pPr>
      <w:spacing w:before="100" w:beforeAutospacing="1" w:after="100" w:afterAutospacing="1"/>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4475</Words>
  <Characters>4996</Characters>
  <Lines>39</Lines>
  <Paragraphs>11</Paragraphs>
  <TotalTime>48</TotalTime>
  <ScaleCrop>false</ScaleCrop>
  <LinksUpToDate>false</LinksUpToDate>
  <CharactersWithSpaces>5173</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2022-08-31T10:58:00Z</dcterms:created>
  <dc:creator>黄强</dc:creator>
  <cp:lastModifiedBy>陈列</cp:lastModifiedBy>
  <dcterms:modified xsi:type="dcterms:W3CDTF">2022-09-02T01:27:27Z</dcterms:modified>
  <dc:title>公开报告模板</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0107254D487840E691289114831F2AE0</vt:lpwstr>
  </property>
</Properties>
</file>