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_GBK" w:hAnsi="华文中宋" w:eastAsia="方正小标宋_GBK" w:cs="华文中宋"/>
          <w:sz w:val="44"/>
          <w:szCs w:val="44"/>
        </w:rPr>
      </w:pPr>
      <w:r>
        <w:rPr>
          <w:rFonts w:hint="eastAsia" w:ascii="方正小标宋_GBK" w:hAnsi="华文中宋" w:eastAsia="方正小标宋_GBK" w:cs="华文中宋"/>
          <w:sz w:val="44"/>
          <w:szCs w:val="44"/>
        </w:rPr>
        <w:t>重庆市綦江区篆塘中学</w:t>
      </w:r>
    </w:p>
    <w:p>
      <w:pPr>
        <w:spacing w:line="600" w:lineRule="exact"/>
        <w:jc w:val="center"/>
        <w:rPr>
          <w:rFonts w:hint="eastAsia" w:ascii="方正小标宋_GBK" w:hAnsi="华文中宋" w:eastAsia="方正小标宋_GBK" w:cs="华文中宋"/>
          <w:sz w:val="44"/>
          <w:szCs w:val="44"/>
        </w:rPr>
      </w:pPr>
      <w:r>
        <w:rPr>
          <w:rFonts w:hint="eastAsia" w:ascii="方正小标宋_GBK" w:hAnsi="华文中宋" w:eastAsia="方正小标宋_GBK" w:cs="华文中宋"/>
          <w:sz w:val="44"/>
          <w:szCs w:val="44"/>
        </w:rPr>
        <w:t>2020年度部门决算公开说明</w:t>
      </w:r>
    </w:p>
    <w:p>
      <w:pPr>
        <w:pStyle w:val="5"/>
        <w:spacing w:before="0" w:beforeAutospacing="0" w:after="0" w:afterAutospacing="0" w:line="600" w:lineRule="atLeast"/>
      </w:pPr>
      <w:r>
        <w:t> </w:t>
      </w:r>
    </w:p>
    <w:p>
      <w:pPr>
        <w:pStyle w:val="5"/>
        <w:spacing w:before="0" w:beforeAutospacing="0" w:after="0" w:afterAutospacing="0" w:line="600" w:lineRule="atLeast"/>
        <w:ind w:firstLine="643" w:firstLineChars="200"/>
        <w:rPr>
          <w:rFonts w:ascii="方正黑体_GBK" w:hAnsi="黑体" w:eastAsia="方正黑体_GBK"/>
          <w:sz w:val="32"/>
          <w:szCs w:val="32"/>
        </w:rPr>
      </w:pPr>
      <w:r>
        <w:rPr>
          <w:rStyle w:val="7"/>
          <w:rFonts w:hint="eastAsia" w:ascii="方正黑体_GBK" w:hAnsi="黑体" w:eastAsia="方正黑体_GBK"/>
          <w:sz w:val="32"/>
          <w:szCs w:val="32"/>
        </w:rPr>
        <w:t>一、部门基本情况</w:t>
      </w:r>
    </w:p>
    <w:p>
      <w:pPr>
        <w:snapToGrid w:val="0"/>
        <w:spacing w:line="600" w:lineRule="atLeast"/>
        <w:ind w:firstLine="640" w:firstLineChars="200"/>
        <w:rPr>
          <w:rFonts w:ascii="方正仿宋_GBK" w:hAnsi="仿宋" w:eastAsia="方正仿宋_GBK"/>
          <w:sz w:val="32"/>
          <w:szCs w:val="32"/>
        </w:rPr>
      </w:pPr>
      <w:r>
        <w:rPr>
          <w:rFonts w:hint="eastAsia" w:ascii="方正仿宋_GBK" w:hAnsi="仿宋" w:eastAsia="方正仿宋_GBK"/>
          <w:sz w:val="32"/>
          <w:szCs w:val="32"/>
        </w:rPr>
        <w:t>1．我校是一所农村初中，占地面积3355</w:t>
      </w:r>
      <w:r>
        <w:rPr>
          <w:rFonts w:hint="eastAsia" w:ascii="方正仿宋_GBK" w:hAnsi="仿宋" w:eastAsia="方正仿宋_GBK"/>
          <w:sz w:val="32"/>
          <w:szCs w:val="32"/>
          <w:lang w:eastAsia="zh-CN"/>
        </w:rPr>
        <w:t>平方米</w:t>
      </w:r>
      <w:r>
        <w:rPr>
          <w:rFonts w:hint="eastAsia" w:ascii="方正仿宋_GBK" w:hAnsi="仿宋" w:eastAsia="方正仿宋_GBK"/>
          <w:sz w:val="32"/>
          <w:szCs w:val="32"/>
        </w:rPr>
        <w:t>，运动场面积1225</w:t>
      </w:r>
      <w:r>
        <w:rPr>
          <w:rFonts w:hint="eastAsia" w:ascii="方正仿宋_GBK" w:hAnsi="仿宋" w:eastAsia="方正仿宋_GBK"/>
          <w:sz w:val="32"/>
          <w:szCs w:val="32"/>
          <w:lang w:eastAsia="zh-CN"/>
        </w:rPr>
        <w:t>平方米</w:t>
      </w:r>
      <w:r>
        <w:rPr>
          <w:rFonts w:hint="eastAsia" w:ascii="方正仿宋_GBK" w:hAnsi="仿宋" w:eastAsia="方正仿宋_GBK"/>
          <w:sz w:val="32"/>
          <w:szCs w:val="32"/>
        </w:rPr>
        <w:t>，主要职能是初中教育服务。</w:t>
      </w:r>
    </w:p>
    <w:p>
      <w:pPr>
        <w:snapToGrid w:val="0"/>
        <w:spacing w:line="600" w:lineRule="atLeast"/>
        <w:ind w:firstLine="640" w:firstLineChars="200"/>
        <w:rPr>
          <w:rFonts w:ascii="方正仿宋_GBK" w:hAnsi="仿宋" w:eastAsia="方正仿宋_GBK"/>
          <w:sz w:val="32"/>
          <w:szCs w:val="32"/>
        </w:rPr>
      </w:pPr>
      <w:r>
        <w:rPr>
          <w:rFonts w:hint="eastAsia" w:ascii="方正仿宋_GBK" w:hAnsi="仿宋" w:eastAsia="方正仿宋_GBK"/>
          <w:sz w:val="32"/>
          <w:szCs w:val="32"/>
        </w:rPr>
        <w:t>2．我校有行政账、工会账、食堂账。</w:t>
      </w:r>
    </w:p>
    <w:p>
      <w:pPr>
        <w:pStyle w:val="5"/>
        <w:spacing w:before="0" w:beforeAutospacing="0" w:after="0" w:afterAutospacing="0" w:line="600" w:lineRule="atLeast"/>
        <w:ind w:firstLine="640" w:firstLineChars="200"/>
        <w:rPr>
          <w:rFonts w:ascii="方正仿宋_GBK" w:hAnsi="仿宋" w:eastAsia="方正仿宋_GBK"/>
          <w:sz w:val="32"/>
          <w:szCs w:val="32"/>
        </w:rPr>
      </w:pPr>
      <w:r>
        <w:rPr>
          <w:rFonts w:hint="eastAsia" w:ascii="方正仿宋_GBK" w:hAnsi="仿宋" w:eastAsia="方正仿宋_GBK"/>
          <w:sz w:val="32"/>
          <w:szCs w:val="32"/>
        </w:rPr>
        <w:t>3．我校2020年年末有在职教职工49人，退休教师16人，遗属3人。</w:t>
      </w:r>
      <w:r>
        <w:rPr>
          <w:rFonts w:hint="eastAsia" w:ascii="方正仿宋_GBK" w:hAnsi="仿宋" w:eastAsia="方正仿宋_GBK"/>
          <w:sz w:val="32"/>
          <w:szCs w:val="32"/>
          <w:lang w:eastAsia="zh-CN"/>
        </w:rPr>
        <w:t>现</w:t>
      </w:r>
      <w:r>
        <w:rPr>
          <w:rFonts w:hint="eastAsia" w:ascii="方正仿宋_GBK" w:hAnsi="仿宋" w:eastAsia="方正仿宋_GBK"/>
          <w:sz w:val="32"/>
          <w:szCs w:val="32"/>
        </w:rPr>
        <w:t>有小学7个班，学生263人。</w:t>
      </w:r>
    </w:p>
    <w:p>
      <w:pPr>
        <w:pStyle w:val="5"/>
        <w:spacing w:before="0" w:beforeAutospacing="0" w:after="0" w:afterAutospacing="0" w:line="600" w:lineRule="atLeast"/>
        <w:rPr>
          <w:rFonts w:ascii="方正楷体_GBK" w:hAnsi="楷体" w:eastAsia="方正楷体_GBK"/>
          <w:sz w:val="32"/>
          <w:szCs w:val="32"/>
        </w:rPr>
      </w:pPr>
      <w:r>
        <w:rPr>
          <w:rFonts w:hint="eastAsia" w:eastAsia="方正楷体_GBK"/>
          <w:sz w:val="32"/>
          <w:szCs w:val="32"/>
        </w:rPr>
        <w:t> </w:t>
      </w:r>
      <w:r>
        <w:rPr>
          <w:rFonts w:hint="eastAsia" w:ascii="方正楷体_GBK" w:eastAsia="方正楷体_GBK"/>
          <w:sz w:val="32"/>
          <w:szCs w:val="32"/>
        </w:rPr>
        <w:t xml:space="preserve"> </w:t>
      </w:r>
      <w:r>
        <w:rPr>
          <w:rStyle w:val="7"/>
          <w:rFonts w:hint="eastAsia" w:ascii="方正楷体_GBK" w:hAnsi="楷体" w:eastAsia="方正楷体_GBK"/>
          <w:sz w:val="32"/>
          <w:szCs w:val="32"/>
        </w:rPr>
        <w:t>（一）职能职责</w:t>
      </w:r>
    </w:p>
    <w:p>
      <w:pPr>
        <w:spacing w:line="600" w:lineRule="atLeast"/>
        <w:ind w:firstLine="643" w:firstLineChars="200"/>
        <w:rPr>
          <w:rFonts w:ascii="方正仿宋_GBK" w:hAnsi="仿宋" w:eastAsia="方正仿宋_GBK" w:cs="仿宋_GB2312"/>
          <w:sz w:val="32"/>
          <w:szCs w:val="32"/>
        </w:rPr>
      </w:pPr>
      <w:r>
        <w:rPr>
          <w:rStyle w:val="7"/>
          <w:rFonts w:hint="eastAsia" w:eastAsia="方正仿宋_GBK"/>
          <w:sz w:val="32"/>
          <w:szCs w:val="32"/>
        </w:rPr>
        <w:t> </w:t>
      </w:r>
      <w:r>
        <w:rPr>
          <w:rFonts w:hint="eastAsia" w:ascii="方正仿宋_GBK" w:hAnsi="仿宋" w:eastAsia="方正仿宋_GBK" w:cs="仿宋_GB2312"/>
          <w:sz w:val="32"/>
          <w:szCs w:val="32"/>
        </w:rPr>
        <w:t>1.贯彻执行党和国家的教育方针、政策和法律法规，依法治教。</w:t>
      </w:r>
    </w:p>
    <w:p>
      <w:pPr>
        <w:spacing w:line="600" w:lineRule="atLeast"/>
        <w:ind w:firstLine="640" w:firstLineChars="200"/>
        <w:rPr>
          <w:rFonts w:ascii="方正仿宋_GBK" w:hAnsi="仿宋" w:eastAsia="方正仿宋_GBK" w:cs="仿宋_GB2312"/>
          <w:sz w:val="32"/>
          <w:szCs w:val="32"/>
        </w:rPr>
      </w:pPr>
      <w:r>
        <w:rPr>
          <w:rFonts w:hint="eastAsia" w:ascii="方正仿宋_GBK" w:hAnsi="仿宋" w:eastAsia="方正仿宋_GBK" w:cs="仿宋_GB2312"/>
          <w:sz w:val="32"/>
          <w:szCs w:val="32"/>
        </w:rPr>
        <w:t>2. 实施初中教育教学改革，推进义务教育均衡发展和促进教育公平，全面实施素质教育。</w:t>
      </w:r>
    </w:p>
    <w:p>
      <w:pPr>
        <w:spacing w:line="600" w:lineRule="atLeast"/>
        <w:ind w:firstLine="640" w:firstLineChars="200"/>
        <w:rPr>
          <w:rFonts w:ascii="方正仿宋_GBK" w:hAnsi="仿宋" w:eastAsia="方正仿宋_GBK" w:cs="仿宋_GB2312"/>
          <w:sz w:val="32"/>
          <w:szCs w:val="32"/>
        </w:rPr>
      </w:pPr>
      <w:r>
        <w:rPr>
          <w:rFonts w:hint="eastAsia" w:ascii="方正仿宋_GBK" w:hAnsi="仿宋" w:eastAsia="方正仿宋_GBK" w:cs="仿宋_GB2312"/>
          <w:sz w:val="32"/>
          <w:szCs w:val="32"/>
        </w:rPr>
        <w:t>3.负责篆塘初级中学教育发展水平、质量监测工作，负责对本单位内设职能部门履行教育工作职责情况进行监督、检查和指导。</w:t>
      </w:r>
    </w:p>
    <w:p>
      <w:pPr>
        <w:spacing w:line="600" w:lineRule="atLeast"/>
        <w:ind w:firstLine="640" w:firstLineChars="200"/>
        <w:rPr>
          <w:rFonts w:ascii="方正仿宋_GBK" w:hAnsi="仿宋" w:eastAsia="方正仿宋_GBK" w:cs="仿宋_GB2312"/>
          <w:sz w:val="32"/>
          <w:szCs w:val="32"/>
        </w:rPr>
      </w:pPr>
      <w:r>
        <w:rPr>
          <w:rFonts w:hint="eastAsia" w:ascii="方正仿宋_GBK" w:hAnsi="仿宋" w:eastAsia="方正仿宋_GBK" w:cs="仿宋_GB2312"/>
          <w:sz w:val="32"/>
          <w:szCs w:val="32"/>
        </w:rPr>
        <w:t>4.负责本单位教育经费的统筹管理，监督本单位的财务、基本建设工作；负责对学校经费使用情况进行监管；规划指导本单位建设、教育装备、后勤服务工作，开展学生资助工作。</w:t>
      </w:r>
    </w:p>
    <w:p>
      <w:pPr>
        <w:spacing w:line="600" w:lineRule="atLeast"/>
        <w:ind w:firstLine="640" w:firstLineChars="200"/>
        <w:rPr>
          <w:rFonts w:ascii="方正仿宋_GBK" w:hAnsi="仿宋" w:eastAsia="方正仿宋_GBK" w:cs="仿宋_GB2312"/>
          <w:sz w:val="32"/>
          <w:szCs w:val="32"/>
        </w:rPr>
      </w:pPr>
      <w:r>
        <w:rPr>
          <w:rFonts w:hint="eastAsia" w:ascii="方正仿宋_GBK" w:hAnsi="仿宋" w:eastAsia="方正仿宋_GBK" w:cs="仿宋_GB2312"/>
          <w:sz w:val="32"/>
          <w:szCs w:val="32"/>
        </w:rPr>
        <w:t>5.开展学校的思想政治、德育、体育卫生艺术教育、国防教育等工作。</w:t>
      </w:r>
    </w:p>
    <w:p>
      <w:pPr>
        <w:spacing w:line="600" w:lineRule="atLeast"/>
        <w:ind w:firstLine="640" w:firstLineChars="200"/>
        <w:rPr>
          <w:rFonts w:ascii="方正仿宋_GBK" w:hAnsi="仿宋" w:eastAsia="方正仿宋_GBK" w:cs="仿宋_GB2312"/>
          <w:sz w:val="32"/>
          <w:szCs w:val="32"/>
        </w:rPr>
      </w:pPr>
      <w:r>
        <w:rPr>
          <w:rFonts w:hint="eastAsia" w:ascii="方正仿宋_GBK" w:hAnsi="仿宋" w:eastAsia="方正仿宋_GBK" w:cs="仿宋_GB2312"/>
          <w:sz w:val="32"/>
          <w:szCs w:val="32"/>
        </w:rPr>
        <w:t>6.组织实施教师的岗位培训和继续教育工作。</w:t>
      </w:r>
    </w:p>
    <w:p>
      <w:pPr>
        <w:spacing w:line="600" w:lineRule="atLeast"/>
        <w:ind w:firstLine="640" w:firstLineChars="200"/>
        <w:rPr>
          <w:rFonts w:ascii="方正仿宋_GBK" w:hAnsi="仿宋" w:eastAsia="方正仿宋_GBK" w:cs="仿宋_GB2312"/>
          <w:sz w:val="32"/>
          <w:szCs w:val="32"/>
        </w:rPr>
      </w:pPr>
      <w:r>
        <w:rPr>
          <w:rFonts w:hint="eastAsia" w:ascii="方正仿宋_GBK" w:hAnsi="仿宋" w:eastAsia="方正仿宋_GBK" w:cs="仿宋_GB2312"/>
          <w:sz w:val="32"/>
          <w:szCs w:val="32"/>
        </w:rPr>
        <w:t>7.负责开展教职工考核、职称评审和奖惩工作。</w:t>
      </w:r>
    </w:p>
    <w:p>
      <w:pPr>
        <w:spacing w:line="600" w:lineRule="atLeast"/>
        <w:ind w:firstLine="640" w:firstLineChars="200"/>
        <w:rPr>
          <w:rFonts w:ascii="方正仿宋_GBK" w:hAnsi="仿宋" w:eastAsia="方正仿宋_GBK" w:cs="仿宋_GB2312"/>
          <w:sz w:val="32"/>
          <w:szCs w:val="32"/>
        </w:rPr>
      </w:pPr>
      <w:r>
        <w:rPr>
          <w:rFonts w:hint="eastAsia" w:ascii="方正仿宋_GBK" w:hAnsi="仿宋" w:eastAsia="方正仿宋_GBK" w:cs="仿宋_GB2312"/>
          <w:sz w:val="32"/>
          <w:szCs w:val="32"/>
        </w:rPr>
        <w:t>8.负责本单位的学籍管理工作，开展好单位招生工作，组织实施学生教育考试工作。</w:t>
      </w:r>
    </w:p>
    <w:p>
      <w:pPr>
        <w:spacing w:line="600" w:lineRule="atLeast"/>
        <w:ind w:firstLine="640" w:firstLineChars="200"/>
        <w:rPr>
          <w:rFonts w:ascii="方正仿宋_GBK" w:hAnsi="仿宋" w:eastAsia="方正仿宋_GBK" w:cs="仿宋_GB2312"/>
          <w:sz w:val="32"/>
          <w:szCs w:val="32"/>
        </w:rPr>
      </w:pPr>
      <w:r>
        <w:rPr>
          <w:rFonts w:hint="eastAsia" w:ascii="方正仿宋_GBK" w:hAnsi="仿宋" w:eastAsia="方正仿宋_GBK" w:cs="仿宋_GB2312"/>
          <w:sz w:val="32"/>
          <w:szCs w:val="32"/>
        </w:rPr>
        <w:t>9.负责我校校园安全保卫工作，综合协调处理本单位突发事件和重大事故。</w:t>
      </w:r>
    </w:p>
    <w:p>
      <w:pPr>
        <w:pStyle w:val="5"/>
        <w:spacing w:before="0" w:beforeAutospacing="0" w:after="0" w:afterAutospacing="0" w:line="600" w:lineRule="atLeast"/>
        <w:rPr>
          <w:rFonts w:ascii="方正楷体_GBK" w:hAnsi="楷体" w:eastAsia="方正楷体_GBK"/>
          <w:sz w:val="32"/>
          <w:szCs w:val="32"/>
        </w:rPr>
      </w:pPr>
      <w:r>
        <w:rPr>
          <w:rFonts w:hint="eastAsia" w:eastAsia="方正仿宋_GBK"/>
          <w:sz w:val="32"/>
          <w:szCs w:val="32"/>
        </w:rPr>
        <w:t> </w:t>
      </w:r>
      <w:r>
        <w:rPr>
          <w:rFonts w:hint="eastAsia" w:ascii="方正仿宋_GBK" w:eastAsia="方正仿宋_GBK"/>
          <w:sz w:val="32"/>
          <w:szCs w:val="32"/>
        </w:rPr>
        <w:t xml:space="preserve"> </w:t>
      </w:r>
      <w:r>
        <w:rPr>
          <w:rStyle w:val="7"/>
          <w:rFonts w:hint="eastAsia" w:ascii="方正楷体_GBK" w:hAnsi="楷体" w:eastAsia="方正楷体_GBK"/>
          <w:sz w:val="32"/>
          <w:szCs w:val="32"/>
        </w:rPr>
        <w:t>（二）机构设置</w:t>
      </w:r>
    </w:p>
    <w:p>
      <w:pPr>
        <w:spacing w:line="600" w:lineRule="atLeast"/>
        <w:ind w:firstLine="640" w:firstLineChars="200"/>
        <w:rPr>
          <w:rFonts w:ascii="方正仿宋_GBK" w:hAnsi="仿宋" w:eastAsia="方正仿宋_GBK" w:cs="仿宋_GB2312"/>
          <w:sz w:val="32"/>
          <w:szCs w:val="32"/>
        </w:rPr>
      </w:pPr>
      <w:r>
        <w:rPr>
          <w:rFonts w:hint="eastAsia" w:eastAsia="方正仿宋_GBK"/>
          <w:color w:val="FF0000"/>
          <w:sz w:val="32"/>
          <w:szCs w:val="32"/>
        </w:rPr>
        <w:t> </w:t>
      </w:r>
      <w:r>
        <w:rPr>
          <w:rFonts w:hint="eastAsia" w:ascii="方正仿宋_GBK" w:hAnsi="仿宋" w:eastAsia="方正仿宋_GBK" w:cs="仿宋_GB2312"/>
          <w:sz w:val="32"/>
          <w:szCs w:val="32"/>
        </w:rPr>
        <w:t>根据《重庆市机构编制委员会关于重庆市綦江区党政机构设置方案的通知》（渝编〔2011〕33号）和《中共重庆市綦江区委关于重庆市綦江区机构设置方案的实施意见》（綦江委发〔2011〕1号）文件精神，设立重庆市綦江区篆塘中学，为镇初中办学机构。重庆市綦江区篆塘中学履行区教委规定的职责。</w:t>
      </w:r>
    </w:p>
    <w:p>
      <w:pPr>
        <w:spacing w:line="600" w:lineRule="atLeast"/>
        <w:ind w:firstLine="640" w:firstLineChars="200"/>
        <w:rPr>
          <w:rFonts w:ascii="方正仿宋_GBK" w:hAnsi="仿宋_GB2312" w:eastAsia="方正仿宋_GBK" w:cs="仿宋_GB2312"/>
          <w:sz w:val="32"/>
          <w:szCs w:val="32"/>
        </w:rPr>
      </w:pPr>
      <w:r>
        <w:rPr>
          <w:rFonts w:hint="eastAsia" w:ascii="方正仿宋_GBK" w:hAnsi="仿宋" w:eastAsia="方正仿宋_GBK" w:cs="仿宋_GB2312"/>
          <w:sz w:val="32"/>
          <w:szCs w:val="32"/>
        </w:rPr>
        <w:t>按照《重庆市綦江区机构编制委员会关于调整重庆市綦江区教育委员会主要职责内设机构和人员编制规定的通知》（綦编〔2012〕227号）文件，本单位属事业单位，内设科室4个，分别为政教处、安保处、总务处、德育处。</w:t>
      </w:r>
    </w:p>
    <w:p>
      <w:pPr>
        <w:pStyle w:val="5"/>
        <w:spacing w:before="0" w:beforeAutospacing="0" w:after="0" w:afterAutospacing="0" w:line="600" w:lineRule="atLeast"/>
        <w:rPr>
          <w:rFonts w:ascii="方正楷体_GBK" w:hAnsi="楷体" w:eastAsia="方正楷体_GBK"/>
          <w:sz w:val="32"/>
          <w:szCs w:val="32"/>
        </w:rPr>
      </w:pPr>
      <w:r>
        <w:rPr>
          <w:rFonts w:hint="eastAsia" w:eastAsia="方正仿宋_GBK"/>
          <w:sz w:val="32"/>
          <w:szCs w:val="32"/>
        </w:rPr>
        <w:t> </w:t>
      </w:r>
      <w:r>
        <w:rPr>
          <w:rFonts w:hint="eastAsia" w:ascii="方正仿宋_GBK" w:eastAsia="方正仿宋_GBK"/>
          <w:sz w:val="32"/>
          <w:szCs w:val="32"/>
        </w:rPr>
        <w:t xml:space="preserve"> </w:t>
      </w:r>
      <w:r>
        <w:rPr>
          <w:rStyle w:val="7"/>
          <w:rFonts w:hint="eastAsia" w:ascii="方正楷体_GBK" w:hAnsi="楷体" w:eastAsia="方正楷体_GBK"/>
          <w:sz w:val="32"/>
          <w:szCs w:val="32"/>
        </w:rPr>
        <w:t>（三）单位构成</w:t>
      </w:r>
    </w:p>
    <w:p>
      <w:pPr>
        <w:pStyle w:val="5"/>
        <w:spacing w:before="0" w:beforeAutospacing="0" w:after="0" w:afterAutospacing="0" w:line="600" w:lineRule="atLeast"/>
        <w:ind w:firstLine="640" w:firstLineChars="200"/>
        <w:rPr>
          <w:rFonts w:ascii="方正仿宋_GBK" w:eastAsia="方正仿宋_GBK"/>
          <w:color w:val="FF0000"/>
          <w:sz w:val="32"/>
          <w:szCs w:val="32"/>
        </w:rPr>
      </w:pPr>
      <w:r>
        <w:rPr>
          <w:rFonts w:hint="eastAsia" w:ascii="方正仿宋_GBK" w:eastAsia="方正仿宋_GBK"/>
          <w:sz w:val="32"/>
          <w:szCs w:val="32"/>
        </w:rPr>
        <w:t>本单位下级预算单位。</w:t>
      </w:r>
    </w:p>
    <w:p>
      <w:pPr>
        <w:pStyle w:val="5"/>
        <w:spacing w:before="0" w:beforeAutospacing="0" w:after="0" w:afterAutospacing="0" w:line="600" w:lineRule="atLeast"/>
        <w:ind w:firstLine="643" w:firstLineChars="200"/>
        <w:rPr>
          <w:rFonts w:ascii="方正黑体_GBK" w:hAnsi="黑体" w:eastAsia="方正黑体_GBK"/>
          <w:sz w:val="32"/>
          <w:szCs w:val="32"/>
        </w:rPr>
      </w:pPr>
      <w:r>
        <w:rPr>
          <w:rStyle w:val="7"/>
          <w:rFonts w:hint="eastAsia" w:ascii="方正黑体_GBK" w:hAnsi="黑体" w:eastAsia="方正黑体_GBK"/>
          <w:sz w:val="32"/>
          <w:szCs w:val="32"/>
        </w:rPr>
        <w:t>二、部门决算情况说明</w:t>
      </w:r>
    </w:p>
    <w:p>
      <w:pPr>
        <w:pStyle w:val="5"/>
        <w:spacing w:before="0" w:beforeAutospacing="0" w:after="0" w:afterAutospacing="0" w:line="600" w:lineRule="atLeast"/>
        <w:ind w:firstLine="643" w:firstLineChars="200"/>
        <w:rPr>
          <w:rFonts w:ascii="方正楷体_GBK" w:hAnsi="楷体" w:eastAsia="方正楷体_GBK"/>
          <w:sz w:val="32"/>
          <w:szCs w:val="32"/>
        </w:rPr>
      </w:pPr>
      <w:r>
        <w:rPr>
          <w:rStyle w:val="7"/>
          <w:rFonts w:hint="eastAsia" w:ascii="方正楷体_GBK" w:hAnsi="楷体" w:eastAsia="方正楷体_GBK"/>
          <w:sz w:val="32"/>
          <w:szCs w:val="32"/>
        </w:rPr>
        <w:t>（一）收入支出决算总体情况说明</w:t>
      </w:r>
    </w:p>
    <w:p>
      <w:pPr>
        <w:pStyle w:val="5"/>
        <w:spacing w:before="0" w:beforeAutospacing="0" w:after="0" w:afterAutospacing="0" w:line="600" w:lineRule="atLeast"/>
        <w:ind w:firstLine="640" w:firstLineChars="200"/>
        <w:rPr>
          <w:rStyle w:val="7"/>
          <w:rFonts w:ascii="方正仿宋_GBK" w:hAnsi="仿宋" w:eastAsia="方正仿宋_GBK"/>
          <w:b w:val="0"/>
          <w:bCs w:val="0"/>
          <w:sz w:val="32"/>
          <w:szCs w:val="32"/>
        </w:rPr>
      </w:pPr>
      <w:r>
        <w:rPr>
          <w:rStyle w:val="7"/>
          <w:rFonts w:hint="eastAsia" w:ascii="方正仿宋_GBK" w:hAnsi="仿宋" w:eastAsia="方正仿宋_GBK"/>
          <w:b w:val="0"/>
          <w:sz w:val="32"/>
          <w:szCs w:val="32"/>
        </w:rPr>
        <w:t>1.总体情况</w:t>
      </w:r>
      <w:r>
        <w:rPr>
          <w:rFonts w:hint="eastAsia" w:ascii="方正仿宋_GBK" w:hAnsi="仿宋" w:eastAsia="方正仿宋_GBK"/>
          <w:b/>
          <w:sz w:val="32"/>
          <w:szCs w:val="32"/>
        </w:rPr>
        <w:t>。</w:t>
      </w:r>
      <w:r>
        <w:rPr>
          <w:rFonts w:hint="eastAsia" w:ascii="方正仿宋_GBK" w:hAnsi="仿宋" w:eastAsia="方正仿宋_GBK"/>
          <w:sz w:val="32"/>
          <w:szCs w:val="32"/>
        </w:rPr>
        <w:t>2020年度收入总计1,187.40万元，支出总计1,187.40万元。收支较上年决算数 增加95.96万元、 增长8.8%，主要原因是教育支出增加96.66万元，增长12.86%；社会保障与就业增加2.53万元，增长1.93%；卫生健康支出减少0.23万元，</w:t>
      </w:r>
      <w:r>
        <w:rPr>
          <w:rStyle w:val="7"/>
          <w:rFonts w:hint="eastAsia" w:ascii="方正仿宋_GBK" w:hAnsi="仿宋" w:eastAsia="方正仿宋_GBK"/>
          <w:b w:val="0"/>
          <w:bCs w:val="0"/>
          <w:sz w:val="32"/>
          <w:szCs w:val="32"/>
        </w:rPr>
        <w:t>减少0.45%；住房保障支出减少3.01万元，减少5.54%。增长原因主要在于人员经费增加导致的教育成本增加。</w:t>
      </w:r>
    </w:p>
    <w:p>
      <w:pPr>
        <w:pStyle w:val="5"/>
        <w:spacing w:before="0" w:beforeAutospacing="0" w:after="0" w:afterAutospacing="0" w:line="600" w:lineRule="atLeast"/>
        <w:ind w:firstLine="640" w:firstLineChars="200"/>
        <w:rPr>
          <w:rFonts w:ascii="方正仿宋_GBK" w:hAnsi="仿宋" w:eastAsia="方正仿宋_GBK"/>
          <w:color w:val="FF0000"/>
          <w:sz w:val="32"/>
          <w:szCs w:val="32"/>
          <w:shd w:val="clear" w:color="auto" w:fill="FFFF00"/>
        </w:rPr>
      </w:pPr>
      <w:r>
        <w:rPr>
          <w:rStyle w:val="7"/>
          <w:rFonts w:hint="eastAsia" w:ascii="方正仿宋_GBK" w:hAnsi="仿宋" w:eastAsia="方正仿宋_GBK"/>
          <w:b w:val="0"/>
          <w:sz w:val="32"/>
          <w:szCs w:val="32"/>
        </w:rPr>
        <w:t>2.收入情况。</w:t>
      </w:r>
      <w:r>
        <w:rPr>
          <w:rFonts w:hint="eastAsia" w:ascii="方正仿宋_GBK" w:hAnsi="仿宋" w:eastAsia="方正仿宋_GBK"/>
          <w:sz w:val="32"/>
          <w:szCs w:val="32"/>
        </w:rPr>
        <w:t>2020年度收入合计1,033.31万元，较上年决算数增加92.17万元，增长9.8%，主要原因是</w:t>
      </w:r>
      <w:r>
        <w:rPr>
          <w:rStyle w:val="7"/>
          <w:rFonts w:hint="eastAsia" w:ascii="方正仿宋_GBK" w:hAnsi="仿宋" w:eastAsia="方正仿宋_GBK"/>
          <w:b w:val="0"/>
          <w:bCs w:val="0"/>
          <w:sz w:val="32"/>
          <w:szCs w:val="32"/>
        </w:rPr>
        <w:t>人员经费增加导致的教育成本增加</w:t>
      </w:r>
      <w:r>
        <w:rPr>
          <w:rFonts w:hint="eastAsia" w:ascii="方正仿宋_GBK" w:hAnsi="仿宋" w:eastAsia="方正仿宋_GBK"/>
          <w:sz w:val="32"/>
          <w:szCs w:val="32"/>
        </w:rPr>
        <w:t>。其中：财政拨款收入1,033.31万元，占100%；年初结转和结余154.09万元。</w:t>
      </w:r>
    </w:p>
    <w:p>
      <w:pPr>
        <w:pStyle w:val="5"/>
        <w:spacing w:before="0" w:beforeAutospacing="0" w:after="0" w:afterAutospacing="0" w:line="600" w:lineRule="atLeast"/>
        <w:ind w:firstLine="640" w:firstLineChars="200"/>
        <w:rPr>
          <w:rFonts w:ascii="方正仿宋_GBK" w:hAnsi="仿宋" w:eastAsia="方正仿宋_GBK"/>
          <w:sz w:val="32"/>
          <w:szCs w:val="32"/>
        </w:rPr>
      </w:pPr>
      <w:r>
        <w:rPr>
          <w:rStyle w:val="7"/>
          <w:rFonts w:hint="eastAsia" w:ascii="方正仿宋_GBK" w:hAnsi="仿宋" w:eastAsia="方正仿宋_GBK"/>
          <w:b w:val="0"/>
          <w:sz w:val="32"/>
          <w:szCs w:val="32"/>
        </w:rPr>
        <w:t>3.支出情况。</w:t>
      </w:r>
      <w:r>
        <w:rPr>
          <w:rFonts w:hint="eastAsia" w:ascii="方正仿宋_GBK" w:hAnsi="仿宋" w:eastAsia="方正仿宋_GBK"/>
          <w:sz w:val="32"/>
          <w:szCs w:val="32"/>
        </w:rPr>
        <w:t>2020年度支出合计1,084.15万元，较上年决算数增加80.89万元，增长8.1%，主要原因</w:t>
      </w:r>
      <w:r>
        <w:rPr>
          <w:rFonts w:hint="eastAsia" w:ascii="方正仿宋_GBK" w:hAnsi="仿宋" w:eastAsia="方正仿宋_GBK"/>
          <w:b/>
          <w:sz w:val="32"/>
          <w:szCs w:val="32"/>
        </w:rPr>
        <w:t>是</w:t>
      </w:r>
      <w:r>
        <w:rPr>
          <w:rStyle w:val="7"/>
          <w:rFonts w:hint="eastAsia" w:ascii="方正仿宋_GBK" w:hAnsi="仿宋" w:eastAsia="方正仿宋_GBK"/>
          <w:b w:val="0"/>
          <w:bCs w:val="0"/>
          <w:sz w:val="32"/>
          <w:szCs w:val="32"/>
        </w:rPr>
        <w:t>人员经费增加导致的教育成本增加</w:t>
      </w:r>
      <w:r>
        <w:rPr>
          <w:rFonts w:hint="eastAsia" w:ascii="方正仿宋_GBK" w:hAnsi="仿宋" w:eastAsia="方正仿宋_GBK"/>
          <w:b/>
          <w:sz w:val="32"/>
          <w:szCs w:val="32"/>
        </w:rPr>
        <w:t>。</w:t>
      </w:r>
      <w:r>
        <w:rPr>
          <w:rFonts w:hint="eastAsia" w:ascii="方正仿宋_GBK" w:hAnsi="仿宋" w:eastAsia="方正仿宋_GBK"/>
          <w:sz w:val="32"/>
          <w:szCs w:val="32"/>
        </w:rPr>
        <w:t>其中：基本支出 1,011.13万元，占93.3%；项目支出73.02万元，占6.7%。</w:t>
      </w:r>
    </w:p>
    <w:p>
      <w:pPr>
        <w:spacing w:line="600" w:lineRule="atLeast"/>
        <w:ind w:firstLine="640" w:firstLineChars="200"/>
        <w:rPr>
          <w:rFonts w:ascii="方正仿宋_GBK" w:hAnsi="仿宋" w:eastAsia="方正仿宋_GBK"/>
          <w:sz w:val="32"/>
          <w:szCs w:val="32"/>
        </w:rPr>
      </w:pPr>
      <w:r>
        <w:rPr>
          <w:rStyle w:val="7"/>
          <w:rFonts w:hint="eastAsia" w:ascii="方正仿宋_GBK" w:hAnsi="仿宋" w:eastAsia="方正仿宋_GBK"/>
          <w:b w:val="0"/>
          <w:sz w:val="32"/>
          <w:szCs w:val="32"/>
        </w:rPr>
        <w:t>4.结转结余情况。</w:t>
      </w:r>
      <w:r>
        <w:rPr>
          <w:rFonts w:hint="eastAsia" w:ascii="方正仿宋_GBK" w:hAnsi="仿宋" w:eastAsia="方正仿宋_GBK"/>
          <w:sz w:val="32"/>
          <w:szCs w:val="32"/>
        </w:rPr>
        <w:t>2020年度年末结转和结余103.25万元，较上年决算数增加15.07万元，增长17.1%，主要原因是</w:t>
      </w:r>
      <w:r>
        <w:rPr>
          <w:rFonts w:hint="eastAsia" w:ascii="方正仿宋_GBK" w:hAnsi="仿宋" w:eastAsia="方正仿宋_GBK" w:cs="Arial"/>
          <w:kern w:val="0"/>
          <w:sz w:val="32"/>
          <w:szCs w:val="32"/>
        </w:rPr>
        <w:t>人员经费</w:t>
      </w:r>
      <w:r>
        <w:rPr>
          <w:rFonts w:hint="eastAsia" w:ascii="方正仿宋_GBK" w:hAnsi="仿宋" w:eastAsia="方正仿宋_GBK"/>
          <w:sz w:val="32"/>
          <w:szCs w:val="32"/>
        </w:rPr>
        <w:t>主要是教职工的绩效工资以及项目未完工导致未实现支付产生的结转结余。其中：人员经费结余</w:t>
      </w:r>
      <w:r>
        <w:rPr>
          <w:rFonts w:hint="eastAsia" w:ascii="方正仿宋_GBK" w:hAnsi="仿宋" w:eastAsia="方正仿宋_GBK" w:cs="Arial"/>
          <w:kern w:val="0"/>
          <w:sz w:val="32"/>
          <w:szCs w:val="32"/>
        </w:rPr>
        <w:t>45.55万元</w:t>
      </w:r>
      <w:r>
        <w:rPr>
          <w:rFonts w:hint="eastAsia" w:ascii="方正仿宋_GBK" w:hAnsi="仿宋" w:eastAsia="方正仿宋_GBK"/>
          <w:sz w:val="32"/>
          <w:szCs w:val="32"/>
        </w:rPr>
        <w:t>，公用经费结余</w:t>
      </w:r>
      <w:r>
        <w:rPr>
          <w:rFonts w:hint="eastAsia" w:ascii="方正仿宋_GBK" w:hAnsi="仿宋" w:eastAsia="方正仿宋_GBK" w:cs="Arial"/>
          <w:kern w:val="0"/>
          <w:sz w:val="32"/>
          <w:szCs w:val="32"/>
        </w:rPr>
        <w:t>3.08万元</w:t>
      </w:r>
      <w:r>
        <w:rPr>
          <w:rFonts w:hint="eastAsia" w:ascii="方正仿宋_GBK" w:hAnsi="仿宋" w:eastAsia="方正仿宋_GBK"/>
          <w:sz w:val="32"/>
          <w:szCs w:val="32"/>
        </w:rPr>
        <w:t>，项目经费结余</w:t>
      </w:r>
      <w:r>
        <w:rPr>
          <w:rFonts w:hint="eastAsia" w:ascii="方正仿宋_GBK" w:hAnsi="仿宋" w:eastAsia="方正仿宋_GBK" w:cs="Arial"/>
          <w:kern w:val="0"/>
          <w:sz w:val="32"/>
          <w:szCs w:val="32"/>
        </w:rPr>
        <w:t>54.62万元</w:t>
      </w:r>
      <w:r>
        <w:rPr>
          <w:rFonts w:hint="eastAsia" w:ascii="方正仿宋_GBK" w:hAnsi="仿宋" w:eastAsia="方正仿宋_GBK"/>
          <w:sz w:val="32"/>
          <w:szCs w:val="32"/>
        </w:rPr>
        <w:t>。</w:t>
      </w:r>
    </w:p>
    <w:p>
      <w:pPr>
        <w:pStyle w:val="5"/>
        <w:spacing w:before="0" w:beforeAutospacing="0" w:after="0" w:afterAutospacing="0" w:line="600" w:lineRule="atLeast"/>
        <w:ind w:firstLine="643" w:firstLineChars="200"/>
        <w:rPr>
          <w:rFonts w:ascii="方正楷体_GBK" w:hAnsi="楷体" w:eastAsia="方正楷体_GBK"/>
          <w:sz w:val="32"/>
          <w:szCs w:val="32"/>
        </w:rPr>
      </w:pPr>
      <w:r>
        <w:rPr>
          <w:rStyle w:val="7"/>
          <w:rFonts w:hint="eastAsia" w:ascii="方正楷体_GBK" w:hAnsi="楷体" w:eastAsia="方正楷体_GBK"/>
          <w:sz w:val="32"/>
          <w:szCs w:val="32"/>
        </w:rPr>
        <w:t>（二）财政拨款收入支出决算总体情况说明</w:t>
      </w:r>
    </w:p>
    <w:p>
      <w:pPr>
        <w:pStyle w:val="5"/>
        <w:spacing w:before="0" w:beforeAutospacing="0" w:after="0" w:afterAutospacing="0" w:line="600" w:lineRule="atLeast"/>
        <w:ind w:firstLine="640" w:firstLineChars="200"/>
        <w:rPr>
          <w:rStyle w:val="7"/>
          <w:rFonts w:ascii="方正仿宋_GBK" w:hAnsi="仿宋" w:eastAsia="方正仿宋_GBK"/>
          <w:b w:val="0"/>
          <w:bCs w:val="0"/>
          <w:sz w:val="32"/>
          <w:szCs w:val="32"/>
        </w:rPr>
      </w:pPr>
      <w:r>
        <w:rPr>
          <w:rFonts w:hint="eastAsia" w:ascii="方正仿宋_GBK" w:hAnsi="仿宋" w:eastAsia="方正仿宋_GBK"/>
          <w:sz w:val="32"/>
          <w:szCs w:val="32"/>
        </w:rPr>
        <w:t>2020年度财政拨款收、支总计1,187.40万元。与2019年相比，财政拨款收、支总计各增加96.28万元，增长8.8%。主要原因是教育支出增加96.66万元，增长13.18%；社会保障与就业增加2.53万元，增长1.93%；卫生健康支出减少0.23万元，</w:t>
      </w:r>
      <w:r>
        <w:rPr>
          <w:rStyle w:val="7"/>
          <w:rFonts w:hint="eastAsia" w:ascii="方正仿宋_GBK" w:hAnsi="仿宋" w:eastAsia="方正仿宋_GBK"/>
          <w:b w:val="0"/>
          <w:bCs w:val="0"/>
          <w:sz w:val="32"/>
          <w:szCs w:val="32"/>
        </w:rPr>
        <w:t>减少0.45%；住房保障支出减少3.01万元，减少5.54%。增长原因主要在于人员经费增加导致的教育成本增长。</w:t>
      </w:r>
    </w:p>
    <w:p>
      <w:pPr>
        <w:pStyle w:val="5"/>
        <w:spacing w:before="0" w:beforeAutospacing="0" w:after="0" w:afterAutospacing="0" w:line="600" w:lineRule="atLeast"/>
        <w:ind w:firstLine="643" w:firstLineChars="200"/>
        <w:rPr>
          <w:rFonts w:ascii="方正楷体_GBK" w:hAnsi="楷体" w:eastAsia="方正楷体_GBK"/>
          <w:sz w:val="32"/>
          <w:szCs w:val="32"/>
        </w:rPr>
      </w:pPr>
      <w:r>
        <w:rPr>
          <w:rStyle w:val="7"/>
          <w:rFonts w:hint="eastAsia" w:ascii="方正楷体_GBK" w:hAnsi="楷体" w:eastAsia="方正楷体_GBK"/>
          <w:sz w:val="32"/>
          <w:szCs w:val="32"/>
        </w:rPr>
        <w:t>（三）一般公共预算财政拨款支出决算情况说明</w:t>
      </w:r>
    </w:p>
    <w:p>
      <w:pPr>
        <w:pStyle w:val="5"/>
        <w:spacing w:before="0" w:beforeAutospacing="0" w:after="0" w:afterAutospacing="0" w:line="600" w:lineRule="atLeast"/>
        <w:ind w:firstLine="643" w:firstLineChars="200"/>
        <w:rPr>
          <w:rFonts w:ascii="方正仿宋_GBK" w:hAnsi="仿宋" w:eastAsia="方正仿宋_GBK"/>
          <w:sz w:val="32"/>
          <w:szCs w:val="32"/>
        </w:rPr>
      </w:pPr>
      <w:r>
        <w:rPr>
          <w:rStyle w:val="7"/>
          <w:rFonts w:hint="eastAsia" w:ascii="方正仿宋_GBK" w:hAnsi="仿宋" w:eastAsia="方正仿宋_GBK"/>
          <w:sz w:val="32"/>
          <w:szCs w:val="32"/>
        </w:rPr>
        <w:t>1.收入情况。</w:t>
      </w:r>
      <w:r>
        <w:rPr>
          <w:rFonts w:hint="eastAsia" w:ascii="方正仿宋_GBK" w:hAnsi="仿宋" w:eastAsia="方正仿宋_GBK"/>
          <w:sz w:val="32"/>
          <w:szCs w:val="32"/>
        </w:rPr>
        <w:t>2020年度一般公共预算财政拨款收入1,033.31万元，较上年决算数增加92.49万元，增长9.8%。主要原因是</w:t>
      </w:r>
      <w:r>
        <w:rPr>
          <w:rStyle w:val="7"/>
          <w:rFonts w:hint="eastAsia" w:ascii="方正仿宋_GBK" w:hAnsi="仿宋" w:eastAsia="方正仿宋_GBK"/>
          <w:b w:val="0"/>
          <w:bCs w:val="0"/>
          <w:sz w:val="32"/>
          <w:szCs w:val="32"/>
        </w:rPr>
        <w:t>人员经费增加导致的教育成本投入增长</w:t>
      </w:r>
      <w:r>
        <w:rPr>
          <w:rFonts w:hint="eastAsia" w:ascii="方正仿宋_GBK" w:hAnsi="仿宋" w:eastAsia="方正仿宋_GBK"/>
          <w:sz w:val="32"/>
          <w:szCs w:val="32"/>
        </w:rPr>
        <w:t>。较年初预算数 增加155.53万元，增长17.7%。主要原因是本年度增人增资产生的教育追加投入。此外，年初财政拨款结转和结余154.09万元。</w:t>
      </w:r>
    </w:p>
    <w:p>
      <w:pPr>
        <w:spacing w:line="600" w:lineRule="atLeast"/>
        <w:ind w:firstLine="643" w:firstLineChars="200"/>
        <w:rPr>
          <w:rFonts w:ascii="方正仿宋_GBK" w:hAnsi="仿宋" w:eastAsia="方正仿宋_GBK" w:cs="Arial"/>
          <w:kern w:val="0"/>
          <w:sz w:val="32"/>
          <w:szCs w:val="32"/>
        </w:rPr>
      </w:pPr>
      <w:r>
        <w:rPr>
          <w:rStyle w:val="7"/>
          <w:rFonts w:hint="eastAsia" w:ascii="方正仿宋_GBK" w:hAnsi="仿宋" w:eastAsia="方正仿宋_GBK"/>
          <w:sz w:val="32"/>
          <w:szCs w:val="32"/>
        </w:rPr>
        <w:t>2.支出情况。</w:t>
      </w:r>
      <w:r>
        <w:rPr>
          <w:rFonts w:hint="eastAsia" w:ascii="方正仿宋_GBK" w:hAnsi="仿宋" w:eastAsia="方正仿宋_GBK"/>
          <w:sz w:val="32"/>
          <w:szCs w:val="32"/>
        </w:rPr>
        <w:t>2020年度一般公共预算财政拨款支出1,084.15万元，较上年决算数增加81.21万元，增长8.1%。主要原因是</w:t>
      </w:r>
      <w:r>
        <w:rPr>
          <w:rStyle w:val="7"/>
          <w:rFonts w:hint="eastAsia" w:ascii="方正仿宋_GBK" w:hAnsi="仿宋" w:eastAsia="方正仿宋_GBK"/>
          <w:b w:val="0"/>
          <w:bCs w:val="0"/>
          <w:sz w:val="32"/>
          <w:szCs w:val="32"/>
        </w:rPr>
        <w:t>人员经费增加导致的教育成本投入增长</w:t>
      </w:r>
      <w:r>
        <w:rPr>
          <w:rFonts w:hint="eastAsia" w:ascii="方正仿宋_GBK" w:hAnsi="仿宋" w:eastAsia="方正仿宋_GBK"/>
          <w:sz w:val="32"/>
          <w:szCs w:val="32"/>
        </w:rPr>
        <w:t>。其中人员经费</w:t>
      </w:r>
      <w:r>
        <w:rPr>
          <w:rFonts w:hint="eastAsia" w:ascii="方正仿宋_GBK" w:hAnsi="仿宋" w:eastAsia="方正仿宋_GBK" w:cs="Arial"/>
          <w:kern w:val="0"/>
          <w:sz w:val="32"/>
          <w:szCs w:val="32"/>
        </w:rPr>
        <w:t>支出966.21万元，公用经费支出44.92万元等。</w:t>
      </w:r>
      <w:r>
        <w:rPr>
          <w:rFonts w:hint="eastAsia" w:ascii="方正仿宋_GBK" w:hAnsi="仿宋" w:eastAsia="方正仿宋_GBK"/>
          <w:sz w:val="32"/>
          <w:szCs w:val="32"/>
        </w:rPr>
        <w:t>较年初预算数 增加118.20万元，增长12.2%。主要原因是本年度增人增资产生的教育追加投入。</w:t>
      </w:r>
    </w:p>
    <w:p>
      <w:pPr>
        <w:spacing w:line="600" w:lineRule="atLeast"/>
        <w:ind w:firstLine="643" w:firstLineChars="200"/>
        <w:rPr>
          <w:rFonts w:ascii="方正仿宋_GBK" w:hAnsi="仿宋" w:eastAsia="方正仿宋_GBK"/>
          <w:sz w:val="32"/>
          <w:szCs w:val="32"/>
        </w:rPr>
      </w:pPr>
      <w:r>
        <w:rPr>
          <w:rStyle w:val="7"/>
          <w:rFonts w:hint="eastAsia" w:ascii="方正仿宋_GBK" w:hAnsi="仿宋" w:eastAsia="方正仿宋_GBK"/>
          <w:sz w:val="32"/>
          <w:szCs w:val="32"/>
        </w:rPr>
        <w:t>3.结转结余情况。</w:t>
      </w:r>
      <w:r>
        <w:rPr>
          <w:rFonts w:hint="eastAsia" w:ascii="方正仿宋_GBK" w:hAnsi="仿宋" w:eastAsia="方正仿宋_GBK"/>
          <w:sz w:val="32"/>
          <w:szCs w:val="32"/>
        </w:rPr>
        <w:t>2020年度年末一般公共预算财政拨款结转和结余103.25万元，较上年决算数增加15.07万元，增长17.1%，主要原因是：</w:t>
      </w:r>
      <w:r>
        <w:rPr>
          <w:rFonts w:hint="eastAsia" w:ascii="方正仿宋_GBK" w:hAnsi="仿宋" w:eastAsia="方正仿宋_GBK" w:cs="Arial"/>
          <w:kern w:val="0"/>
          <w:sz w:val="32"/>
          <w:szCs w:val="32"/>
        </w:rPr>
        <w:t>人员经费</w:t>
      </w:r>
      <w:r>
        <w:rPr>
          <w:rFonts w:hint="eastAsia" w:ascii="方正仿宋_GBK" w:hAnsi="仿宋" w:eastAsia="方正仿宋_GBK"/>
          <w:sz w:val="32"/>
          <w:szCs w:val="32"/>
        </w:rPr>
        <w:t>主要是教职工的绩效工资以及项目未完工导致未实现支付产生的结转结余。其中：人员经费结余</w:t>
      </w:r>
      <w:r>
        <w:rPr>
          <w:rFonts w:hint="eastAsia" w:ascii="方正仿宋_GBK" w:hAnsi="仿宋" w:eastAsia="方正仿宋_GBK" w:cs="Arial"/>
          <w:kern w:val="0"/>
          <w:sz w:val="32"/>
          <w:szCs w:val="32"/>
        </w:rPr>
        <w:t>45.55万元</w:t>
      </w:r>
      <w:r>
        <w:rPr>
          <w:rFonts w:hint="eastAsia" w:ascii="方正仿宋_GBK" w:hAnsi="仿宋" w:eastAsia="方正仿宋_GBK"/>
          <w:sz w:val="32"/>
          <w:szCs w:val="32"/>
        </w:rPr>
        <w:t>，公用经费结余</w:t>
      </w:r>
      <w:r>
        <w:rPr>
          <w:rFonts w:hint="eastAsia" w:ascii="方正仿宋_GBK" w:hAnsi="仿宋" w:eastAsia="方正仿宋_GBK" w:cs="Arial"/>
          <w:kern w:val="0"/>
          <w:sz w:val="32"/>
          <w:szCs w:val="32"/>
        </w:rPr>
        <w:t>3.08万元</w:t>
      </w:r>
      <w:r>
        <w:rPr>
          <w:rFonts w:hint="eastAsia" w:ascii="方正仿宋_GBK" w:hAnsi="仿宋" w:eastAsia="方正仿宋_GBK"/>
          <w:sz w:val="32"/>
          <w:szCs w:val="32"/>
        </w:rPr>
        <w:t>，项目经费结余</w:t>
      </w:r>
      <w:r>
        <w:rPr>
          <w:rFonts w:hint="eastAsia" w:ascii="方正仿宋_GBK" w:hAnsi="仿宋" w:eastAsia="方正仿宋_GBK" w:cs="Arial"/>
          <w:kern w:val="0"/>
          <w:sz w:val="32"/>
          <w:szCs w:val="32"/>
        </w:rPr>
        <w:t>54.62万元</w:t>
      </w:r>
      <w:r>
        <w:rPr>
          <w:rFonts w:hint="eastAsia" w:ascii="方正仿宋_GBK" w:hAnsi="仿宋" w:eastAsia="方正仿宋_GBK"/>
          <w:sz w:val="32"/>
          <w:szCs w:val="32"/>
        </w:rPr>
        <w:t>。</w:t>
      </w:r>
    </w:p>
    <w:p>
      <w:pPr>
        <w:pStyle w:val="5"/>
        <w:spacing w:before="0" w:beforeAutospacing="0" w:after="0" w:afterAutospacing="0" w:line="600" w:lineRule="atLeast"/>
        <w:ind w:firstLine="643" w:firstLineChars="200"/>
        <w:rPr>
          <w:rFonts w:ascii="方正仿宋_GBK" w:hAnsi="仿宋" w:eastAsia="方正仿宋_GBK"/>
          <w:color w:val="FF0000"/>
          <w:sz w:val="32"/>
          <w:szCs w:val="32"/>
          <w:shd w:val="clear" w:color="auto" w:fill="FFFF00"/>
        </w:rPr>
      </w:pPr>
      <w:r>
        <w:rPr>
          <w:rStyle w:val="7"/>
          <w:rFonts w:hint="eastAsia" w:ascii="方正仿宋_GBK" w:hAnsi="仿宋" w:eastAsia="方正仿宋_GBK"/>
          <w:sz w:val="32"/>
          <w:szCs w:val="32"/>
        </w:rPr>
        <w:t>4.比较情况</w:t>
      </w:r>
      <w:r>
        <w:rPr>
          <w:rFonts w:hint="eastAsia" w:ascii="方正仿宋_GBK" w:hAnsi="仿宋" w:eastAsia="方正仿宋_GBK"/>
          <w:sz w:val="32"/>
          <w:szCs w:val="32"/>
        </w:rPr>
        <w:t>。本部门2020年度一般公共预算财政拨款支出主要用于以下几个方面：</w:t>
      </w:r>
    </w:p>
    <w:p>
      <w:pPr>
        <w:pStyle w:val="5"/>
        <w:spacing w:before="0" w:beforeAutospacing="0" w:after="0" w:afterAutospacing="0" w:line="600" w:lineRule="atLeast"/>
        <w:ind w:firstLine="640" w:firstLineChars="200"/>
        <w:rPr>
          <w:rFonts w:ascii="方正仿宋_GBK" w:hAnsi="仿宋" w:eastAsia="方正仿宋_GBK"/>
          <w:sz w:val="32"/>
          <w:szCs w:val="32"/>
        </w:rPr>
      </w:pPr>
      <w:r>
        <w:rPr>
          <w:rFonts w:hint="eastAsia" w:ascii="方正仿宋_GBK" w:hAnsi="仿宋" w:eastAsia="方正仿宋_GBK"/>
          <w:sz w:val="32"/>
          <w:szCs w:val="32"/>
        </w:rPr>
        <w:t>（1）教育支出825.49万元，占76.1%，较年初预算数增加95.32万 元，增长13.1%，主要原因是增人增资导致教育投入增长。</w:t>
      </w:r>
    </w:p>
    <w:p>
      <w:pPr>
        <w:pStyle w:val="5"/>
        <w:spacing w:before="0" w:beforeAutospacing="0" w:after="0" w:afterAutospacing="0" w:line="600" w:lineRule="atLeast"/>
        <w:ind w:firstLine="640" w:firstLineChars="200"/>
        <w:rPr>
          <w:rFonts w:ascii="方正仿宋_GBK" w:hAnsi="仿宋" w:eastAsia="方正仿宋_GBK"/>
          <w:sz w:val="32"/>
          <w:szCs w:val="32"/>
        </w:rPr>
      </w:pPr>
      <w:r>
        <w:rPr>
          <w:rFonts w:hint="eastAsia" w:ascii="方正仿宋_GBK" w:hAnsi="仿宋" w:eastAsia="方正仿宋_GBK"/>
          <w:sz w:val="32"/>
          <w:szCs w:val="32"/>
        </w:rPr>
        <w:t>（2）社会保障与就业支出153.49万元，占14.2%，较年初预算数增加21.66万 元，增长16.4%，主要原因是增人增资使社会保障与就业费用增加。</w:t>
      </w:r>
    </w:p>
    <w:p>
      <w:pPr>
        <w:pStyle w:val="5"/>
        <w:spacing w:before="0" w:beforeAutospacing="0" w:after="0" w:afterAutospacing="0" w:line="600" w:lineRule="atLeast"/>
        <w:ind w:firstLine="640" w:firstLineChars="200"/>
        <w:rPr>
          <w:rFonts w:ascii="方正仿宋_GBK" w:hAnsi="仿宋" w:eastAsia="方正仿宋_GBK"/>
          <w:sz w:val="32"/>
          <w:szCs w:val="32"/>
        </w:rPr>
      </w:pPr>
      <w:r>
        <w:rPr>
          <w:rFonts w:hint="eastAsia" w:ascii="方正仿宋_GBK" w:hAnsi="仿宋" w:eastAsia="方正仿宋_GBK"/>
          <w:sz w:val="32"/>
          <w:szCs w:val="32"/>
        </w:rPr>
        <w:t>（3）卫生健康支出52.05万元，占4.8%，较年初预算数增加1.46万 元，增长2.9%，主要原因是增人增资使卫生健康缴费支出增加。</w:t>
      </w:r>
    </w:p>
    <w:p>
      <w:pPr>
        <w:pStyle w:val="5"/>
        <w:spacing w:before="0" w:beforeAutospacing="0" w:after="0" w:afterAutospacing="0" w:line="600" w:lineRule="atLeast"/>
        <w:ind w:firstLine="640" w:firstLineChars="200"/>
        <w:rPr>
          <w:rFonts w:ascii="方正仿宋_GBK" w:hAnsi="仿宋" w:eastAsia="方正仿宋_GBK"/>
          <w:sz w:val="32"/>
          <w:szCs w:val="32"/>
        </w:rPr>
      </w:pPr>
      <w:r>
        <w:rPr>
          <w:rFonts w:hint="eastAsia" w:ascii="方正仿宋_GBK" w:hAnsi="仿宋" w:eastAsia="方正仿宋_GBK"/>
          <w:sz w:val="32"/>
          <w:szCs w:val="32"/>
        </w:rPr>
        <w:t>（4）住房保障支出53.12万元，占4.9%，较年初预算数减少0.24万 元，下降0.4%，主要原因是增人增资使住房保障支出增加。</w:t>
      </w:r>
    </w:p>
    <w:p>
      <w:pPr>
        <w:pStyle w:val="5"/>
        <w:spacing w:before="0" w:beforeAutospacing="0" w:after="0" w:afterAutospacing="0" w:line="600" w:lineRule="atLeast"/>
        <w:ind w:firstLine="643" w:firstLineChars="200"/>
        <w:rPr>
          <w:rFonts w:ascii="方正楷体_GBK" w:hAnsi="楷体" w:eastAsia="方正楷体_GBK"/>
          <w:sz w:val="32"/>
          <w:szCs w:val="32"/>
        </w:rPr>
      </w:pPr>
      <w:r>
        <w:rPr>
          <w:rStyle w:val="7"/>
          <w:rFonts w:hint="eastAsia" w:ascii="方正楷体_GBK" w:hAnsi="楷体" w:eastAsia="方正楷体_GBK"/>
          <w:sz w:val="32"/>
          <w:szCs w:val="32"/>
        </w:rPr>
        <w:t>（四）一般公共预算财政拨款基本支出决算情况说明</w:t>
      </w:r>
    </w:p>
    <w:p>
      <w:pPr>
        <w:pStyle w:val="5"/>
        <w:spacing w:before="0" w:beforeAutospacing="0" w:after="0" w:afterAutospacing="0" w:line="600" w:lineRule="atLeast"/>
        <w:ind w:firstLine="640" w:firstLineChars="200"/>
        <w:rPr>
          <w:rFonts w:ascii="方正仿宋_GBK" w:hAnsi="仿宋" w:eastAsia="方正仿宋_GBK"/>
          <w:sz w:val="32"/>
          <w:szCs w:val="32"/>
        </w:rPr>
      </w:pPr>
      <w:r>
        <w:rPr>
          <w:rFonts w:hint="eastAsia" w:ascii="方正仿宋_GBK" w:hAnsi="仿宋" w:eastAsia="方正仿宋_GBK"/>
          <w:sz w:val="32"/>
          <w:szCs w:val="32"/>
        </w:rPr>
        <w:t>2020年度一般公共财政拨款基本支出1,011.13万元。其中：人员经费966.21万元，较上年决算数增加42.30万 元，增长4.6%，主要原因是增人增资导致人员经费增加。人员经费用途主要包括支付在编教职工基本工资、绩效工资以及津补贴等。公用经费44.92万元，较上年决算数增加13.58万元，增长43.3%，主要原因是学生人数和拨款标准的变化。公用经费用途主要包括支付办公费、水电费、差旅费、培训费</w:t>
      </w:r>
      <w:r>
        <w:rPr>
          <w:rFonts w:hint="eastAsia" w:ascii="方正仿宋_GBK" w:hAnsi="仿宋" w:eastAsia="方正仿宋_GBK"/>
          <w:sz w:val="32"/>
          <w:szCs w:val="32"/>
          <w:lang w:eastAsia="zh-CN"/>
        </w:rPr>
        <w:t>等必需的</w:t>
      </w:r>
      <w:r>
        <w:rPr>
          <w:rFonts w:hint="eastAsia" w:ascii="方正仿宋_GBK" w:hAnsi="仿宋" w:eastAsia="方正仿宋_GBK"/>
          <w:sz w:val="32"/>
          <w:szCs w:val="32"/>
        </w:rPr>
        <w:t>运营经费。</w:t>
      </w:r>
    </w:p>
    <w:p>
      <w:pPr>
        <w:pStyle w:val="5"/>
        <w:spacing w:before="0" w:beforeAutospacing="0" w:after="0" w:afterAutospacing="0" w:line="600" w:lineRule="atLeast"/>
        <w:ind w:firstLine="643" w:firstLineChars="200"/>
        <w:rPr>
          <w:rFonts w:ascii="方正楷体_GBK" w:hAnsi="楷体" w:eastAsia="方正楷体_GBK"/>
          <w:sz w:val="32"/>
          <w:szCs w:val="32"/>
        </w:rPr>
      </w:pPr>
      <w:r>
        <w:rPr>
          <w:rStyle w:val="7"/>
          <w:rFonts w:hint="eastAsia" w:ascii="方正楷体_GBK" w:hAnsi="楷体" w:eastAsia="方正楷体_GBK"/>
          <w:sz w:val="32"/>
          <w:szCs w:val="32"/>
        </w:rPr>
        <w:t>（五）政府性基金预算收支决算情况说明</w:t>
      </w:r>
    </w:p>
    <w:p>
      <w:pPr>
        <w:pStyle w:val="5"/>
        <w:spacing w:before="0" w:beforeAutospacing="0" w:after="0" w:afterAutospacing="0" w:line="600" w:lineRule="atLeast"/>
        <w:ind w:firstLine="640" w:firstLineChars="200"/>
        <w:rPr>
          <w:rFonts w:ascii="方正仿宋_GBK" w:hAnsi="仿宋" w:eastAsia="方正仿宋_GBK"/>
          <w:sz w:val="32"/>
          <w:szCs w:val="32"/>
        </w:rPr>
      </w:pPr>
      <w:r>
        <w:rPr>
          <w:rFonts w:hint="eastAsia" w:ascii="方正仿宋_GBK" w:hAnsi="仿宋" w:eastAsia="方正仿宋_GBK"/>
          <w:sz w:val="32"/>
          <w:szCs w:val="32"/>
        </w:rPr>
        <w:t>2020年度政府性基金预算财政拨款年初结转结余0.00万元，年末结转结余0.00万元。本年收入0.00万元，较上年决算数增加0.00万元，增长%。本年支出0.00万元，较上年决算数增加0.00万元，增长%。</w:t>
      </w:r>
    </w:p>
    <w:p>
      <w:pPr>
        <w:pStyle w:val="5"/>
        <w:spacing w:before="0" w:beforeAutospacing="0" w:after="0" w:afterAutospacing="0" w:line="600" w:lineRule="atLeast"/>
        <w:ind w:firstLine="640" w:firstLineChars="200"/>
        <w:rPr>
          <w:rFonts w:ascii="方正仿宋_GBK" w:hAnsi="仿宋" w:eastAsia="方正仿宋_GBK"/>
          <w:sz w:val="32"/>
          <w:szCs w:val="32"/>
        </w:rPr>
      </w:pPr>
      <w:r>
        <w:rPr>
          <w:rFonts w:hint="eastAsia" w:ascii="方正仿宋_GBK" w:hAnsi="仿宋" w:eastAsia="方正仿宋_GBK"/>
          <w:sz w:val="32"/>
          <w:szCs w:val="32"/>
        </w:rPr>
        <w:t>本部门2020年度无政府性基金预算财政拨款收支。</w:t>
      </w:r>
    </w:p>
    <w:p>
      <w:pPr>
        <w:pStyle w:val="5"/>
        <w:spacing w:before="0" w:beforeAutospacing="0" w:after="0" w:afterAutospacing="0" w:line="600" w:lineRule="atLeast"/>
        <w:ind w:firstLine="643" w:firstLineChars="200"/>
        <w:rPr>
          <w:rFonts w:ascii="方正仿宋_GBK" w:eastAsia="方正仿宋_GBK"/>
          <w:sz w:val="32"/>
          <w:szCs w:val="32"/>
        </w:rPr>
      </w:pPr>
      <w:r>
        <w:rPr>
          <w:rStyle w:val="7"/>
          <w:rFonts w:hint="eastAsia" w:ascii="方正楷体_GBK" w:hAnsi="楷体" w:eastAsia="方正楷体_GBK"/>
          <w:sz w:val="32"/>
          <w:szCs w:val="32"/>
        </w:rPr>
        <w:t>（六）国有资本经营预算财政拨款</w:t>
      </w:r>
      <w:r>
        <w:rPr>
          <w:rStyle w:val="7"/>
          <w:rFonts w:hint="eastAsia" w:ascii="方正楷体_GBK" w:hAnsi="楷体" w:eastAsia="方正楷体_GBK"/>
          <w:sz w:val="32"/>
          <w:szCs w:val="32"/>
          <w:lang w:eastAsia="zh-CN"/>
        </w:rPr>
        <w:t>支出</w:t>
      </w:r>
      <w:r>
        <w:rPr>
          <w:rStyle w:val="7"/>
          <w:rFonts w:hint="eastAsia" w:ascii="方正楷体_GBK" w:hAnsi="楷体" w:eastAsia="方正楷体_GBK"/>
          <w:sz w:val="32"/>
          <w:szCs w:val="32"/>
        </w:rPr>
        <w:t>决算情况说明</w:t>
      </w:r>
      <w:r>
        <w:rPr>
          <w:rStyle w:val="7"/>
          <w:rFonts w:hint="eastAsia" w:ascii="方正仿宋_GBK" w:hAnsi="楷体" w:eastAsia="方正仿宋_GBK"/>
          <w:sz w:val="32"/>
          <w:szCs w:val="32"/>
        </w:rPr>
        <w:t>。</w:t>
      </w:r>
    </w:p>
    <w:p>
      <w:pPr>
        <w:pStyle w:val="5"/>
        <w:spacing w:before="0" w:beforeAutospacing="0" w:after="0" w:afterAutospacing="0" w:line="600" w:lineRule="atLeast"/>
        <w:ind w:firstLine="640" w:firstLineChars="200"/>
        <w:rPr>
          <w:rFonts w:ascii="方正仿宋_GBK" w:eastAsia="方正仿宋_GBK"/>
          <w:sz w:val="32"/>
          <w:szCs w:val="32"/>
        </w:rPr>
      </w:pPr>
      <w:r>
        <w:rPr>
          <w:rFonts w:hint="eastAsia" w:ascii="方正仿宋_GBK" w:eastAsia="方正仿宋_GBK"/>
          <w:sz w:val="32"/>
          <w:szCs w:val="32"/>
        </w:rPr>
        <w:t>2020年度国有资本经营预算财政拨本年支出0.00万元，基本支出0.00万元，项目支出0.00万元。</w:t>
      </w:r>
    </w:p>
    <w:p>
      <w:pPr>
        <w:pStyle w:val="5"/>
        <w:spacing w:before="0" w:beforeAutospacing="0" w:after="0" w:afterAutospacing="0" w:line="600" w:lineRule="atLeast"/>
        <w:ind w:firstLine="640" w:firstLineChars="200"/>
        <w:rPr>
          <w:rFonts w:ascii="方正仿宋_GBK" w:eastAsia="方正仿宋_GBK"/>
          <w:sz w:val="32"/>
          <w:szCs w:val="32"/>
        </w:rPr>
      </w:pPr>
      <w:r>
        <w:rPr>
          <w:rFonts w:hint="eastAsia" w:ascii="方正仿宋_GBK" w:eastAsia="方正仿宋_GBK"/>
          <w:sz w:val="32"/>
          <w:szCs w:val="32"/>
        </w:rPr>
        <w:t>2020年度无国有资本经营预算财政拨款支出。</w:t>
      </w:r>
    </w:p>
    <w:p>
      <w:pPr>
        <w:pStyle w:val="5"/>
        <w:spacing w:before="0" w:beforeAutospacing="0" w:after="0" w:afterAutospacing="0" w:line="600" w:lineRule="atLeast"/>
        <w:ind w:firstLine="643" w:firstLineChars="200"/>
        <w:rPr>
          <w:rFonts w:ascii="方正黑体_GBK" w:hAnsi="黑体" w:eastAsia="方正黑体_GBK"/>
          <w:sz w:val="32"/>
          <w:szCs w:val="32"/>
        </w:rPr>
      </w:pPr>
      <w:r>
        <w:rPr>
          <w:rStyle w:val="7"/>
          <w:rFonts w:hint="eastAsia" w:ascii="方正黑体_GBK" w:hAnsi="黑体" w:eastAsia="方正黑体_GBK"/>
          <w:sz w:val="32"/>
          <w:szCs w:val="32"/>
        </w:rPr>
        <w:t>三、“三公”经费情况说明</w:t>
      </w:r>
    </w:p>
    <w:p>
      <w:pPr>
        <w:pStyle w:val="5"/>
        <w:spacing w:before="0" w:beforeAutospacing="0" w:after="0" w:afterAutospacing="0" w:line="600" w:lineRule="atLeast"/>
        <w:ind w:firstLine="643" w:firstLineChars="200"/>
        <w:rPr>
          <w:rFonts w:ascii="方正楷体_GBK" w:hAnsi="楷体" w:eastAsia="方正楷体_GBK"/>
          <w:sz w:val="32"/>
          <w:szCs w:val="32"/>
        </w:rPr>
      </w:pPr>
      <w:r>
        <w:rPr>
          <w:rStyle w:val="7"/>
          <w:rFonts w:hint="eastAsia" w:ascii="方正楷体_GBK" w:hAnsi="楷体" w:eastAsia="方正楷体_GBK"/>
          <w:sz w:val="32"/>
          <w:szCs w:val="32"/>
        </w:rPr>
        <w:t>（一）“三公”经费支出总体情况说明</w:t>
      </w:r>
    </w:p>
    <w:p>
      <w:pPr>
        <w:pStyle w:val="5"/>
        <w:spacing w:before="0" w:beforeAutospacing="0" w:after="0" w:afterAutospacing="0" w:line="600" w:lineRule="atLeast"/>
        <w:ind w:firstLine="640" w:firstLineChars="200"/>
        <w:rPr>
          <w:rFonts w:ascii="方正仿宋_GBK" w:hAnsi="仿宋" w:eastAsia="方正仿宋_GBK"/>
          <w:color w:val="000000" w:themeColor="text1"/>
          <w:sz w:val="32"/>
          <w:szCs w:val="32"/>
        </w:rPr>
      </w:pPr>
      <w:r>
        <w:rPr>
          <w:rFonts w:hint="eastAsia" w:ascii="方正仿宋_GBK" w:hAnsi="仿宋" w:eastAsia="方正仿宋_GBK"/>
          <w:color w:val="000000" w:themeColor="text1"/>
          <w:sz w:val="32"/>
          <w:szCs w:val="32"/>
        </w:rPr>
        <w:t>2020年度“三公”经费支出共计0.00万元，较年初预算数增加0.00万元，增长0%。较上年支出数增加0.00万 元，增长0%。</w:t>
      </w:r>
    </w:p>
    <w:p>
      <w:pPr>
        <w:pStyle w:val="5"/>
        <w:spacing w:before="0" w:beforeAutospacing="0" w:after="0" w:afterAutospacing="0" w:line="600" w:lineRule="atLeast"/>
        <w:ind w:firstLine="640" w:firstLineChars="200"/>
        <w:rPr>
          <w:rFonts w:ascii="方正仿宋_GBK" w:hAnsi="仿宋" w:eastAsia="方正仿宋_GBK"/>
          <w:color w:val="000000" w:themeColor="text1"/>
          <w:sz w:val="32"/>
          <w:szCs w:val="32"/>
        </w:rPr>
      </w:pPr>
      <w:r>
        <w:rPr>
          <w:rFonts w:hint="eastAsia" w:ascii="方正仿宋_GBK" w:hAnsi="仿宋" w:eastAsia="方正仿宋_GBK"/>
          <w:color w:val="000000" w:themeColor="text1"/>
          <w:sz w:val="32"/>
          <w:szCs w:val="32"/>
        </w:rPr>
        <w:t>本单位2020年度因公出国（境）费用、公务车购置费、公务车运行维护费、公务接待费均未发生支出。</w:t>
      </w:r>
    </w:p>
    <w:p>
      <w:pPr>
        <w:pStyle w:val="5"/>
        <w:spacing w:before="0" w:beforeAutospacing="0" w:after="0" w:afterAutospacing="0" w:line="600" w:lineRule="atLeast"/>
        <w:ind w:firstLine="643" w:firstLineChars="200"/>
        <w:rPr>
          <w:rFonts w:ascii="方正楷体_GBK" w:hAnsi="楷体" w:eastAsia="方正楷体_GBK"/>
          <w:color w:val="000000" w:themeColor="text1"/>
          <w:sz w:val="32"/>
          <w:szCs w:val="32"/>
        </w:rPr>
      </w:pPr>
      <w:r>
        <w:rPr>
          <w:rStyle w:val="7"/>
          <w:rFonts w:hint="eastAsia" w:ascii="方正楷体_GBK" w:hAnsi="楷体" w:eastAsia="方正楷体_GBK"/>
          <w:color w:val="000000" w:themeColor="text1"/>
          <w:sz w:val="32"/>
          <w:szCs w:val="32"/>
        </w:rPr>
        <w:t>（二）“三公”经费分项支出情况</w:t>
      </w:r>
    </w:p>
    <w:p>
      <w:pPr>
        <w:pStyle w:val="5"/>
        <w:spacing w:before="0" w:beforeAutospacing="0" w:after="0" w:afterAutospacing="0" w:line="600" w:lineRule="atLeast"/>
        <w:ind w:firstLine="640" w:firstLineChars="200"/>
        <w:rPr>
          <w:rFonts w:ascii="方正仿宋_GBK" w:hAnsi="仿宋" w:eastAsia="方正仿宋_GBK"/>
          <w:sz w:val="32"/>
          <w:szCs w:val="32"/>
        </w:rPr>
      </w:pPr>
      <w:r>
        <w:rPr>
          <w:rFonts w:hint="eastAsia" w:ascii="方正仿宋_GBK" w:hAnsi="仿宋" w:eastAsia="方正仿宋_GBK"/>
          <w:sz w:val="32"/>
          <w:szCs w:val="32"/>
        </w:rPr>
        <w:t>2020年度本部门因公出国（境）费用0.00万元。费用支出较年初预算数增加0.00万元，增长0%。较上年支出数增加0.00万元，增长0%。</w:t>
      </w:r>
    </w:p>
    <w:p>
      <w:pPr>
        <w:pStyle w:val="5"/>
        <w:spacing w:before="0" w:beforeAutospacing="0" w:after="0" w:afterAutospacing="0" w:line="600" w:lineRule="atLeast"/>
        <w:ind w:firstLine="640" w:firstLineChars="200"/>
        <w:rPr>
          <w:rFonts w:ascii="方正仿宋_GBK" w:hAnsi="仿宋" w:eastAsia="方正仿宋_GBK"/>
          <w:sz w:val="32"/>
          <w:szCs w:val="32"/>
        </w:rPr>
      </w:pPr>
      <w:r>
        <w:rPr>
          <w:rFonts w:hint="eastAsia" w:ascii="方正仿宋_GBK" w:hAnsi="仿宋" w:eastAsia="方正仿宋_GBK"/>
          <w:sz w:val="32"/>
          <w:szCs w:val="32"/>
        </w:rPr>
        <w:t>本单位2020年度未发生因公出国（境）费用支出。</w:t>
      </w:r>
    </w:p>
    <w:p>
      <w:pPr>
        <w:pStyle w:val="5"/>
        <w:spacing w:before="0" w:beforeAutospacing="0" w:after="0" w:afterAutospacing="0" w:line="600" w:lineRule="atLeast"/>
        <w:ind w:firstLine="640" w:firstLineChars="200"/>
        <w:rPr>
          <w:rFonts w:ascii="方正仿宋_GBK" w:hAnsi="仿宋" w:eastAsia="方正仿宋_GBK"/>
          <w:sz w:val="32"/>
          <w:szCs w:val="32"/>
        </w:rPr>
      </w:pPr>
      <w:r>
        <w:rPr>
          <w:rFonts w:hint="eastAsia" w:ascii="方正仿宋_GBK" w:hAnsi="仿宋" w:eastAsia="方正仿宋_GBK"/>
          <w:sz w:val="32"/>
          <w:szCs w:val="32"/>
        </w:rPr>
        <w:t>公务车购置费0.00万元费用支出较年初预算数增加0.00万元，增长0%。较上年支出数增加0.00万元，增长0%。</w:t>
      </w:r>
    </w:p>
    <w:p>
      <w:pPr>
        <w:pStyle w:val="5"/>
        <w:spacing w:before="0" w:beforeAutospacing="0" w:after="0" w:afterAutospacing="0" w:line="600" w:lineRule="atLeast"/>
        <w:ind w:firstLine="640" w:firstLineChars="200"/>
        <w:rPr>
          <w:rFonts w:ascii="方正仿宋_GBK" w:hAnsi="仿宋" w:eastAsia="方正仿宋_GBK"/>
          <w:sz w:val="32"/>
          <w:szCs w:val="32"/>
        </w:rPr>
      </w:pPr>
      <w:r>
        <w:rPr>
          <w:rFonts w:hint="eastAsia" w:ascii="方正仿宋_GBK" w:hAnsi="仿宋" w:eastAsia="方正仿宋_GBK"/>
          <w:sz w:val="32"/>
          <w:szCs w:val="32"/>
        </w:rPr>
        <w:t>本单位2020年度未发生公务车购置费支出。</w:t>
      </w:r>
    </w:p>
    <w:p>
      <w:pPr>
        <w:pStyle w:val="5"/>
        <w:spacing w:before="0" w:beforeAutospacing="0" w:after="0" w:afterAutospacing="0" w:line="600" w:lineRule="atLeast"/>
        <w:ind w:firstLine="640" w:firstLineChars="200"/>
        <w:rPr>
          <w:rFonts w:ascii="方正仿宋_GBK" w:hAnsi="仿宋" w:eastAsia="方正仿宋_GBK"/>
          <w:sz w:val="32"/>
          <w:szCs w:val="32"/>
        </w:rPr>
      </w:pPr>
      <w:r>
        <w:rPr>
          <w:rFonts w:hint="eastAsia" w:ascii="方正仿宋_GBK" w:hAnsi="仿宋" w:eastAsia="方正仿宋_GBK"/>
          <w:sz w:val="32"/>
          <w:szCs w:val="32"/>
        </w:rPr>
        <w:t>公务车运行维护费0.00万元。费用支出较年初预算数增加0.00万元，增长0%。较上年支出数增加0.00万元，增长0%。</w:t>
      </w:r>
    </w:p>
    <w:p>
      <w:pPr>
        <w:pStyle w:val="5"/>
        <w:spacing w:before="0" w:beforeAutospacing="0" w:after="0" w:afterAutospacing="0" w:line="600" w:lineRule="atLeast"/>
        <w:ind w:firstLine="640" w:firstLineChars="200"/>
        <w:rPr>
          <w:rFonts w:ascii="方正仿宋_GBK" w:hAnsi="仿宋" w:eastAsia="方正仿宋_GBK"/>
          <w:sz w:val="32"/>
          <w:szCs w:val="32"/>
        </w:rPr>
      </w:pPr>
      <w:r>
        <w:rPr>
          <w:rFonts w:hint="eastAsia" w:ascii="方正仿宋_GBK" w:hAnsi="仿宋" w:eastAsia="方正仿宋_GBK"/>
          <w:sz w:val="32"/>
          <w:szCs w:val="32"/>
        </w:rPr>
        <w:t>本单位2020年度未发生公务车运行维护费支出。</w:t>
      </w:r>
    </w:p>
    <w:p>
      <w:pPr>
        <w:pStyle w:val="5"/>
        <w:spacing w:before="0" w:beforeAutospacing="0" w:after="0" w:afterAutospacing="0" w:line="600" w:lineRule="atLeast"/>
        <w:ind w:firstLine="640" w:firstLineChars="200"/>
        <w:rPr>
          <w:rFonts w:ascii="方正仿宋_GBK" w:hAnsi="仿宋" w:eastAsia="方正仿宋_GBK"/>
          <w:sz w:val="32"/>
          <w:szCs w:val="32"/>
        </w:rPr>
      </w:pPr>
      <w:r>
        <w:rPr>
          <w:rFonts w:hint="eastAsia" w:ascii="方正仿宋_GBK" w:hAnsi="仿宋" w:eastAsia="方正仿宋_GBK"/>
          <w:sz w:val="32"/>
          <w:szCs w:val="32"/>
        </w:rPr>
        <w:t>公务接待费0.00万元。费用支出较年初预算数增加0.00万元，增长0%。较上年支出数增加0.00万元，增长0%。</w:t>
      </w:r>
    </w:p>
    <w:p>
      <w:pPr>
        <w:pStyle w:val="5"/>
        <w:spacing w:before="0" w:beforeAutospacing="0" w:after="0" w:afterAutospacing="0" w:line="600" w:lineRule="atLeast"/>
        <w:ind w:firstLine="640" w:firstLineChars="200"/>
        <w:rPr>
          <w:rFonts w:ascii="方正仿宋_GBK" w:hAnsi="仿宋" w:eastAsia="方正仿宋_GBK"/>
          <w:sz w:val="32"/>
          <w:szCs w:val="32"/>
        </w:rPr>
      </w:pPr>
      <w:r>
        <w:rPr>
          <w:rFonts w:hint="eastAsia" w:ascii="方正仿宋_GBK" w:hAnsi="仿宋" w:eastAsia="方正仿宋_GBK"/>
          <w:sz w:val="32"/>
          <w:szCs w:val="32"/>
        </w:rPr>
        <w:t>本单位2020年度未发生公务接待费支出。</w:t>
      </w:r>
    </w:p>
    <w:p>
      <w:pPr>
        <w:pStyle w:val="5"/>
        <w:spacing w:before="0" w:beforeAutospacing="0" w:after="0" w:afterAutospacing="0" w:line="600" w:lineRule="atLeast"/>
        <w:ind w:firstLine="643" w:firstLineChars="200"/>
        <w:rPr>
          <w:rFonts w:ascii="方正楷体_GBK" w:hAnsi="楷体" w:eastAsia="方正楷体_GBK"/>
          <w:sz w:val="32"/>
          <w:szCs w:val="32"/>
        </w:rPr>
      </w:pPr>
      <w:r>
        <w:rPr>
          <w:rStyle w:val="7"/>
          <w:rFonts w:hint="eastAsia" w:ascii="方正楷体_GBK" w:hAnsi="楷体" w:eastAsia="方正楷体_GBK"/>
          <w:sz w:val="32"/>
          <w:szCs w:val="32"/>
        </w:rPr>
        <w:t>（三）“三公”经费实物量情况</w:t>
      </w:r>
    </w:p>
    <w:p>
      <w:pPr>
        <w:pStyle w:val="5"/>
        <w:spacing w:before="0" w:beforeAutospacing="0" w:after="0" w:afterAutospacing="0" w:line="600" w:lineRule="atLeast"/>
        <w:ind w:firstLine="640" w:firstLineChars="200"/>
        <w:rPr>
          <w:rFonts w:ascii="方正仿宋_GBK" w:hAnsi="仿宋" w:eastAsia="方正仿宋_GBK"/>
          <w:sz w:val="32"/>
          <w:szCs w:val="32"/>
        </w:rPr>
      </w:pPr>
      <w:r>
        <w:rPr>
          <w:rFonts w:hint="eastAsia" w:ascii="方正仿宋_GBK" w:hAnsi="仿宋" w:eastAsia="方正仿宋_GBK"/>
          <w:sz w:val="32"/>
          <w:szCs w:val="32"/>
        </w:rPr>
        <w:t>2020年度本部门因公出国（境）共计0个团组，0人；公务用车购置0辆，公务车保有量为0辆；国内公务接待0批次0人，其中：国内外 事接待0批次，0人；国（境）外公务接待0批次，0人。2020年本部门人均接待费0.00元，车均购置费0.00万元，车均维护费0.00万元。</w:t>
      </w:r>
    </w:p>
    <w:p>
      <w:pPr>
        <w:pStyle w:val="5"/>
        <w:spacing w:before="0" w:beforeAutospacing="0" w:after="0" w:afterAutospacing="0" w:line="600" w:lineRule="atLeast"/>
        <w:ind w:firstLine="643" w:firstLineChars="200"/>
        <w:rPr>
          <w:rFonts w:ascii="方正黑体_GBK" w:hAnsi="黑体" w:eastAsia="方正黑体_GBK"/>
          <w:sz w:val="32"/>
          <w:szCs w:val="32"/>
        </w:rPr>
      </w:pPr>
      <w:r>
        <w:rPr>
          <w:rStyle w:val="7"/>
          <w:rFonts w:hint="eastAsia" w:ascii="方正黑体_GBK" w:hAnsi="黑体" w:eastAsia="方正黑体_GBK"/>
          <w:sz w:val="32"/>
          <w:szCs w:val="32"/>
        </w:rPr>
        <w:t>四、其他需要说明的事项</w:t>
      </w:r>
    </w:p>
    <w:p>
      <w:pPr>
        <w:pStyle w:val="5"/>
        <w:spacing w:before="0" w:beforeAutospacing="0" w:after="0" w:afterAutospacing="0" w:line="600" w:lineRule="atLeast"/>
        <w:ind w:firstLine="643" w:firstLineChars="200"/>
        <w:rPr>
          <w:rFonts w:ascii="方正楷体_GBK" w:hAnsi="楷体" w:eastAsia="方正楷体_GBK"/>
          <w:sz w:val="32"/>
          <w:szCs w:val="32"/>
        </w:rPr>
      </w:pPr>
      <w:r>
        <w:rPr>
          <w:rStyle w:val="7"/>
          <w:rFonts w:hint="eastAsia" w:ascii="方正楷体_GBK" w:hAnsi="楷体" w:eastAsia="方正楷体_GBK"/>
          <w:sz w:val="32"/>
          <w:szCs w:val="32"/>
        </w:rPr>
        <w:t>（一）机关运行经费情况说明</w:t>
      </w:r>
    </w:p>
    <w:p>
      <w:pPr>
        <w:pStyle w:val="5"/>
        <w:spacing w:before="0" w:beforeAutospacing="0" w:after="0" w:afterAutospacing="0" w:line="600" w:lineRule="atLeast"/>
        <w:ind w:firstLine="640" w:firstLineChars="200"/>
        <w:rPr>
          <w:rFonts w:ascii="方正仿宋_GBK" w:hAnsi="仿宋" w:eastAsia="方正仿宋_GBK"/>
          <w:sz w:val="32"/>
          <w:szCs w:val="32"/>
        </w:rPr>
      </w:pPr>
      <w:r>
        <w:rPr>
          <w:rFonts w:hint="eastAsia" w:ascii="方正仿宋_GBK" w:hAnsi="仿宋" w:eastAsia="方正仿宋_GBK"/>
          <w:sz w:val="32"/>
          <w:szCs w:val="32"/>
        </w:rPr>
        <w:t>2020年度本部门机关运行经费支出0.00万元。 机关运行经费较上年决算数增加0.00万元，增长0%。</w:t>
      </w:r>
    </w:p>
    <w:p>
      <w:pPr>
        <w:pStyle w:val="5"/>
        <w:spacing w:before="0" w:beforeAutospacing="0" w:after="0" w:afterAutospacing="0" w:line="600" w:lineRule="atLeast"/>
        <w:ind w:firstLine="640" w:firstLineChars="200"/>
        <w:rPr>
          <w:rFonts w:ascii="方正仿宋_GBK" w:hAnsi="仿宋" w:eastAsia="方正仿宋_GBK"/>
          <w:sz w:val="32"/>
          <w:szCs w:val="32"/>
        </w:rPr>
      </w:pPr>
      <w:r>
        <w:rPr>
          <w:rFonts w:hint="eastAsia" w:ascii="方正仿宋_GBK" w:hAnsi="仿宋" w:eastAsia="方正仿宋_GBK"/>
          <w:sz w:val="32"/>
          <w:szCs w:val="32"/>
        </w:rPr>
        <w:t>按照部门决算列报口径，我单位补助机关运行经费统计范围之内。</w:t>
      </w:r>
    </w:p>
    <w:p>
      <w:pPr>
        <w:pStyle w:val="5"/>
        <w:spacing w:before="0" w:beforeAutospacing="0" w:after="0" w:afterAutospacing="0" w:line="600" w:lineRule="atLeast"/>
        <w:ind w:firstLine="640" w:firstLineChars="200"/>
        <w:rPr>
          <w:rFonts w:ascii="方正仿宋_GBK" w:hAnsi="仿宋" w:eastAsia="方正仿宋_GBK"/>
          <w:sz w:val="32"/>
          <w:szCs w:val="32"/>
          <w:shd w:val="clear" w:color="auto" w:fill="FFFF00"/>
        </w:rPr>
      </w:pPr>
      <w:r>
        <w:rPr>
          <w:rFonts w:hint="eastAsia" w:ascii="方正仿宋_GBK" w:hAnsi="仿宋" w:eastAsia="方正仿宋_GBK"/>
          <w:sz w:val="32"/>
          <w:szCs w:val="32"/>
        </w:rPr>
        <w:t>本年度会议费支出2.84万元，较上年决算数增加2.29万元，增长416.4%，主要原因是本单位和篆塘学区会议费均在我单位支付，导致会议费增长。本年度培训费支出 0.98万元，较上年决算数减少1.34万元，下降57.8%，主要原因是疫情</w:t>
      </w:r>
      <w:bookmarkStart w:id="0" w:name="_GoBack"/>
      <w:bookmarkEnd w:id="0"/>
      <w:r>
        <w:rPr>
          <w:rFonts w:hint="eastAsia" w:ascii="方正仿宋_GBK" w:hAnsi="仿宋" w:eastAsia="方正仿宋_GBK"/>
          <w:sz w:val="32"/>
          <w:szCs w:val="32"/>
        </w:rPr>
        <w:t>，培训减少导致培训费减少。</w:t>
      </w:r>
    </w:p>
    <w:p>
      <w:pPr>
        <w:pStyle w:val="5"/>
        <w:spacing w:before="0" w:beforeAutospacing="0" w:after="0" w:afterAutospacing="0" w:line="600" w:lineRule="atLeast"/>
        <w:ind w:firstLine="643" w:firstLineChars="200"/>
        <w:rPr>
          <w:rFonts w:ascii="方正楷体_GBK" w:hAnsi="楷体" w:eastAsia="方正楷体_GBK"/>
          <w:sz w:val="32"/>
          <w:szCs w:val="32"/>
        </w:rPr>
      </w:pPr>
      <w:r>
        <w:rPr>
          <w:rStyle w:val="7"/>
          <w:rFonts w:hint="eastAsia" w:ascii="方正楷体_GBK" w:hAnsi="楷体" w:eastAsia="方正楷体_GBK"/>
          <w:sz w:val="32"/>
          <w:szCs w:val="32"/>
        </w:rPr>
        <w:t>（二）国有资产占用情况说明</w:t>
      </w:r>
    </w:p>
    <w:p>
      <w:pPr>
        <w:pStyle w:val="5"/>
        <w:spacing w:before="0" w:beforeAutospacing="0" w:after="0" w:afterAutospacing="0" w:line="600" w:lineRule="atLeast"/>
        <w:ind w:firstLine="640" w:firstLineChars="200"/>
        <w:rPr>
          <w:rFonts w:ascii="方正仿宋_GBK" w:hAnsi="仿宋" w:eastAsia="方正仿宋_GBK"/>
          <w:sz w:val="32"/>
          <w:szCs w:val="32"/>
        </w:rPr>
      </w:pPr>
      <w:r>
        <w:rPr>
          <w:rFonts w:hint="eastAsia" w:ascii="方正仿宋_GBK" w:hAnsi="仿宋" w:eastAsia="方正仿宋_GBK"/>
          <w:sz w:val="32"/>
          <w:szCs w:val="32"/>
        </w:rPr>
        <w:t>截至2020年12月31日，本部门共有车辆0辆，其中，副部（省）级及以上领导用车0辆、主要领导干部用车0辆、机要通信用车0辆、应急保障用车0辆、执法执勤用车0辆，特种专业技术用车0辆，离退休干部用车0辆，其他用车0辆。单价50万元（含）以上通用设备0台（套），单价100万元（含）以上专用设备0台（套）。</w:t>
      </w:r>
    </w:p>
    <w:p>
      <w:pPr>
        <w:pStyle w:val="5"/>
        <w:spacing w:before="0" w:beforeAutospacing="0" w:after="0" w:afterAutospacing="0" w:line="600" w:lineRule="atLeast"/>
        <w:ind w:firstLine="643" w:firstLineChars="200"/>
        <w:rPr>
          <w:rFonts w:ascii="方正楷体_GBK" w:hAnsi="楷体" w:eastAsia="方正楷体_GBK"/>
          <w:sz w:val="32"/>
          <w:szCs w:val="32"/>
        </w:rPr>
      </w:pPr>
      <w:r>
        <w:rPr>
          <w:rStyle w:val="7"/>
          <w:rFonts w:hint="eastAsia" w:ascii="方正楷体_GBK" w:hAnsi="楷体" w:eastAsia="方正楷体_GBK"/>
          <w:sz w:val="32"/>
          <w:szCs w:val="32"/>
        </w:rPr>
        <w:t>（三）政府采购支出情况说明</w:t>
      </w:r>
    </w:p>
    <w:p>
      <w:pPr>
        <w:pStyle w:val="5"/>
        <w:spacing w:before="0" w:beforeAutospacing="0" w:after="0" w:afterAutospacing="0" w:line="600" w:lineRule="atLeast"/>
        <w:ind w:firstLine="640" w:firstLineChars="200"/>
        <w:rPr>
          <w:rFonts w:ascii="方正仿宋_GBK" w:hAnsi="仿宋" w:eastAsia="方正仿宋_GBK"/>
          <w:sz w:val="32"/>
          <w:szCs w:val="32"/>
        </w:rPr>
      </w:pPr>
      <w:r>
        <w:rPr>
          <w:rFonts w:hint="eastAsia" w:ascii="方正仿宋_GBK" w:hAnsi="仿宋" w:eastAsia="方正仿宋_GBK"/>
          <w:sz w:val="32"/>
          <w:szCs w:val="32"/>
        </w:rPr>
        <w:t>2020年度本部门政府采购支出总额0.00万元，其中：政府采购货物支出0.00万元、政府采购工程支出0.00万元、政府采购服务支出0.00万元。授予中小企业合同金额0.00万元，占政府采购支出总额的0%，其中：授予小微企业合同金额 0.00万元，占政府采购支出总额的0%。</w:t>
      </w:r>
    </w:p>
    <w:p>
      <w:pPr>
        <w:pStyle w:val="5"/>
        <w:spacing w:before="0" w:beforeAutospacing="0" w:after="0" w:afterAutospacing="0" w:line="600" w:lineRule="atLeast"/>
        <w:ind w:firstLine="640" w:firstLineChars="200"/>
        <w:rPr>
          <w:rFonts w:ascii="方正仿宋_GBK" w:hAnsi="仿宋" w:eastAsia="方正仿宋_GBK"/>
          <w:sz w:val="32"/>
          <w:szCs w:val="32"/>
        </w:rPr>
      </w:pPr>
      <w:r>
        <w:rPr>
          <w:rFonts w:hint="eastAsia" w:ascii="方正仿宋_GBK" w:hAnsi="仿宋" w:eastAsia="方正仿宋_GBK"/>
          <w:sz w:val="32"/>
          <w:szCs w:val="32"/>
        </w:rPr>
        <w:t>2020年度我单位未发生政府采购事项，无相关经费支出。</w:t>
      </w:r>
    </w:p>
    <w:p>
      <w:pPr>
        <w:pStyle w:val="5"/>
        <w:spacing w:before="0" w:beforeAutospacing="0" w:after="0" w:afterAutospacing="0" w:line="600" w:lineRule="atLeast"/>
        <w:ind w:firstLine="643" w:firstLineChars="200"/>
        <w:rPr>
          <w:rFonts w:ascii="方正黑体_GBK" w:hAnsi="黑体" w:eastAsia="方正黑体_GBK"/>
          <w:sz w:val="32"/>
          <w:szCs w:val="32"/>
        </w:rPr>
      </w:pPr>
      <w:r>
        <w:rPr>
          <w:rStyle w:val="7"/>
          <w:rFonts w:hint="eastAsia" w:ascii="方正黑体_GBK" w:hAnsi="黑体" w:eastAsia="方正黑体_GBK"/>
          <w:sz w:val="32"/>
          <w:szCs w:val="32"/>
        </w:rPr>
        <w:t>五、预算绩效管理情况说明</w:t>
      </w:r>
    </w:p>
    <w:p>
      <w:pPr>
        <w:pStyle w:val="5"/>
        <w:spacing w:before="0" w:beforeAutospacing="0" w:after="0" w:afterAutospacing="0" w:line="600" w:lineRule="atLeast"/>
        <w:ind w:firstLine="643" w:firstLineChars="200"/>
        <w:rPr>
          <w:rStyle w:val="7"/>
          <w:rFonts w:ascii="方正楷体_GBK" w:hAnsi="楷体" w:eastAsia="方正楷体_GBK"/>
          <w:sz w:val="32"/>
          <w:szCs w:val="32"/>
          <w:shd w:val="clear" w:color="auto" w:fill="FFFF00"/>
        </w:rPr>
      </w:pPr>
      <w:r>
        <w:rPr>
          <w:rStyle w:val="7"/>
          <w:rFonts w:hint="eastAsia" w:ascii="方正楷体_GBK" w:hAnsi="楷体" w:eastAsia="方正楷体_GBK"/>
          <w:sz w:val="32"/>
          <w:szCs w:val="32"/>
        </w:rPr>
        <w:t>（一）预算绩效管理工作开展情况</w:t>
      </w:r>
    </w:p>
    <w:p>
      <w:pPr>
        <w:pStyle w:val="5"/>
        <w:spacing w:before="0" w:beforeAutospacing="0" w:after="0" w:afterAutospacing="0" w:line="600" w:lineRule="atLeast"/>
        <w:ind w:firstLine="640" w:firstLineChars="200"/>
        <w:rPr>
          <w:rFonts w:ascii="方正仿宋_GBK" w:hAnsi="仿宋" w:eastAsia="方正仿宋_GBK"/>
          <w:sz w:val="32"/>
          <w:szCs w:val="32"/>
        </w:rPr>
      </w:pPr>
      <w:r>
        <w:rPr>
          <w:rFonts w:hint="eastAsia" w:ascii="方正仿宋_GBK" w:hAnsi="仿宋" w:eastAsia="方正仿宋_GBK"/>
          <w:sz w:val="32"/>
          <w:szCs w:val="32"/>
        </w:rPr>
        <w:t>根据预算绩效管理要求，本部门对部门整体6个项目开展了绩效自评，其中，以填报目标自评表形</w:t>
      </w:r>
      <w:r>
        <w:rPr>
          <w:rFonts w:hint="eastAsia" w:ascii="方正仿宋_GBK" w:hAnsi="仿宋" w:eastAsia="方正仿宋_GBK"/>
          <w:color w:val="000000" w:themeColor="text1"/>
          <w:sz w:val="32"/>
          <w:szCs w:val="32"/>
        </w:rPr>
        <w:t>式开展自评6项，涉及资金127.17万元；以委托第三方形式开展绩效自评0项，涉及资金0万元，从评价情况来</w:t>
      </w:r>
      <w:r>
        <w:rPr>
          <w:rFonts w:hint="eastAsia" w:ascii="方正仿宋_GBK" w:hAnsi="仿宋" w:eastAsia="方正仿宋_GBK"/>
          <w:sz w:val="32"/>
          <w:szCs w:val="32"/>
        </w:rPr>
        <w:t>看：</w:t>
      </w:r>
    </w:p>
    <w:p>
      <w:pPr>
        <w:pStyle w:val="5"/>
        <w:numPr>
          <w:ilvl w:val="0"/>
          <w:numId w:val="1"/>
        </w:numPr>
        <w:spacing w:before="0" w:beforeAutospacing="0" w:after="0" w:afterAutospacing="0" w:line="600" w:lineRule="atLeast"/>
        <w:ind w:firstLine="640" w:firstLineChars="200"/>
        <w:rPr>
          <w:rFonts w:hint="eastAsia" w:ascii="方正仿宋_GBK" w:hAnsi="仿宋" w:eastAsia="方正仿宋_GBK"/>
          <w:sz w:val="32"/>
          <w:szCs w:val="32"/>
        </w:rPr>
      </w:pPr>
      <w:r>
        <w:rPr>
          <w:rFonts w:hint="eastAsia" w:ascii="方正仿宋_GBK" w:hAnsi="仿宋" w:eastAsia="方正仿宋_GBK"/>
          <w:sz w:val="32"/>
          <w:szCs w:val="32"/>
        </w:rPr>
        <w:t>农村义务</w:t>
      </w:r>
      <w:r>
        <w:rPr>
          <w:rFonts w:hint="eastAsia" w:ascii="方正仿宋_GBK" w:hAnsi="仿宋" w:eastAsia="方正仿宋_GBK"/>
          <w:sz w:val="32"/>
          <w:szCs w:val="32"/>
          <w:lang w:eastAsia="zh-CN"/>
        </w:rPr>
        <w:t>教育</w:t>
      </w:r>
      <w:r>
        <w:rPr>
          <w:rFonts w:hint="eastAsia" w:ascii="方正仿宋_GBK" w:hAnsi="仿宋" w:eastAsia="方正仿宋_GBK"/>
          <w:sz w:val="32"/>
          <w:szCs w:val="32"/>
        </w:rPr>
        <w:t>学生营养改善计划资金：改善全区边远学生营养状况，增加午餐营养，降低营养不良检出率2.1%，促进中小学生健康发展，营养改善计划效果明显，得到社会充分肯定。</w:t>
      </w:r>
    </w:p>
    <w:p>
      <w:pPr>
        <w:pStyle w:val="5"/>
        <w:numPr>
          <w:ilvl w:val="0"/>
          <w:numId w:val="1"/>
        </w:numPr>
        <w:spacing w:before="0" w:beforeAutospacing="0" w:after="0" w:afterAutospacing="0" w:line="600" w:lineRule="atLeast"/>
        <w:ind w:firstLine="640" w:firstLineChars="200"/>
        <w:rPr>
          <w:rFonts w:ascii="方正仿宋_GBK" w:hAnsi="仿宋" w:eastAsia="方正仿宋_GBK"/>
          <w:sz w:val="32"/>
          <w:szCs w:val="32"/>
        </w:rPr>
      </w:pPr>
      <w:r>
        <w:rPr>
          <w:rFonts w:hint="eastAsia" w:ascii="方正仿宋_GBK" w:hAnsi="仿宋" w:eastAsia="方正仿宋_GBK"/>
          <w:sz w:val="32"/>
          <w:szCs w:val="32"/>
        </w:rPr>
        <w:t>食堂内墙和教学楼房顶改造：对食堂内墙和教学楼楼顶防漏进行改造，改善了学生就餐环境，切实解决了教学楼楼顶防漏情况，受到全体师生的一致好评，满意度达到100%。</w:t>
      </w:r>
    </w:p>
    <w:p>
      <w:pPr>
        <w:pStyle w:val="5"/>
        <w:numPr>
          <w:ilvl w:val="0"/>
          <w:numId w:val="1"/>
        </w:numPr>
        <w:spacing w:before="0" w:beforeAutospacing="0" w:after="0" w:afterAutospacing="0" w:line="600" w:lineRule="atLeast"/>
        <w:ind w:firstLine="640" w:firstLineChars="200"/>
        <w:rPr>
          <w:rFonts w:ascii="方正仿宋_GBK" w:hAnsi="仿宋" w:eastAsia="方正仿宋_GBK"/>
          <w:sz w:val="32"/>
          <w:szCs w:val="32"/>
        </w:rPr>
      </w:pPr>
      <w:r>
        <w:rPr>
          <w:rFonts w:hint="eastAsia" w:ascii="方正仿宋_GBK" w:hAnsi="仿宋" w:eastAsia="方正仿宋_GBK"/>
          <w:sz w:val="32"/>
          <w:szCs w:val="32"/>
        </w:rPr>
        <w:t>运动场恢复建设：对校园运动场进行改造，铺设了塑胶运动场，改善了学生运动场地环境，切实解决了运动场情况，受到全体师生的一致好评，满意度达到100%。</w:t>
      </w:r>
    </w:p>
    <w:p>
      <w:pPr>
        <w:pStyle w:val="5"/>
        <w:numPr>
          <w:ilvl w:val="0"/>
          <w:numId w:val="1"/>
        </w:numPr>
        <w:spacing w:before="0" w:beforeAutospacing="0" w:after="0" w:afterAutospacing="0" w:line="600" w:lineRule="atLeast"/>
        <w:ind w:firstLine="640" w:firstLineChars="200"/>
        <w:rPr>
          <w:rFonts w:ascii="方正仿宋_GBK" w:hAnsi="仿宋" w:eastAsia="方正仿宋_GBK"/>
          <w:sz w:val="32"/>
          <w:szCs w:val="32"/>
        </w:rPr>
      </w:pPr>
      <w:r>
        <w:rPr>
          <w:rFonts w:hint="eastAsia" w:ascii="方正仿宋_GBK" w:hAnsi="仿宋" w:eastAsia="方正仿宋_GBK"/>
          <w:sz w:val="32"/>
          <w:szCs w:val="32"/>
        </w:rPr>
        <w:t>办公设备购置：购买校园广播系统1套，打印机3台，食堂添置餐厨设备，超额完成购置任务，及时改善了我校办学条件，购买设施设备质量好，受到全体师生一致好评。</w:t>
      </w:r>
    </w:p>
    <w:p>
      <w:pPr>
        <w:pStyle w:val="5"/>
        <w:numPr>
          <w:ilvl w:val="0"/>
          <w:numId w:val="1"/>
        </w:numPr>
        <w:spacing w:before="0" w:beforeAutospacing="0" w:after="0" w:afterAutospacing="0" w:line="600" w:lineRule="atLeast"/>
        <w:ind w:firstLine="640" w:firstLineChars="200"/>
        <w:rPr>
          <w:rFonts w:ascii="方正仿宋_GBK" w:hAnsi="仿宋" w:eastAsia="方正仿宋_GBK"/>
          <w:sz w:val="32"/>
          <w:szCs w:val="32"/>
        </w:rPr>
      </w:pPr>
      <w:r>
        <w:rPr>
          <w:rFonts w:hint="eastAsia" w:ascii="方正仿宋_GBK" w:hAnsi="仿宋" w:eastAsia="方正仿宋_GBK"/>
          <w:sz w:val="32"/>
          <w:szCs w:val="32"/>
        </w:rPr>
        <w:t>2019年教育督导责任区运转资金，非税收入资金、解决教职工医疗费用等：完成财政预算安排资金，根据实际需要，合理安排支出进度和支出金额的高效性、可持续性，合理规划资金使用、严格按照财经纪律执行，得到全校教职工认可，保障全体师生日常开支及运转，确保资金使用的有效性。</w:t>
      </w:r>
    </w:p>
    <w:p>
      <w:pPr>
        <w:pStyle w:val="5"/>
        <w:numPr>
          <w:ilvl w:val="0"/>
          <w:numId w:val="1"/>
        </w:numPr>
        <w:spacing w:before="0" w:beforeAutospacing="0" w:after="0" w:afterAutospacing="0" w:line="600" w:lineRule="atLeast"/>
        <w:ind w:firstLine="640" w:firstLineChars="200"/>
        <w:rPr>
          <w:rFonts w:ascii="方正仿宋_GBK" w:hAnsi="仿宋" w:eastAsia="方正仿宋_GBK"/>
          <w:sz w:val="32"/>
          <w:szCs w:val="32"/>
        </w:rPr>
      </w:pPr>
      <w:r>
        <w:rPr>
          <w:rFonts w:hint="eastAsia" w:ascii="方正仿宋_GBK" w:hAnsi="仿宋" w:eastAsia="方正仿宋_GBK"/>
          <w:sz w:val="32"/>
          <w:szCs w:val="32"/>
        </w:rPr>
        <w:t>贫困生生活补助：准备解决学校107名学生的生活补助费用，每人每月125元，促进教育公平和社会和谐，保证贫困学生不能因贫失学。</w:t>
      </w:r>
    </w:p>
    <w:p>
      <w:pPr>
        <w:pStyle w:val="5"/>
        <w:spacing w:before="0" w:beforeAutospacing="0" w:after="0" w:afterAutospacing="0" w:line="600" w:lineRule="atLeast"/>
        <w:ind w:firstLine="643" w:firstLineChars="200"/>
        <w:rPr>
          <w:rFonts w:ascii="方正楷体_GBK" w:hAnsi="楷体" w:eastAsia="方正楷体_GBK"/>
          <w:sz w:val="32"/>
          <w:szCs w:val="32"/>
        </w:rPr>
      </w:pPr>
      <w:r>
        <w:rPr>
          <w:rStyle w:val="7"/>
          <w:rFonts w:hint="eastAsia" w:ascii="方正楷体_GBK" w:hAnsi="楷体" w:eastAsia="方正楷体_GBK"/>
          <w:sz w:val="32"/>
          <w:szCs w:val="32"/>
        </w:rPr>
        <w:t>（二）绩效自评结果</w:t>
      </w:r>
    </w:p>
    <w:p>
      <w:pPr>
        <w:pStyle w:val="5"/>
        <w:spacing w:before="0" w:beforeAutospacing="0" w:after="0" w:afterAutospacing="0" w:line="600" w:lineRule="atLeast"/>
        <w:ind w:firstLine="640" w:firstLineChars="200"/>
        <w:rPr>
          <w:rStyle w:val="7"/>
          <w:rFonts w:ascii="方正仿宋_GBK" w:hAnsi="仿宋" w:eastAsia="方正仿宋_GBK"/>
          <w:b w:val="0"/>
          <w:sz w:val="32"/>
          <w:szCs w:val="32"/>
        </w:rPr>
      </w:pPr>
      <w:r>
        <w:rPr>
          <w:rStyle w:val="7"/>
          <w:rFonts w:hint="eastAsia" w:ascii="方正仿宋_GBK" w:hAnsi="仿宋" w:eastAsia="方正仿宋_GBK"/>
          <w:b w:val="0"/>
          <w:sz w:val="32"/>
          <w:szCs w:val="32"/>
        </w:rPr>
        <w:t>1.绩效自评表</w:t>
      </w:r>
    </w:p>
    <w:tbl>
      <w:tblPr>
        <w:tblStyle w:val="8"/>
        <w:tblW w:w="9060" w:type="dxa"/>
        <w:tblInd w:w="0" w:type="dxa"/>
        <w:tblLayout w:type="fixed"/>
        <w:tblCellMar>
          <w:top w:w="0" w:type="dxa"/>
          <w:left w:w="108" w:type="dxa"/>
          <w:bottom w:w="0" w:type="dxa"/>
          <w:right w:w="108" w:type="dxa"/>
        </w:tblCellMar>
      </w:tblPr>
      <w:tblGrid>
        <w:gridCol w:w="9060"/>
      </w:tblGrid>
      <w:tr>
        <w:tblPrEx>
          <w:tblLayout w:type="fixed"/>
          <w:tblCellMar>
            <w:top w:w="0" w:type="dxa"/>
            <w:left w:w="108" w:type="dxa"/>
            <w:bottom w:w="0" w:type="dxa"/>
            <w:right w:w="108" w:type="dxa"/>
          </w:tblCellMar>
        </w:tblPrEx>
        <w:trPr>
          <w:trHeight w:val="585" w:hRule="atLeast"/>
        </w:trPr>
        <w:tc>
          <w:tcPr>
            <w:tcW w:w="9060" w:type="dxa"/>
            <w:tcBorders>
              <w:top w:val="nil"/>
              <w:left w:val="nil"/>
              <w:bottom w:val="nil"/>
              <w:right w:val="nil"/>
            </w:tcBorders>
            <w:shd w:val="clear" w:color="auto" w:fill="auto"/>
            <w:vAlign w:val="center"/>
          </w:tcPr>
          <w:tbl>
            <w:tblPr>
              <w:tblStyle w:val="8"/>
              <w:tblW w:w="14844" w:type="dxa"/>
              <w:tblInd w:w="0" w:type="dxa"/>
              <w:tblLayout w:type="fixed"/>
              <w:tblCellMar>
                <w:top w:w="0" w:type="dxa"/>
                <w:left w:w="0" w:type="dxa"/>
                <w:bottom w:w="0" w:type="dxa"/>
                <w:right w:w="0" w:type="dxa"/>
              </w:tblCellMar>
            </w:tblPr>
            <w:tblGrid>
              <w:gridCol w:w="947"/>
              <w:gridCol w:w="1565"/>
              <w:gridCol w:w="946"/>
              <w:gridCol w:w="946"/>
              <w:gridCol w:w="1022"/>
              <w:gridCol w:w="992"/>
              <w:gridCol w:w="992"/>
              <w:gridCol w:w="1434"/>
              <w:gridCol w:w="1000"/>
              <w:gridCol w:w="1000"/>
              <w:gridCol w:w="1000"/>
              <w:gridCol w:w="1000"/>
              <w:gridCol w:w="1000"/>
              <w:gridCol w:w="1000"/>
            </w:tblGrid>
            <w:tr>
              <w:tblPrEx>
                <w:tblLayout w:type="fixed"/>
                <w:tblCellMar>
                  <w:top w:w="0" w:type="dxa"/>
                  <w:left w:w="0" w:type="dxa"/>
                  <w:bottom w:w="0" w:type="dxa"/>
                  <w:right w:w="0" w:type="dxa"/>
                </w:tblCellMar>
              </w:tblPrEx>
              <w:trPr>
                <w:gridAfter w:val="6"/>
                <w:wAfter w:w="6000" w:type="dxa"/>
                <w:trHeight w:val="585" w:hRule="atLeast"/>
              </w:trPr>
              <w:tc>
                <w:tcPr>
                  <w:tcW w:w="8844" w:type="dxa"/>
                  <w:gridSpan w:val="8"/>
                  <w:tcBorders>
                    <w:top w:val="nil"/>
                    <w:left w:val="nil"/>
                    <w:bottom w:val="nil"/>
                    <w:right w:val="nil"/>
                  </w:tcBorders>
                  <w:tcMar>
                    <w:top w:w="15" w:type="dxa"/>
                    <w:left w:w="15" w:type="dxa"/>
                    <w:right w:w="15" w:type="dxa"/>
                  </w:tcMar>
                  <w:vAlign w:val="center"/>
                </w:tcPr>
                <w:p>
                  <w:pPr>
                    <w:widowControl/>
                    <w:jc w:val="center"/>
                    <w:textAlignment w:val="center"/>
                    <w:rPr>
                      <w:rFonts w:ascii="宋体" w:hAnsi="宋体" w:cs="宋体"/>
                      <w:b/>
                      <w:color w:val="000000"/>
                      <w:sz w:val="32"/>
                      <w:szCs w:val="32"/>
                    </w:rPr>
                  </w:pPr>
                  <w:r>
                    <w:rPr>
                      <w:rFonts w:hint="eastAsia" w:ascii="方正小标宋_GBK" w:hAnsi="方正小标宋_GBK" w:eastAsia="方正小标宋_GBK" w:cs="方正小标宋_GBK"/>
                      <w:bCs/>
                      <w:color w:val="000000"/>
                      <w:kern w:val="0"/>
                      <w:sz w:val="32"/>
                      <w:szCs w:val="32"/>
                    </w:rPr>
                    <w:t>2020年度部门（单位）项目支出绩效自评表</w:t>
                  </w:r>
                </w:p>
              </w:tc>
            </w:tr>
            <w:tr>
              <w:tblPrEx>
                <w:tblLayout w:type="fixed"/>
                <w:tblCellMar>
                  <w:top w:w="0" w:type="dxa"/>
                  <w:left w:w="0" w:type="dxa"/>
                  <w:bottom w:w="0" w:type="dxa"/>
                  <w:right w:w="0" w:type="dxa"/>
                </w:tblCellMar>
              </w:tblPrEx>
              <w:trPr>
                <w:gridAfter w:val="6"/>
                <w:wAfter w:w="6000" w:type="dxa"/>
                <w:trHeight w:val="380" w:hRule="atLeast"/>
              </w:trPr>
              <w:tc>
                <w:tcPr>
                  <w:tcW w:w="8844" w:type="dxa"/>
                  <w:gridSpan w:val="8"/>
                  <w:tcBorders>
                    <w:top w:val="nil"/>
                    <w:left w:val="nil"/>
                    <w:bottom w:val="single" w:color="000000" w:sz="4" w:space="0"/>
                    <w:right w:val="nil"/>
                  </w:tcBorders>
                  <w:tcMar>
                    <w:top w:w="15" w:type="dxa"/>
                    <w:left w:w="15" w:type="dxa"/>
                    <w:right w:w="15" w:type="dxa"/>
                  </w:tcMar>
                  <w:vAlign w:val="center"/>
                </w:tcPr>
                <w:p>
                  <w:pPr>
                    <w:widowControl/>
                    <w:jc w:val="left"/>
                    <w:textAlignment w:val="center"/>
                    <w:rPr>
                      <w:rFonts w:ascii="宋体" w:hAnsi="宋体" w:cs="宋体"/>
                      <w:b/>
                      <w:color w:val="000000"/>
                      <w:sz w:val="20"/>
                      <w:szCs w:val="20"/>
                    </w:rPr>
                  </w:pPr>
                  <w:r>
                    <w:rPr>
                      <w:rFonts w:hint="eastAsia" w:ascii="宋体" w:hAnsi="宋体" w:cs="宋体"/>
                      <w:color w:val="000000"/>
                      <w:kern w:val="0"/>
                      <w:sz w:val="18"/>
                      <w:szCs w:val="18"/>
                    </w:rPr>
                    <w:t>填表单位（盖章）：重庆市綦江区篆塘中学</w:t>
                  </w:r>
                </w:p>
              </w:tc>
            </w:tr>
            <w:tr>
              <w:tblPrEx>
                <w:tblLayout w:type="fixed"/>
                <w:tblCellMar>
                  <w:top w:w="0" w:type="dxa"/>
                  <w:left w:w="0" w:type="dxa"/>
                  <w:bottom w:w="0" w:type="dxa"/>
                  <w:right w:w="0" w:type="dxa"/>
                </w:tblCellMar>
              </w:tblPrEx>
              <w:trPr>
                <w:gridAfter w:val="6"/>
                <w:wAfter w:w="6000" w:type="dxa"/>
                <w:trHeight w:val="645" w:hRule="atLeast"/>
              </w:trPr>
              <w:tc>
                <w:tcPr>
                  <w:tcW w:w="9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项目名称</w:t>
                  </w:r>
                </w:p>
              </w:tc>
              <w:tc>
                <w:tcPr>
                  <w:tcW w:w="345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运动场恢复建设</w:t>
                  </w:r>
                </w:p>
              </w:tc>
              <w:tc>
                <w:tcPr>
                  <w:tcW w:w="2014" w:type="dxa"/>
                  <w:gridSpan w:val="2"/>
                  <w:tcBorders>
                    <w:top w:val="single" w:color="000000" w:sz="4" w:space="0"/>
                    <w:left w:val="single" w:color="000000" w:sz="4" w:space="0"/>
                    <w:bottom w:val="single" w:color="000000" w:sz="4" w:space="0"/>
                    <w:right w:val="nil"/>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自评总分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（分</w:t>
                  </w:r>
                  <w:r>
                    <w:rPr>
                      <w:rFonts w:hint="eastAsia" w:ascii="宋体" w:hAnsi="宋体" w:cs="宋体"/>
                      <w:color w:val="000000"/>
                      <w:kern w:val="0"/>
                      <w:sz w:val="18"/>
                      <w:szCs w:val="18"/>
                      <w:lang w:eastAsia="zh-CN"/>
                    </w:rPr>
                    <w:t>）</w:t>
                  </w:r>
                </w:p>
              </w:tc>
              <w:tc>
                <w:tcPr>
                  <w:tcW w:w="242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93</w:t>
                  </w:r>
                </w:p>
              </w:tc>
            </w:tr>
            <w:tr>
              <w:tblPrEx>
                <w:tblLayout w:type="fixed"/>
                <w:tblCellMar>
                  <w:top w:w="0" w:type="dxa"/>
                  <w:left w:w="0" w:type="dxa"/>
                  <w:bottom w:w="0" w:type="dxa"/>
                  <w:right w:w="0" w:type="dxa"/>
                </w:tblCellMar>
              </w:tblPrEx>
              <w:trPr>
                <w:gridAfter w:val="6"/>
                <w:wAfter w:w="6000" w:type="dxa"/>
                <w:trHeight w:val="645" w:hRule="atLeast"/>
              </w:trPr>
              <w:tc>
                <w:tcPr>
                  <w:tcW w:w="9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业务主管部门</w:t>
                  </w:r>
                </w:p>
              </w:tc>
              <w:tc>
                <w:tcPr>
                  <w:tcW w:w="345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重庆市綦江区教育委员会</w:t>
                  </w:r>
                </w:p>
              </w:tc>
              <w:tc>
                <w:tcPr>
                  <w:tcW w:w="201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联系人</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及电话</w:t>
                  </w:r>
                </w:p>
              </w:tc>
              <w:tc>
                <w:tcPr>
                  <w:tcW w:w="242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陈梅13594327658</w:t>
                  </w:r>
                </w:p>
              </w:tc>
            </w:tr>
            <w:tr>
              <w:tblPrEx>
                <w:tblLayout w:type="fixed"/>
                <w:tblCellMar>
                  <w:top w:w="0" w:type="dxa"/>
                  <w:left w:w="0" w:type="dxa"/>
                  <w:bottom w:w="0" w:type="dxa"/>
                  <w:right w:w="0" w:type="dxa"/>
                </w:tblCellMar>
              </w:tblPrEx>
              <w:trPr>
                <w:gridAfter w:val="6"/>
                <w:wAfter w:w="6000" w:type="dxa"/>
                <w:trHeight w:val="480" w:hRule="atLeast"/>
              </w:trPr>
              <w:tc>
                <w:tcPr>
                  <w:tcW w:w="94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项目资金（万元）</w:t>
                  </w:r>
                </w:p>
              </w:tc>
              <w:tc>
                <w:tcPr>
                  <w:tcW w:w="1565"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pPr>
                    <w:rPr>
                      <w:rFonts w:ascii="宋体" w:hAnsi="宋体" w:cs="宋体"/>
                      <w:color w:val="000000"/>
                      <w:sz w:val="18"/>
                      <w:szCs w:val="18"/>
                    </w:rPr>
                  </w:pPr>
                </w:p>
              </w:tc>
              <w:tc>
                <w:tcPr>
                  <w:tcW w:w="1892" w:type="dxa"/>
                  <w:gridSpan w:val="2"/>
                  <w:tcBorders>
                    <w:top w:val="single" w:color="000000" w:sz="4" w:space="0"/>
                    <w:left w:val="single" w:color="000000" w:sz="4" w:space="0"/>
                    <w:bottom w:val="single" w:color="000000" w:sz="4" w:space="0"/>
                    <w:right w:val="nil"/>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全年预算数（A）</w:t>
                  </w:r>
                </w:p>
              </w:tc>
              <w:tc>
                <w:tcPr>
                  <w:tcW w:w="1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全年执行数（B）</w:t>
                  </w:r>
                </w:p>
              </w:tc>
              <w:tc>
                <w:tcPr>
                  <w:tcW w:w="9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执行率%（B/A）</w:t>
                  </w:r>
                </w:p>
              </w:tc>
              <w:tc>
                <w:tcPr>
                  <w:tcW w:w="242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执行率得分（分）</w:t>
                  </w:r>
                </w:p>
              </w:tc>
            </w:tr>
            <w:tr>
              <w:tblPrEx>
                <w:tblLayout w:type="fixed"/>
                <w:tblCellMar>
                  <w:top w:w="0" w:type="dxa"/>
                  <w:left w:w="0" w:type="dxa"/>
                  <w:bottom w:w="0" w:type="dxa"/>
                  <w:right w:w="0" w:type="dxa"/>
                </w:tblCellMar>
              </w:tblPrEx>
              <w:trPr>
                <w:gridAfter w:val="6"/>
                <w:wAfter w:w="6000" w:type="dxa"/>
                <w:trHeight w:val="360" w:hRule="atLeast"/>
              </w:trPr>
              <w:tc>
                <w:tcPr>
                  <w:tcW w:w="94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年度资金总额：</w:t>
                  </w:r>
                </w:p>
              </w:tc>
              <w:tc>
                <w:tcPr>
                  <w:tcW w:w="1892" w:type="dxa"/>
                  <w:gridSpan w:val="2"/>
                  <w:tcBorders>
                    <w:top w:val="single" w:color="000000" w:sz="4" w:space="0"/>
                    <w:left w:val="single" w:color="000000" w:sz="4" w:space="0"/>
                    <w:bottom w:val="single" w:color="000000" w:sz="4" w:space="0"/>
                    <w:right w:val="nil"/>
                  </w:tcBorders>
                  <w:tcMar>
                    <w:top w:w="15" w:type="dxa"/>
                    <w:left w:w="15" w:type="dxa"/>
                    <w:right w:w="15" w:type="dxa"/>
                  </w:tcMar>
                  <w:vAlign w:val="center"/>
                </w:tcPr>
                <w:p>
                  <w:pPr>
                    <w:jc w:val="center"/>
                    <w:rPr>
                      <w:rFonts w:ascii="宋体" w:hAnsi="宋体" w:cs="宋体"/>
                      <w:color w:val="000000"/>
                      <w:sz w:val="18"/>
                      <w:szCs w:val="18"/>
                    </w:rPr>
                  </w:pPr>
                </w:p>
              </w:tc>
              <w:tc>
                <w:tcPr>
                  <w:tcW w:w="1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9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42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r>
            <w:tr>
              <w:tblPrEx>
                <w:tblLayout w:type="fixed"/>
                <w:tblCellMar>
                  <w:top w:w="0" w:type="dxa"/>
                  <w:left w:w="0" w:type="dxa"/>
                  <w:bottom w:w="0" w:type="dxa"/>
                  <w:right w:w="0" w:type="dxa"/>
                </w:tblCellMar>
              </w:tblPrEx>
              <w:trPr>
                <w:gridAfter w:val="6"/>
                <w:wAfter w:w="6000" w:type="dxa"/>
                <w:trHeight w:val="360" w:hRule="atLeast"/>
              </w:trPr>
              <w:tc>
                <w:tcPr>
                  <w:tcW w:w="94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其中：中央补助</w:t>
                  </w:r>
                </w:p>
              </w:tc>
              <w:tc>
                <w:tcPr>
                  <w:tcW w:w="1892" w:type="dxa"/>
                  <w:gridSpan w:val="2"/>
                  <w:tcBorders>
                    <w:top w:val="single" w:color="000000" w:sz="4" w:space="0"/>
                    <w:left w:val="single" w:color="000000" w:sz="4" w:space="0"/>
                    <w:bottom w:val="single" w:color="000000" w:sz="4" w:space="0"/>
                    <w:right w:val="nil"/>
                  </w:tcBorders>
                  <w:tcMar>
                    <w:top w:w="15" w:type="dxa"/>
                    <w:left w:w="15" w:type="dxa"/>
                    <w:right w:w="15" w:type="dxa"/>
                  </w:tcMar>
                  <w:vAlign w:val="center"/>
                </w:tcPr>
                <w:p>
                  <w:pPr>
                    <w:jc w:val="center"/>
                    <w:rPr>
                      <w:rFonts w:ascii="宋体" w:hAnsi="宋体" w:cs="宋体"/>
                      <w:color w:val="000000"/>
                      <w:sz w:val="18"/>
                      <w:szCs w:val="18"/>
                    </w:rPr>
                  </w:pPr>
                </w:p>
              </w:tc>
              <w:tc>
                <w:tcPr>
                  <w:tcW w:w="1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9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42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w:t>
                  </w:r>
                </w:p>
              </w:tc>
            </w:tr>
            <w:tr>
              <w:tblPrEx>
                <w:tblLayout w:type="fixed"/>
                <w:tblCellMar>
                  <w:top w:w="0" w:type="dxa"/>
                  <w:left w:w="0" w:type="dxa"/>
                  <w:bottom w:w="0" w:type="dxa"/>
                  <w:right w:w="0" w:type="dxa"/>
                </w:tblCellMar>
              </w:tblPrEx>
              <w:trPr>
                <w:gridAfter w:val="6"/>
                <w:wAfter w:w="6000" w:type="dxa"/>
                <w:trHeight w:val="375" w:hRule="atLeast"/>
              </w:trPr>
              <w:tc>
                <w:tcPr>
                  <w:tcW w:w="94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 xml:space="preserve">     市级补助</w:t>
                  </w:r>
                </w:p>
              </w:tc>
              <w:tc>
                <w:tcPr>
                  <w:tcW w:w="1892" w:type="dxa"/>
                  <w:gridSpan w:val="2"/>
                  <w:tcBorders>
                    <w:top w:val="single" w:color="000000" w:sz="4" w:space="0"/>
                    <w:left w:val="single" w:color="000000" w:sz="4" w:space="0"/>
                    <w:bottom w:val="single" w:color="000000" w:sz="4" w:space="0"/>
                    <w:right w:val="nil"/>
                  </w:tcBorders>
                  <w:tcMar>
                    <w:top w:w="15" w:type="dxa"/>
                    <w:left w:w="15" w:type="dxa"/>
                    <w:right w:w="15" w:type="dxa"/>
                  </w:tcMar>
                  <w:vAlign w:val="center"/>
                </w:tcPr>
                <w:p>
                  <w:pPr>
                    <w:jc w:val="center"/>
                    <w:rPr>
                      <w:rFonts w:ascii="宋体" w:hAnsi="宋体" w:cs="宋体"/>
                      <w:color w:val="000000"/>
                      <w:sz w:val="18"/>
                      <w:szCs w:val="18"/>
                    </w:rPr>
                  </w:pPr>
                </w:p>
              </w:tc>
              <w:tc>
                <w:tcPr>
                  <w:tcW w:w="1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9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42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w:t>
                  </w:r>
                </w:p>
              </w:tc>
            </w:tr>
            <w:tr>
              <w:tblPrEx>
                <w:tblLayout w:type="fixed"/>
                <w:tblCellMar>
                  <w:top w:w="0" w:type="dxa"/>
                  <w:left w:w="0" w:type="dxa"/>
                  <w:bottom w:w="0" w:type="dxa"/>
                  <w:right w:w="0" w:type="dxa"/>
                </w:tblCellMar>
              </w:tblPrEx>
              <w:trPr>
                <w:gridAfter w:val="6"/>
                <w:wAfter w:w="6000" w:type="dxa"/>
                <w:trHeight w:val="420" w:hRule="atLeast"/>
              </w:trPr>
              <w:tc>
                <w:tcPr>
                  <w:tcW w:w="94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 xml:space="preserve">     区级资金</w:t>
                  </w:r>
                </w:p>
              </w:tc>
              <w:tc>
                <w:tcPr>
                  <w:tcW w:w="1892" w:type="dxa"/>
                  <w:gridSpan w:val="2"/>
                  <w:tcBorders>
                    <w:top w:val="single" w:color="000000" w:sz="4" w:space="0"/>
                    <w:left w:val="single" w:color="000000" w:sz="4" w:space="0"/>
                    <w:bottom w:val="single" w:color="000000" w:sz="4" w:space="0"/>
                    <w:right w:val="nil"/>
                  </w:tcBorders>
                  <w:tcMar>
                    <w:top w:w="15" w:type="dxa"/>
                    <w:left w:w="15"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47</w:t>
                  </w:r>
                </w:p>
              </w:tc>
              <w:tc>
                <w:tcPr>
                  <w:tcW w:w="1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9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42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w:t>
                  </w:r>
                </w:p>
              </w:tc>
            </w:tr>
            <w:tr>
              <w:tblPrEx>
                <w:tblLayout w:type="fixed"/>
                <w:tblCellMar>
                  <w:top w:w="0" w:type="dxa"/>
                  <w:left w:w="0" w:type="dxa"/>
                  <w:bottom w:w="0" w:type="dxa"/>
                  <w:right w:w="0" w:type="dxa"/>
                </w:tblCellMar>
              </w:tblPrEx>
              <w:trPr>
                <w:gridAfter w:val="6"/>
                <w:wAfter w:w="6000" w:type="dxa"/>
                <w:trHeight w:val="330" w:hRule="atLeast"/>
              </w:trPr>
              <w:tc>
                <w:tcPr>
                  <w:tcW w:w="94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1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 xml:space="preserve">     其他资金</w:t>
                  </w:r>
                </w:p>
              </w:tc>
              <w:tc>
                <w:tcPr>
                  <w:tcW w:w="1892" w:type="dxa"/>
                  <w:gridSpan w:val="2"/>
                  <w:tcBorders>
                    <w:top w:val="single" w:color="000000" w:sz="4" w:space="0"/>
                    <w:left w:val="single" w:color="000000" w:sz="4" w:space="0"/>
                    <w:bottom w:val="single" w:color="000000" w:sz="4" w:space="0"/>
                    <w:right w:val="nil"/>
                  </w:tcBorders>
                  <w:tcMar>
                    <w:top w:w="15" w:type="dxa"/>
                    <w:left w:w="15" w:type="dxa"/>
                    <w:right w:w="15" w:type="dxa"/>
                  </w:tcMar>
                  <w:vAlign w:val="center"/>
                </w:tcPr>
                <w:p>
                  <w:pPr>
                    <w:jc w:val="center"/>
                    <w:rPr>
                      <w:rFonts w:ascii="宋体" w:hAnsi="宋体" w:cs="宋体"/>
                      <w:color w:val="000000"/>
                      <w:sz w:val="18"/>
                      <w:szCs w:val="18"/>
                    </w:rPr>
                  </w:pPr>
                </w:p>
              </w:tc>
              <w:tc>
                <w:tcPr>
                  <w:tcW w:w="1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9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242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w:t>
                  </w:r>
                </w:p>
              </w:tc>
            </w:tr>
            <w:tr>
              <w:tblPrEx>
                <w:tblLayout w:type="fixed"/>
                <w:tblCellMar>
                  <w:top w:w="0" w:type="dxa"/>
                  <w:left w:w="0" w:type="dxa"/>
                  <w:bottom w:w="0" w:type="dxa"/>
                  <w:right w:w="0" w:type="dxa"/>
                </w:tblCellMar>
              </w:tblPrEx>
              <w:trPr>
                <w:gridAfter w:val="6"/>
                <w:wAfter w:w="6000" w:type="dxa"/>
                <w:trHeight w:val="510" w:hRule="atLeast"/>
              </w:trPr>
              <w:tc>
                <w:tcPr>
                  <w:tcW w:w="94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年度总体目标</w:t>
                  </w:r>
                </w:p>
              </w:tc>
              <w:tc>
                <w:tcPr>
                  <w:tcW w:w="345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年初设定目标</w:t>
                  </w:r>
                </w:p>
              </w:tc>
              <w:tc>
                <w:tcPr>
                  <w:tcW w:w="4440"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全年目标实际完成情况</w:t>
                  </w:r>
                </w:p>
              </w:tc>
            </w:tr>
            <w:tr>
              <w:tblPrEx>
                <w:tblLayout w:type="fixed"/>
                <w:tblCellMar>
                  <w:top w:w="0" w:type="dxa"/>
                  <w:left w:w="0" w:type="dxa"/>
                  <w:bottom w:w="0" w:type="dxa"/>
                  <w:right w:w="0" w:type="dxa"/>
                </w:tblCellMar>
              </w:tblPrEx>
              <w:trPr>
                <w:gridAfter w:val="6"/>
                <w:wAfter w:w="6000" w:type="dxa"/>
                <w:trHeight w:val="1246" w:hRule="atLeast"/>
              </w:trPr>
              <w:tc>
                <w:tcPr>
                  <w:tcW w:w="94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p>
              </w:tc>
              <w:tc>
                <w:tcPr>
                  <w:tcW w:w="3457"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r>
                    <w:rPr>
                      <w:rFonts w:hint="eastAsia" w:ascii="宋体" w:hAnsi="宋体" w:cs="宋体"/>
                      <w:color w:val="000000"/>
                      <w:sz w:val="18"/>
                      <w:szCs w:val="18"/>
                    </w:rPr>
                    <w:t>对校园运动场进行改造，铺设了塑胶运动场，改善了学生运动场地环境，切实解决了运动场情况，受到全体师生的一致好评。</w:t>
                  </w:r>
                </w:p>
              </w:tc>
              <w:tc>
                <w:tcPr>
                  <w:tcW w:w="4440"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cs="宋体"/>
                      <w:color w:val="000000"/>
                      <w:sz w:val="18"/>
                      <w:szCs w:val="18"/>
                    </w:rPr>
                  </w:pPr>
                  <w:r>
                    <w:rPr>
                      <w:rFonts w:hint="eastAsia" w:ascii="宋体" w:hAnsi="宋体" w:cs="宋体"/>
                      <w:color w:val="000000"/>
                      <w:sz w:val="18"/>
                      <w:szCs w:val="18"/>
                    </w:rPr>
                    <w:t>对校园运动场进行改造，铺设了塑胶运动场，改善了学生运动场地环境，切实解决了运动场情况，受到全体师生的一致好评，满意度达到</w:t>
                  </w:r>
                  <w:r>
                    <w:rPr>
                      <w:rFonts w:ascii="宋体" w:hAnsi="宋体" w:cs="宋体"/>
                      <w:color w:val="000000"/>
                      <w:sz w:val="18"/>
                      <w:szCs w:val="18"/>
                    </w:rPr>
                    <w:t>100%。</w:t>
                  </w:r>
                </w:p>
              </w:tc>
            </w:tr>
            <w:tr>
              <w:tblPrEx>
                <w:tblLayout w:type="fixed"/>
                <w:tblCellMar>
                  <w:top w:w="0" w:type="dxa"/>
                  <w:left w:w="0" w:type="dxa"/>
                  <w:bottom w:w="0" w:type="dxa"/>
                  <w:right w:w="0" w:type="dxa"/>
                </w:tblCellMar>
              </w:tblPrEx>
              <w:trPr>
                <w:gridAfter w:val="6"/>
                <w:wAfter w:w="6000" w:type="dxa"/>
                <w:trHeight w:val="645" w:hRule="atLeast"/>
              </w:trPr>
              <w:tc>
                <w:tcPr>
                  <w:tcW w:w="94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绩效指标</w:t>
                  </w:r>
                </w:p>
              </w:tc>
              <w:tc>
                <w:tcPr>
                  <w:tcW w:w="1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指标名称</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（三级指标）</w:t>
                  </w:r>
                </w:p>
              </w:tc>
              <w:tc>
                <w:tcPr>
                  <w:tcW w:w="9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计量单位</w:t>
                  </w:r>
                </w:p>
              </w:tc>
              <w:tc>
                <w:tcPr>
                  <w:tcW w:w="946"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指标权重</w:t>
                  </w:r>
                </w:p>
              </w:tc>
              <w:tc>
                <w:tcPr>
                  <w:tcW w:w="1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指标值</w:t>
                  </w:r>
                </w:p>
              </w:tc>
              <w:tc>
                <w:tcPr>
                  <w:tcW w:w="9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全年完成值</w:t>
                  </w:r>
                </w:p>
              </w:tc>
              <w:tc>
                <w:tcPr>
                  <w:tcW w:w="9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得分系数（%）</w:t>
                  </w:r>
                </w:p>
              </w:tc>
              <w:tc>
                <w:tcPr>
                  <w:tcW w:w="14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指标得分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（分</w:t>
                  </w:r>
                  <w:r>
                    <w:rPr>
                      <w:rFonts w:hint="eastAsia" w:ascii="宋体" w:hAnsi="宋体" w:cs="宋体"/>
                      <w:color w:val="000000"/>
                      <w:kern w:val="0"/>
                      <w:sz w:val="18"/>
                      <w:szCs w:val="18"/>
                      <w:lang w:eastAsia="zh-CN"/>
                    </w:rPr>
                    <w:t>）</w:t>
                  </w:r>
                </w:p>
              </w:tc>
            </w:tr>
            <w:tr>
              <w:tblPrEx>
                <w:tblLayout w:type="fixed"/>
                <w:tblCellMar>
                  <w:top w:w="0" w:type="dxa"/>
                  <w:left w:w="0" w:type="dxa"/>
                  <w:bottom w:w="0" w:type="dxa"/>
                  <w:right w:w="0" w:type="dxa"/>
                </w:tblCellMar>
              </w:tblPrEx>
              <w:trPr>
                <w:gridAfter w:val="6"/>
                <w:wAfter w:w="6000" w:type="dxa"/>
                <w:trHeight w:val="638" w:hRule="atLeast"/>
              </w:trPr>
              <w:tc>
                <w:tcPr>
                  <w:tcW w:w="94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改造维修面积</w:t>
                  </w:r>
                </w:p>
              </w:tc>
              <w:tc>
                <w:tcPr>
                  <w:tcW w:w="9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平方米</w:t>
                  </w:r>
                </w:p>
              </w:tc>
              <w:tc>
                <w:tcPr>
                  <w:tcW w:w="946"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30</w:t>
                  </w:r>
                </w:p>
              </w:tc>
              <w:tc>
                <w:tcPr>
                  <w:tcW w:w="1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2280</w:t>
                  </w:r>
                </w:p>
              </w:tc>
              <w:tc>
                <w:tcPr>
                  <w:tcW w:w="9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2280</w:t>
                  </w:r>
                </w:p>
              </w:tc>
              <w:tc>
                <w:tcPr>
                  <w:tcW w:w="9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100%</w:t>
                  </w:r>
                </w:p>
              </w:tc>
              <w:tc>
                <w:tcPr>
                  <w:tcW w:w="14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30</w:t>
                  </w:r>
                </w:p>
              </w:tc>
            </w:tr>
            <w:tr>
              <w:tblPrEx>
                <w:tblLayout w:type="fixed"/>
                <w:tblCellMar>
                  <w:top w:w="0" w:type="dxa"/>
                  <w:left w:w="0" w:type="dxa"/>
                  <w:bottom w:w="0" w:type="dxa"/>
                  <w:right w:w="0" w:type="dxa"/>
                </w:tblCellMar>
              </w:tblPrEx>
              <w:trPr>
                <w:gridAfter w:val="6"/>
                <w:wAfter w:w="6000" w:type="dxa"/>
                <w:trHeight w:val="541" w:hRule="atLeast"/>
              </w:trPr>
              <w:tc>
                <w:tcPr>
                  <w:tcW w:w="94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工程验收合格率</w:t>
                  </w:r>
                </w:p>
              </w:tc>
              <w:tc>
                <w:tcPr>
                  <w:tcW w:w="9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w:t>
                  </w:r>
                </w:p>
              </w:tc>
              <w:tc>
                <w:tcPr>
                  <w:tcW w:w="946"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5</w:t>
                  </w:r>
                </w:p>
              </w:tc>
              <w:tc>
                <w:tcPr>
                  <w:tcW w:w="1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100</w:t>
                  </w:r>
                </w:p>
              </w:tc>
              <w:tc>
                <w:tcPr>
                  <w:tcW w:w="9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0</w:t>
                  </w:r>
                </w:p>
              </w:tc>
              <w:tc>
                <w:tcPr>
                  <w:tcW w:w="9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100%</w:t>
                  </w:r>
                </w:p>
              </w:tc>
              <w:tc>
                <w:tcPr>
                  <w:tcW w:w="14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0</w:t>
                  </w:r>
                </w:p>
              </w:tc>
            </w:tr>
            <w:tr>
              <w:tblPrEx>
                <w:tblLayout w:type="fixed"/>
                <w:tblCellMar>
                  <w:top w:w="0" w:type="dxa"/>
                  <w:left w:w="0" w:type="dxa"/>
                  <w:bottom w:w="0" w:type="dxa"/>
                  <w:right w:w="0" w:type="dxa"/>
                </w:tblCellMar>
              </w:tblPrEx>
              <w:trPr>
                <w:gridAfter w:val="6"/>
                <w:wAfter w:w="6000" w:type="dxa"/>
                <w:trHeight w:val="492" w:hRule="atLeast"/>
              </w:trPr>
              <w:tc>
                <w:tcPr>
                  <w:tcW w:w="94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工程完成率</w:t>
                  </w:r>
                </w:p>
              </w:tc>
              <w:tc>
                <w:tcPr>
                  <w:tcW w:w="9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w:t>
                  </w:r>
                </w:p>
              </w:tc>
              <w:tc>
                <w:tcPr>
                  <w:tcW w:w="946"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5</w:t>
                  </w:r>
                </w:p>
              </w:tc>
              <w:tc>
                <w:tcPr>
                  <w:tcW w:w="1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100</w:t>
                  </w:r>
                </w:p>
              </w:tc>
              <w:tc>
                <w:tcPr>
                  <w:tcW w:w="9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0</w:t>
                  </w:r>
                </w:p>
              </w:tc>
              <w:tc>
                <w:tcPr>
                  <w:tcW w:w="9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100%</w:t>
                  </w:r>
                </w:p>
              </w:tc>
              <w:tc>
                <w:tcPr>
                  <w:tcW w:w="14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3</w:t>
                  </w:r>
                </w:p>
              </w:tc>
            </w:tr>
            <w:tr>
              <w:tblPrEx>
                <w:tblLayout w:type="fixed"/>
                <w:tblCellMar>
                  <w:top w:w="0" w:type="dxa"/>
                  <w:left w:w="0" w:type="dxa"/>
                  <w:bottom w:w="0" w:type="dxa"/>
                  <w:right w:w="0" w:type="dxa"/>
                </w:tblCellMar>
              </w:tblPrEx>
              <w:trPr>
                <w:gridAfter w:val="6"/>
                <w:wAfter w:w="6000" w:type="dxa"/>
                <w:trHeight w:val="592" w:hRule="atLeast"/>
              </w:trPr>
              <w:tc>
                <w:tcPr>
                  <w:tcW w:w="94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维修成本</w:t>
                  </w:r>
                </w:p>
              </w:tc>
              <w:tc>
                <w:tcPr>
                  <w:tcW w:w="9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元/平方</w:t>
                  </w:r>
                </w:p>
              </w:tc>
              <w:tc>
                <w:tcPr>
                  <w:tcW w:w="946"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20</w:t>
                  </w:r>
                </w:p>
              </w:tc>
              <w:tc>
                <w:tcPr>
                  <w:tcW w:w="1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200</w:t>
                  </w:r>
                </w:p>
              </w:tc>
              <w:tc>
                <w:tcPr>
                  <w:tcW w:w="9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100%</w:t>
                  </w:r>
                </w:p>
              </w:tc>
              <w:tc>
                <w:tcPr>
                  <w:tcW w:w="9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100%</w:t>
                  </w:r>
                </w:p>
              </w:tc>
              <w:tc>
                <w:tcPr>
                  <w:tcW w:w="14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20</w:t>
                  </w:r>
                </w:p>
              </w:tc>
            </w:tr>
            <w:tr>
              <w:tblPrEx>
                <w:tblLayout w:type="fixed"/>
                <w:tblCellMar>
                  <w:top w:w="0" w:type="dxa"/>
                  <w:left w:w="0" w:type="dxa"/>
                  <w:bottom w:w="0" w:type="dxa"/>
                  <w:right w:w="0" w:type="dxa"/>
                </w:tblCellMar>
              </w:tblPrEx>
              <w:trPr>
                <w:gridAfter w:val="6"/>
                <w:wAfter w:w="6000" w:type="dxa"/>
                <w:trHeight w:val="519" w:hRule="atLeast"/>
              </w:trPr>
              <w:tc>
                <w:tcPr>
                  <w:tcW w:w="94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师生满意率</w:t>
                  </w:r>
                </w:p>
              </w:tc>
              <w:tc>
                <w:tcPr>
                  <w:tcW w:w="9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w:t>
                  </w:r>
                </w:p>
              </w:tc>
              <w:tc>
                <w:tcPr>
                  <w:tcW w:w="946"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20</w:t>
                  </w:r>
                </w:p>
              </w:tc>
              <w:tc>
                <w:tcPr>
                  <w:tcW w:w="1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95</w:t>
                  </w:r>
                </w:p>
              </w:tc>
              <w:tc>
                <w:tcPr>
                  <w:tcW w:w="9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98%</w:t>
                  </w:r>
                </w:p>
              </w:tc>
              <w:tc>
                <w:tcPr>
                  <w:tcW w:w="9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100%</w:t>
                  </w:r>
                </w:p>
              </w:tc>
              <w:tc>
                <w:tcPr>
                  <w:tcW w:w="14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20</w:t>
                  </w:r>
                </w:p>
              </w:tc>
            </w:tr>
            <w:tr>
              <w:tblPrEx>
                <w:tblLayout w:type="fixed"/>
                <w:tblCellMar>
                  <w:top w:w="0" w:type="dxa"/>
                  <w:left w:w="0" w:type="dxa"/>
                  <w:bottom w:w="0" w:type="dxa"/>
                  <w:right w:w="0" w:type="dxa"/>
                </w:tblCellMar>
              </w:tblPrEx>
              <w:trPr>
                <w:gridAfter w:val="6"/>
                <w:wAfter w:w="6000" w:type="dxa"/>
                <w:trHeight w:val="574" w:hRule="atLeast"/>
              </w:trPr>
              <w:tc>
                <w:tcPr>
                  <w:tcW w:w="94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textDirection w:val="tbRlV"/>
                  <w:vAlign w:val="center"/>
                </w:tcPr>
                <w:p>
                  <w:pPr>
                    <w:jc w:val="center"/>
                    <w:rPr>
                      <w:rFonts w:ascii="宋体" w:hAnsi="宋体" w:cs="宋体"/>
                      <w:color w:val="000000"/>
                      <w:sz w:val="18"/>
                      <w:szCs w:val="18"/>
                    </w:rPr>
                  </w:pPr>
                </w:p>
              </w:tc>
              <w:tc>
                <w:tcPr>
                  <w:tcW w:w="15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社会满意率</w:t>
                  </w:r>
                </w:p>
              </w:tc>
              <w:tc>
                <w:tcPr>
                  <w:tcW w:w="94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w:t>
                  </w:r>
                </w:p>
              </w:tc>
              <w:tc>
                <w:tcPr>
                  <w:tcW w:w="946" w:type="dxa"/>
                  <w:tcBorders>
                    <w:top w:val="single" w:color="000000" w:sz="4" w:space="0"/>
                    <w:left w:val="single" w:color="000000" w:sz="4" w:space="0"/>
                    <w:bottom w:val="single" w:color="000000" w:sz="4" w:space="0"/>
                    <w:right w:val="nil"/>
                  </w:tcBorders>
                  <w:tcMar>
                    <w:top w:w="15" w:type="dxa"/>
                    <w:left w:w="15"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20</w:t>
                  </w:r>
                </w:p>
              </w:tc>
              <w:tc>
                <w:tcPr>
                  <w:tcW w:w="102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95</w:t>
                  </w:r>
                </w:p>
              </w:tc>
              <w:tc>
                <w:tcPr>
                  <w:tcW w:w="9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98%</w:t>
                  </w:r>
                </w:p>
              </w:tc>
              <w:tc>
                <w:tcPr>
                  <w:tcW w:w="9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100%</w:t>
                  </w:r>
                </w:p>
              </w:tc>
              <w:tc>
                <w:tcPr>
                  <w:tcW w:w="143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20</w:t>
                  </w:r>
                </w:p>
              </w:tc>
            </w:tr>
            <w:tr>
              <w:tblPrEx>
                <w:tblLayout w:type="fixed"/>
                <w:tblCellMar>
                  <w:top w:w="0" w:type="dxa"/>
                  <w:left w:w="0" w:type="dxa"/>
                  <w:bottom w:w="0" w:type="dxa"/>
                  <w:right w:w="0" w:type="dxa"/>
                </w:tblCellMar>
              </w:tblPrEx>
              <w:trPr>
                <w:trHeight w:val="2516" w:hRule="atLeast"/>
              </w:trPr>
              <w:tc>
                <w:tcPr>
                  <w:tcW w:w="94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未完成绩效目标或偏离较多的原因、改进措施及其他说明</w:t>
                  </w:r>
                </w:p>
              </w:tc>
              <w:tc>
                <w:tcPr>
                  <w:tcW w:w="7897" w:type="dxa"/>
                  <w:gridSpan w:val="7"/>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合同签订时间是2020年12月24日，合同中约定施工时间未2021年1月22日至2021年3月2日，由于工程未完工，故2020年未付款。</w:t>
                  </w:r>
                </w:p>
                <w:p>
                  <w:pPr>
                    <w:jc w:val="center"/>
                    <w:rPr>
                      <w:rFonts w:ascii="宋体" w:hAnsi="宋体" w:eastAsia="宋体" w:cs="宋体"/>
                      <w:color w:val="000000"/>
                      <w:sz w:val="20"/>
                      <w:szCs w:val="20"/>
                    </w:rPr>
                  </w:pPr>
                </w:p>
              </w:tc>
              <w:tc>
                <w:tcPr>
                  <w:tcW w:w="1000" w:type="dxa"/>
                  <w:vAlign w:val="center"/>
                </w:tcPr>
                <w:p>
                  <w:pPr>
                    <w:jc w:val="center"/>
                    <w:rPr>
                      <w:rFonts w:ascii="宋体" w:hAnsi="宋体" w:eastAsia="宋体" w:cs="宋体"/>
                      <w:color w:val="000000"/>
                      <w:sz w:val="20"/>
                      <w:szCs w:val="20"/>
                    </w:rPr>
                  </w:pPr>
                  <w:r>
                    <w:rPr>
                      <w:rFonts w:hint="eastAsia"/>
                      <w:color w:val="000000"/>
                      <w:sz w:val="20"/>
                      <w:szCs w:val="20"/>
                    </w:rPr>
                    <w:t>%</w:t>
                  </w:r>
                </w:p>
              </w:tc>
              <w:tc>
                <w:tcPr>
                  <w:tcW w:w="1000" w:type="dxa"/>
                  <w:vAlign w:val="center"/>
                </w:tcPr>
                <w:p>
                  <w:pPr>
                    <w:jc w:val="center"/>
                    <w:rPr>
                      <w:rFonts w:ascii="宋体" w:hAnsi="宋体" w:eastAsia="宋体" w:cs="宋体"/>
                      <w:color w:val="000000"/>
                      <w:sz w:val="20"/>
                      <w:szCs w:val="20"/>
                    </w:rPr>
                  </w:pPr>
                  <w:r>
                    <w:rPr>
                      <w:rFonts w:hint="eastAsia"/>
                      <w:color w:val="000000"/>
                      <w:sz w:val="20"/>
                      <w:szCs w:val="20"/>
                    </w:rPr>
                    <w:t>10</w:t>
                  </w:r>
                </w:p>
              </w:tc>
              <w:tc>
                <w:tcPr>
                  <w:tcW w:w="1000" w:type="dxa"/>
                  <w:vAlign w:val="center"/>
                </w:tcPr>
                <w:p>
                  <w:pPr>
                    <w:jc w:val="center"/>
                    <w:rPr>
                      <w:rFonts w:ascii="宋体" w:hAnsi="宋体" w:eastAsia="宋体" w:cs="宋体"/>
                      <w:color w:val="000000"/>
                      <w:sz w:val="20"/>
                      <w:szCs w:val="20"/>
                    </w:rPr>
                  </w:pPr>
                  <w:r>
                    <w:rPr>
                      <w:rFonts w:hint="eastAsia"/>
                      <w:color w:val="000000"/>
                      <w:sz w:val="20"/>
                      <w:szCs w:val="20"/>
                    </w:rPr>
                    <w:t>95</w:t>
                  </w:r>
                </w:p>
              </w:tc>
              <w:tc>
                <w:tcPr>
                  <w:tcW w:w="1000" w:type="dxa"/>
                  <w:vAlign w:val="center"/>
                </w:tcPr>
                <w:p>
                  <w:pPr>
                    <w:jc w:val="center"/>
                    <w:rPr>
                      <w:rFonts w:ascii="宋体" w:hAnsi="宋体" w:eastAsia="宋体" w:cs="宋体"/>
                      <w:color w:val="000000"/>
                      <w:sz w:val="20"/>
                      <w:szCs w:val="20"/>
                    </w:rPr>
                  </w:pPr>
                  <w:r>
                    <w:rPr>
                      <w:rFonts w:hint="eastAsia"/>
                      <w:color w:val="000000"/>
                      <w:sz w:val="20"/>
                      <w:szCs w:val="20"/>
                    </w:rPr>
                    <w:t>98%</w:t>
                  </w:r>
                </w:p>
              </w:tc>
              <w:tc>
                <w:tcPr>
                  <w:tcW w:w="1000" w:type="dxa"/>
                  <w:vAlign w:val="center"/>
                </w:tcPr>
                <w:p>
                  <w:pPr>
                    <w:jc w:val="center"/>
                    <w:rPr>
                      <w:rFonts w:ascii="宋体" w:hAnsi="宋体" w:eastAsia="宋体" w:cs="宋体"/>
                      <w:color w:val="000000"/>
                      <w:sz w:val="20"/>
                      <w:szCs w:val="20"/>
                    </w:rPr>
                  </w:pPr>
                  <w:r>
                    <w:rPr>
                      <w:rFonts w:hint="eastAsia"/>
                      <w:color w:val="000000"/>
                      <w:sz w:val="20"/>
                      <w:szCs w:val="20"/>
                    </w:rPr>
                    <w:t>100%</w:t>
                  </w:r>
                </w:p>
              </w:tc>
              <w:tc>
                <w:tcPr>
                  <w:tcW w:w="1000" w:type="dxa"/>
                  <w:vAlign w:val="center"/>
                </w:tcPr>
                <w:p>
                  <w:pPr>
                    <w:jc w:val="center"/>
                    <w:rPr>
                      <w:rFonts w:ascii="宋体" w:hAnsi="宋体" w:eastAsia="宋体" w:cs="宋体"/>
                      <w:color w:val="000000"/>
                      <w:sz w:val="20"/>
                      <w:szCs w:val="20"/>
                    </w:rPr>
                  </w:pPr>
                  <w:r>
                    <w:rPr>
                      <w:rFonts w:hint="eastAsia"/>
                      <w:color w:val="000000"/>
                      <w:sz w:val="20"/>
                      <w:szCs w:val="20"/>
                    </w:rPr>
                    <w:t>10</w:t>
                  </w:r>
                </w:p>
              </w:tc>
            </w:tr>
          </w:tbl>
          <w:p>
            <w:pPr>
              <w:widowControl/>
              <w:rPr>
                <w:rFonts w:ascii="宋体" w:hAnsi="宋体" w:eastAsia="宋体" w:cs="宋体"/>
                <w:b/>
                <w:bCs/>
                <w:color w:val="000000"/>
                <w:kern w:val="0"/>
                <w:sz w:val="32"/>
                <w:szCs w:val="32"/>
              </w:rPr>
            </w:pPr>
          </w:p>
        </w:tc>
      </w:tr>
    </w:tbl>
    <w:p>
      <w:pPr>
        <w:pStyle w:val="5"/>
        <w:spacing w:before="0" w:beforeAutospacing="0" w:after="0" w:afterAutospacing="0" w:line="600" w:lineRule="atLeast"/>
        <w:ind w:firstLine="643" w:firstLineChars="200"/>
        <w:rPr>
          <w:rFonts w:ascii="方正仿宋_GBK" w:hAnsi="仿宋" w:eastAsia="方正仿宋_GBK"/>
          <w:sz w:val="32"/>
          <w:szCs w:val="32"/>
        </w:rPr>
      </w:pPr>
      <w:r>
        <w:rPr>
          <w:rStyle w:val="7"/>
          <w:rFonts w:hint="eastAsia" w:ascii="方正仿宋_GBK" w:hAnsi="仿宋" w:eastAsia="方正仿宋_GBK"/>
          <w:sz w:val="32"/>
          <w:szCs w:val="32"/>
        </w:rPr>
        <w:t>2.绩效自评报告或案例</w:t>
      </w:r>
    </w:p>
    <w:p>
      <w:pPr>
        <w:pStyle w:val="5"/>
        <w:spacing w:before="0" w:beforeAutospacing="0" w:after="0" w:afterAutospacing="0" w:line="600" w:lineRule="atLeast"/>
        <w:ind w:firstLine="640" w:firstLineChars="200"/>
        <w:rPr>
          <w:rFonts w:ascii="方正仿宋_GBK" w:hAnsi="仿宋" w:eastAsia="方正仿宋_GBK"/>
          <w:sz w:val="32"/>
          <w:szCs w:val="32"/>
        </w:rPr>
      </w:pPr>
      <w:r>
        <w:rPr>
          <w:rFonts w:hint="eastAsia" w:ascii="方正仿宋_GBK" w:hAnsi="仿宋" w:eastAsia="方正仿宋_GBK"/>
          <w:sz w:val="32"/>
          <w:szCs w:val="32"/>
        </w:rPr>
        <w:t>本单位未委托第三方开展绩效评价。</w:t>
      </w:r>
    </w:p>
    <w:p>
      <w:pPr>
        <w:pStyle w:val="5"/>
        <w:spacing w:before="0" w:beforeAutospacing="0" w:after="0" w:afterAutospacing="0" w:line="600" w:lineRule="atLeast"/>
        <w:ind w:firstLine="643" w:firstLineChars="200"/>
        <w:rPr>
          <w:rFonts w:ascii="方正楷体_GBK" w:hAnsi="楷体" w:eastAsia="方正楷体_GBK"/>
          <w:sz w:val="32"/>
          <w:szCs w:val="32"/>
        </w:rPr>
      </w:pPr>
      <w:r>
        <w:rPr>
          <w:rStyle w:val="7"/>
          <w:rFonts w:hint="eastAsia" w:ascii="方正楷体_GBK" w:hAnsi="楷体" w:eastAsia="方正楷体_GBK"/>
          <w:sz w:val="32"/>
          <w:szCs w:val="32"/>
        </w:rPr>
        <w:t>（三）重点绩效评价结果</w:t>
      </w:r>
    </w:p>
    <w:p>
      <w:pPr>
        <w:pStyle w:val="5"/>
        <w:spacing w:before="0" w:beforeAutospacing="0" w:after="0" w:afterAutospacing="0" w:line="600" w:lineRule="atLeast"/>
        <w:ind w:firstLine="640" w:firstLineChars="200"/>
        <w:rPr>
          <w:rFonts w:ascii="方正仿宋_GBK" w:hAnsi="仿宋" w:eastAsia="方正仿宋_GBK"/>
          <w:sz w:val="32"/>
          <w:szCs w:val="32"/>
        </w:rPr>
      </w:pPr>
      <w:r>
        <w:rPr>
          <w:rFonts w:hint="eastAsia" w:ascii="方正仿宋_GBK" w:hAnsi="仿宋" w:eastAsia="方正仿宋_GBK"/>
          <w:sz w:val="32"/>
          <w:szCs w:val="32"/>
        </w:rPr>
        <w:t>本单位未委托第三方开展绩效评价。</w:t>
      </w:r>
    </w:p>
    <w:p>
      <w:pPr>
        <w:pStyle w:val="5"/>
        <w:spacing w:before="0" w:beforeAutospacing="0" w:after="0" w:afterAutospacing="0" w:line="600" w:lineRule="atLeast"/>
        <w:ind w:firstLine="643" w:firstLineChars="200"/>
        <w:rPr>
          <w:rFonts w:ascii="方正黑体_GBK" w:hAnsi="黑体" w:eastAsia="方正黑体_GBK"/>
          <w:sz w:val="32"/>
          <w:szCs w:val="32"/>
        </w:rPr>
      </w:pPr>
      <w:r>
        <w:rPr>
          <w:rStyle w:val="7"/>
          <w:rFonts w:hint="eastAsia" w:ascii="方正黑体_GBK" w:hAnsi="黑体" w:eastAsia="方正黑体_GBK"/>
          <w:sz w:val="32"/>
          <w:szCs w:val="32"/>
        </w:rPr>
        <w:t>六、专业名词解释</w:t>
      </w:r>
    </w:p>
    <w:p>
      <w:pPr>
        <w:pStyle w:val="5"/>
        <w:spacing w:before="0" w:beforeAutospacing="0" w:after="0" w:afterAutospacing="0" w:line="600" w:lineRule="atLeast"/>
        <w:ind w:firstLine="643" w:firstLineChars="200"/>
        <w:rPr>
          <w:rFonts w:ascii="方正仿宋_GBK" w:hAnsi="仿宋" w:eastAsia="方正仿宋_GBK"/>
          <w:sz w:val="32"/>
          <w:szCs w:val="32"/>
        </w:rPr>
      </w:pPr>
      <w:r>
        <w:rPr>
          <w:rStyle w:val="7"/>
          <w:rFonts w:hint="eastAsia" w:ascii="方正楷体_GBK" w:hAnsi="楷体" w:eastAsia="方正楷体_GBK"/>
          <w:sz w:val="32"/>
          <w:szCs w:val="32"/>
        </w:rPr>
        <w:t>（一）财政拨款收入</w:t>
      </w:r>
      <w:r>
        <w:rPr>
          <w:rFonts w:hint="eastAsia" w:ascii="方正仿宋_GBK" w:hAnsi="楷体" w:eastAsia="方正仿宋_GBK"/>
          <w:sz w:val="32"/>
          <w:szCs w:val="32"/>
        </w:rPr>
        <w:t>：</w:t>
      </w:r>
      <w:r>
        <w:rPr>
          <w:rFonts w:hint="eastAsia" w:ascii="方正仿宋_GBK" w:hAnsi="仿宋" w:eastAsia="方正仿宋_GBK"/>
          <w:sz w:val="32"/>
          <w:szCs w:val="32"/>
        </w:rPr>
        <w:t>指本年度从本级财政部门取得的财政拨款，包括一般公共预算财政拨款和政府性基金预算财政拨款。</w:t>
      </w:r>
    </w:p>
    <w:p>
      <w:pPr>
        <w:pStyle w:val="5"/>
        <w:spacing w:before="0" w:beforeAutospacing="0" w:after="0" w:afterAutospacing="0" w:line="600" w:lineRule="atLeast"/>
        <w:ind w:firstLine="643" w:firstLineChars="200"/>
        <w:rPr>
          <w:rFonts w:ascii="方正仿宋_GBK" w:hAnsi="仿宋" w:eastAsia="方正仿宋_GBK"/>
          <w:sz w:val="32"/>
          <w:szCs w:val="32"/>
        </w:rPr>
      </w:pPr>
      <w:r>
        <w:rPr>
          <w:rStyle w:val="7"/>
          <w:rFonts w:hint="eastAsia" w:ascii="方正楷体_GBK" w:hAnsi="楷体" w:eastAsia="方正楷体_GBK"/>
          <w:sz w:val="32"/>
          <w:szCs w:val="32"/>
        </w:rPr>
        <w:t>（二）事业收入</w:t>
      </w:r>
      <w:r>
        <w:rPr>
          <w:rFonts w:hint="eastAsia" w:ascii="方正仿宋_GBK" w:hAnsi="楷体" w:eastAsia="方正仿宋_GBK"/>
          <w:sz w:val="32"/>
          <w:szCs w:val="32"/>
        </w:rPr>
        <w:t>：</w:t>
      </w:r>
      <w:r>
        <w:rPr>
          <w:rFonts w:hint="eastAsia" w:ascii="方正仿宋_GBK" w:hAnsi="仿宋" w:eastAsia="方正仿宋_GBK"/>
          <w:sz w:val="32"/>
          <w:szCs w:val="32"/>
        </w:rPr>
        <w:t>指事业单位开展专业业务活动及其辅助活动取得的现金流入；事业单位收到的财政专户实际核拨的教育收费等资金在此反映。</w:t>
      </w:r>
    </w:p>
    <w:p>
      <w:pPr>
        <w:pStyle w:val="5"/>
        <w:spacing w:before="0" w:beforeAutospacing="0" w:after="0" w:afterAutospacing="0" w:line="600" w:lineRule="atLeast"/>
        <w:ind w:firstLine="643" w:firstLineChars="200"/>
        <w:rPr>
          <w:rFonts w:ascii="方正仿宋_GBK" w:hAnsi="仿宋" w:eastAsia="方正仿宋_GBK"/>
          <w:sz w:val="32"/>
          <w:szCs w:val="32"/>
        </w:rPr>
      </w:pPr>
      <w:r>
        <w:rPr>
          <w:rStyle w:val="7"/>
          <w:rFonts w:hint="eastAsia" w:ascii="方正楷体_GBK" w:hAnsi="楷体" w:eastAsia="方正楷体_GBK"/>
          <w:sz w:val="32"/>
          <w:szCs w:val="32"/>
        </w:rPr>
        <w:t>（三）经营收入</w:t>
      </w:r>
      <w:r>
        <w:rPr>
          <w:rFonts w:hint="eastAsia" w:ascii="方正仿宋_GBK" w:hAnsi="楷体" w:eastAsia="方正仿宋_GBK"/>
          <w:sz w:val="32"/>
          <w:szCs w:val="32"/>
        </w:rPr>
        <w:t>：</w:t>
      </w:r>
      <w:r>
        <w:rPr>
          <w:rFonts w:hint="eastAsia" w:ascii="方正仿宋_GBK" w:hAnsi="仿宋" w:eastAsia="方正仿宋_GBK"/>
          <w:sz w:val="32"/>
          <w:szCs w:val="32"/>
        </w:rPr>
        <w:t>指事业单位在专业业务活动及其辅助活动之外开展非独立核算经营活动取得的现金流入。</w:t>
      </w:r>
    </w:p>
    <w:p>
      <w:pPr>
        <w:pStyle w:val="5"/>
        <w:spacing w:before="0" w:beforeAutospacing="0" w:after="0" w:afterAutospacing="0" w:line="600" w:lineRule="atLeast"/>
        <w:ind w:firstLine="643" w:firstLineChars="200"/>
        <w:rPr>
          <w:rFonts w:ascii="方正仿宋_GBK" w:hAnsi="仿宋" w:eastAsia="方正仿宋_GBK"/>
          <w:sz w:val="32"/>
          <w:szCs w:val="32"/>
        </w:rPr>
      </w:pPr>
      <w:r>
        <w:rPr>
          <w:rStyle w:val="7"/>
          <w:rFonts w:hint="eastAsia" w:ascii="方正楷体_GBK" w:hAnsi="楷体" w:eastAsia="方正楷体_GBK"/>
          <w:sz w:val="32"/>
          <w:szCs w:val="32"/>
        </w:rPr>
        <w:t>（四）其他收入</w:t>
      </w:r>
      <w:r>
        <w:rPr>
          <w:rFonts w:hint="eastAsia" w:ascii="方正仿宋_GBK" w:hAnsi="楷体" w:eastAsia="方正仿宋_GBK"/>
          <w:sz w:val="32"/>
          <w:szCs w:val="32"/>
        </w:rPr>
        <w:t>：</w:t>
      </w:r>
      <w:r>
        <w:rPr>
          <w:rFonts w:hint="eastAsia" w:ascii="方正仿宋_GBK" w:hAnsi="仿宋" w:eastAsia="方正仿宋_GBK"/>
          <w:sz w:val="32"/>
          <w:szCs w:val="32"/>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5"/>
        <w:spacing w:before="0" w:beforeAutospacing="0" w:after="0" w:afterAutospacing="0" w:line="600" w:lineRule="atLeast"/>
        <w:ind w:firstLine="643" w:firstLineChars="200"/>
        <w:rPr>
          <w:rFonts w:ascii="方正仿宋_GBK" w:hAnsi="仿宋" w:eastAsia="方正仿宋_GBK"/>
          <w:sz w:val="32"/>
          <w:szCs w:val="32"/>
        </w:rPr>
      </w:pPr>
      <w:r>
        <w:rPr>
          <w:rStyle w:val="7"/>
          <w:rFonts w:hint="eastAsia" w:ascii="方正楷体_GBK" w:hAnsi="楷体" w:eastAsia="方正楷体_GBK"/>
          <w:sz w:val="32"/>
          <w:szCs w:val="32"/>
        </w:rPr>
        <w:t>（五）使用非财政拨款结余</w:t>
      </w:r>
      <w:r>
        <w:rPr>
          <w:rFonts w:hint="eastAsia" w:ascii="方正仿宋_GBK" w:hAnsi="楷体" w:eastAsia="方正仿宋_GBK"/>
          <w:sz w:val="32"/>
          <w:szCs w:val="32"/>
        </w:rPr>
        <w:t>：</w:t>
      </w:r>
      <w:r>
        <w:rPr>
          <w:rFonts w:hint="eastAsia" w:ascii="方正仿宋_GBK" w:hAnsi="仿宋" w:eastAsia="方正仿宋_GBK"/>
          <w:sz w:val="32"/>
          <w:szCs w:val="32"/>
        </w:rPr>
        <w:t>指单位在当年的“财政拨款收入”、“事业收入”、“经营收入”、“其他收入”等不足以安排当年支出的情况下，使用以前年度积累的非财政拨款结余弥补本年度收支缺口的资金。</w:t>
      </w:r>
    </w:p>
    <w:p>
      <w:pPr>
        <w:pStyle w:val="5"/>
        <w:spacing w:before="0" w:beforeAutospacing="0" w:after="0" w:afterAutospacing="0" w:line="600" w:lineRule="atLeast"/>
        <w:ind w:firstLine="643" w:firstLineChars="200"/>
        <w:rPr>
          <w:rFonts w:ascii="方正仿宋_GBK" w:hAnsi="仿宋" w:eastAsia="方正仿宋_GBK"/>
          <w:sz w:val="32"/>
          <w:szCs w:val="32"/>
        </w:rPr>
      </w:pPr>
      <w:r>
        <w:rPr>
          <w:rStyle w:val="7"/>
          <w:rFonts w:hint="eastAsia" w:ascii="方正楷体_GBK" w:hAnsi="楷体" w:eastAsia="方正楷体_GBK"/>
          <w:sz w:val="32"/>
          <w:szCs w:val="32"/>
        </w:rPr>
        <w:t>（六）年初结转和结余</w:t>
      </w:r>
      <w:r>
        <w:rPr>
          <w:rFonts w:hint="eastAsia" w:ascii="方正仿宋_GBK" w:hAnsi="楷体" w:eastAsia="方正仿宋_GBK"/>
          <w:sz w:val="32"/>
          <w:szCs w:val="32"/>
        </w:rPr>
        <w:t>：</w:t>
      </w:r>
      <w:r>
        <w:rPr>
          <w:rFonts w:hint="eastAsia" w:ascii="方正仿宋_GBK" w:hAnsi="仿宋" w:eastAsia="方正仿宋_GBK"/>
          <w:sz w:val="32"/>
          <w:szCs w:val="32"/>
        </w:rPr>
        <w:t>指单位上年结转本年使用的基本支出结转、项目支出结转和结余、经营结余。</w:t>
      </w:r>
    </w:p>
    <w:p>
      <w:pPr>
        <w:pStyle w:val="5"/>
        <w:spacing w:before="0" w:beforeAutospacing="0" w:after="0" w:afterAutospacing="0" w:line="600" w:lineRule="atLeast"/>
        <w:ind w:firstLine="643" w:firstLineChars="200"/>
        <w:rPr>
          <w:rFonts w:ascii="方正仿宋_GBK" w:hAnsi="仿宋" w:eastAsia="方正仿宋_GBK"/>
          <w:sz w:val="32"/>
          <w:szCs w:val="32"/>
        </w:rPr>
      </w:pPr>
      <w:r>
        <w:rPr>
          <w:rStyle w:val="7"/>
          <w:rFonts w:hint="eastAsia" w:ascii="方正楷体_GBK" w:hAnsi="楷体" w:eastAsia="方正楷体_GBK"/>
          <w:sz w:val="32"/>
          <w:szCs w:val="32"/>
        </w:rPr>
        <w:t>（七）结余分配</w:t>
      </w:r>
      <w:r>
        <w:rPr>
          <w:rFonts w:hint="eastAsia" w:ascii="方正仿宋_GBK" w:hAnsi="楷体" w:eastAsia="方正仿宋_GBK"/>
          <w:sz w:val="32"/>
          <w:szCs w:val="32"/>
        </w:rPr>
        <w:t>：</w:t>
      </w:r>
      <w:r>
        <w:rPr>
          <w:rFonts w:hint="eastAsia" w:ascii="方正仿宋_GBK" w:hAnsi="仿宋" w:eastAsia="方正仿宋_GBK"/>
          <w:sz w:val="32"/>
          <w:szCs w:val="32"/>
        </w:rPr>
        <w:t>指单位按照国家有关规定，缴纳所得税、提取专用基金、转入非财政拨款结余等当年结余的分配情况。</w:t>
      </w:r>
    </w:p>
    <w:p>
      <w:pPr>
        <w:pStyle w:val="5"/>
        <w:spacing w:before="0" w:beforeAutospacing="0" w:after="0" w:afterAutospacing="0" w:line="600" w:lineRule="atLeast"/>
        <w:ind w:firstLine="643" w:firstLineChars="200"/>
        <w:rPr>
          <w:rFonts w:ascii="方正仿宋_GBK" w:hAnsi="仿宋" w:eastAsia="方正仿宋_GBK"/>
          <w:sz w:val="32"/>
          <w:szCs w:val="32"/>
        </w:rPr>
      </w:pPr>
      <w:r>
        <w:rPr>
          <w:rStyle w:val="7"/>
          <w:rFonts w:hint="eastAsia" w:ascii="方正楷体_GBK" w:hAnsi="楷体" w:eastAsia="方正楷体_GBK"/>
          <w:sz w:val="32"/>
          <w:szCs w:val="32"/>
        </w:rPr>
        <w:t>（八）年末结转和结余</w:t>
      </w:r>
      <w:r>
        <w:rPr>
          <w:rFonts w:hint="eastAsia" w:ascii="方正仿宋_GBK" w:hAnsi="楷体" w:eastAsia="方正仿宋_GBK"/>
          <w:sz w:val="32"/>
          <w:szCs w:val="32"/>
        </w:rPr>
        <w:t>：</w:t>
      </w:r>
      <w:r>
        <w:rPr>
          <w:rFonts w:hint="eastAsia" w:ascii="方正仿宋_GBK" w:hAnsi="仿宋" w:eastAsia="方正仿宋_GBK"/>
          <w:sz w:val="32"/>
          <w:szCs w:val="32"/>
        </w:rPr>
        <w:t>指单位结转下年的基本支出结转、项目支出结转和结余、经营结余。</w:t>
      </w:r>
    </w:p>
    <w:p>
      <w:pPr>
        <w:pStyle w:val="5"/>
        <w:spacing w:before="0" w:beforeAutospacing="0" w:after="0" w:afterAutospacing="0" w:line="600" w:lineRule="atLeast"/>
        <w:ind w:firstLine="643" w:firstLineChars="200"/>
        <w:rPr>
          <w:rFonts w:ascii="方正仿宋_GBK" w:hAnsi="仿宋" w:eastAsia="方正仿宋_GBK"/>
          <w:sz w:val="32"/>
          <w:szCs w:val="32"/>
        </w:rPr>
      </w:pPr>
      <w:r>
        <w:rPr>
          <w:rStyle w:val="7"/>
          <w:rFonts w:hint="eastAsia" w:ascii="方正楷体_GBK" w:hAnsi="楷体" w:eastAsia="方正楷体_GBK"/>
          <w:sz w:val="32"/>
          <w:szCs w:val="32"/>
        </w:rPr>
        <w:t>（九）基本支出</w:t>
      </w:r>
      <w:r>
        <w:rPr>
          <w:rFonts w:hint="eastAsia" w:ascii="方正仿宋_GBK" w:hAnsi="楷体" w:eastAsia="方正仿宋_GBK"/>
          <w:sz w:val="32"/>
          <w:szCs w:val="32"/>
        </w:rPr>
        <w:t>：</w:t>
      </w:r>
      <w:r>
        <w:rPr>
          <w:rFonts w:hint="eastAsia" w:ascii="方正仿宋_GBK" w:hAnsi="仿宋" w:eastAsia="方正仿宋_GBK"/>
          <w:sz w:val="32"/>
          <w:szCs w:val="32"/>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5"/>
        <w:spacing w:before="0" w:beforeAutospacing="0" w:after="0" w:afterAutospacing="0" w:line="600" w:lineRule="atLeast"/>
        <w:ind w:firstLine="643" w:firstLineChars="200"/>
        <w:rPr>
          <w:rFonts w:ascii="方正仿宋_GBK" w:hAnsi="仿宋" w:eastAsia="方正仿宋_GBK"/>
          <w:sz w:val="32"/>
          <w:szCs w:val="32"/>
        </w:rPr>
      </w:pPr>
      <w:r>
        <w:rPr>
          <w:rStyle w:val="7"/>
          <w:rFonts w:hint="eastAsia" w:ascii="方正楷体_GBK" w:hAnsi="楷体" w:eastAsia="方正楷体_GBK"/>
          <w:sz w:val="32"/>
          <w:szCs w:val="32"/>
        </w:rPr>
        <w:t>（十）项目支出</w:t>
      </w:r>
      <w:r>
        <w:rPr>
          <w:rFonts w:hint="eastAsia" w:ascii="方正仿宋_GBK" w:hAnsi="楷体" w:eastAsia="方正仿宋_GBK"/>
          <w:sz w:val="32"/>
          <w:szCs w:val="32"/>
        </w:rPr>
        <w:t>：</w:t>
      </w:r>
      <w:r>
        <w:rPr>
          <w:rFonts w:hint="eastAsia" w:ascii="方正仿宋_GBK" w:hAnsi="仿宋" w:eastAsia="方正仿宋_GBK"/>
          <w:sz w:val="32"/>
          <w:szCs w:val="32"/>
        </w:rPr>
        <w:t>指在基本支出之外为完成特定行政任务和事业发展目标所发生的支出。</w:t>
      </w:r>
    </w:p>
    <w:p>
      <w:pPr>
        <w:pStyle w:val="5"/>
        <w:spacing w:before="0" w:beforeAutospacing="0" w:after="0" w:afterAutospacing="0" w:line="600" w:lineRule="atLeast"/>
        <w:ind w:firstLine="643" w:firstLineChars="200"/>
        <w:rPr>
          <w:rFonts w:ascii="方正仿宋_GBK" w:hAnsi="仿宋" w:eastAsia="方正仿宋_GBK"/>
          <w:sz w:val="32"/>
          <w:szCs w:val="32"/>
        </w:rPr>
      </w:pPr>
      <w:r>
        <w:rPr>
          <w:rStyle w:val="7"/>
          <w:rFonts w:hint="eastAsia" w:ascii="方正楷体_GBK" w:hAnsi="楷体" w:eastAsia="方正楷体_GBK"/>
          <w:sz w:val="32"/>
          <w:szCs w:val="32"/>
        </w:rPr>
        <w:t>（十一）经营支出</w:t>
      </w:r>
      <w:r>
        <w:rPr>
          <w:rFonts w:hint="eastAsia" w:ascii="方正仿宋_GBK" w:hAnsi="楷体" w:eastAsia="方正仿宋_GBK"/>
          <w:sz w:val="32"/>
          <w:szCs w:val="32"/>
        </w:rPr>
        <w:t>：</w:t>
      </w:r>
      <w:r>
        <w:rPr>
          <w:rFonts w:hint="eastAsia" w:ascii="方正仿宋_GBK" w:hAnsi="仿宋" w:eastAsia="方正仿宋_GBK"/>
          <w:sz w:val="32"/>
          <w:szCs w:val="32"/>
        </w:rPr>
        <w:t>指事业单位在专业业务活动及其辅助活动之外开展非独立核算经营活动发生的支出。</w:t>
      </w:r>
    </w:p>
    <w:p>
      <w:pPr>
        <w:pStyle w:val="5"/>
        <w:spacing w:before="0" w:beforeAutospacing="0" w:after="0" w:afterAutospacing="0" w:line="600" w:lineRule="atLeast"/>
        <w:ind w:firstLine="643" w:firstLineChars="200"/>
        <w:rPr>
          <w:rFonts w:ascii="方正仿宋_GBK" w:hAnsi="仿宋" w:eastAsia="方正仿宋_GBK"/>
          <w:sz w:val="32"/>
          <w:szCs w:val="32"/>
        </w:rPr>
      </w:pPr>
      <w:r>
        <w:rPr>
          <w:rStyle w:val="7"/>
          <w:rFonts w:hint="eastAsia" w:ascii="方正楷体_GBK" w:hAnsi="楷体" w:eastAsia="方正楷体_GBK"/>
          <w:sz w:val="32"/>
          <w:szCs w:val="32"/>
        </w:rPr>
        <w:t>（十二）“三公”经费</w:t>
      </w:r>
      <w:r>
        <w:rPr>
          <w:rFonts w:hint="eastAsia" w:ascii="方正仿宋_GBK" w:hAnsi="楷体" w:eastAsia="方正仿宋_GBK"/>
          <w:sz w:val="32"/>
          <w:szCs w:val="32"/>
        </w:rPr>
        <w:t>：</w:t>
      </w:r>
      <w:r>
        <w:rPr>
          <w:rFonts w:hint="eastAsia" w:ascii="方正仿宋_GBK" w:hAnsi="仿宋" w:eastAsia="方正仿宋_GBK"/>
          <w:sz w:val="32"/>
          <w:szCs w:val="32"/>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5"/>
        <w:spacing w:before="0" w:beforeAutospacing="0" w:after="0" w:afterAutospacing="0" w:line="600" w:lineRule="atLeast"/>
        <w:ind w:firstLine="643" w:firstLineChars="200"/>
        <w:rPr>
          <w:rFonts w:ascii="方正仿宋_GBK" w:hAnsi="仿宋" w:eastAsia="方正仿宋_GBK"/>
          <w:sz w:val="32"/>
          <w:szCs w:val="32"/>
        </w:rPr>
      </w:pPr>
      <w:r>
        <w:rPr>
          <w:rStyle w:val="7"/>
          <w:rFonts w:hint="eastAsia" w:ascii="方正楷体_GBK" w:hAnsi="楷体" w:eastAsia="方正楷体_GBK"/>
          <w:sz w:val="32"/>
          <w:szCs w:val="32"/>
        </w:rPr>
        <w:t>（十三）机关运行经费</w:t>
      </w:r>
      <w:r>
        <w:rPr>
          <w:rFonts w:hint="eastAsia" w:ascii="方正仿宋_GBK" w:hAnsi="楷体" w:eastAsia="方正仿宋_GBK"/>
          <w:sz w:val="32"/>
          <w:szCs w:val="32"/>
        </w:rPr>
        <w:t>：</w:t>
      </w:r>
      <w:r>
        <w:rPr>
          <w:rFonts w:hint="eastAsia" w:ascii="方正仿宋_GBK" w:hAnsi="仿宋" w:eastAsia="方正仿宋_GBK"/>
          <w:sz w:val="32"/>
          <w:szCs w:val="32"/>
        </w:rPr>
        <w:t>为保障行政单位（含参照公务员法管理的事业单位）运行用于购买货物和服务等的各项公用经费，包括办公及印刷费、邮电费、差旅费、会议费、福利费、日常维护 费、专用材料及一般设备购置费、办公用房水电费、办公用房取暖费、办公用房物业管理费、公务用车运行维护费以及其他费用。</w:t>
      </w:r>
    </w:p>
    <w:p>
      <w:pPr>
        <w:pStyle w:val="5"/>
        <w:spacing w:before="0" w:beforeAutospacing="0" w:after="0" w:afterAutospacing="0" w:line="600" w:lineRule="atLeast"/>
        <w:ind w:firstLine="643" w:firstLineChars="200"/>
        <w:rPr>
          <w:rFonts w:ascii="方正仿宋_GBK" w:hAnsi="仿宋" w:eastAsia="方正仿宋_GBK"/>
          <w:sz w:val="32"/>
          <w:szCs w:val="32"/>
        </w:rPr>
      </w:pPr>
      <w:r>
        <w:rPr>
          <w:rStyle w:val="7"/>
          <w:rFonts w:hint="eastAsia" w:ascii="方正楷体_GBK" w:hAnsi="楷体" w:eastAsia="方正楷体_GBK"/>
          <w:sz w:val="32"/>
          <w:szCs w:val="32"/>
        </w:rPr>
        <w:t>（十四）工资福利支出（支出经济分类科目类级）</w:t>
      </w:r>
      <w:r>
        <w:rPr>
          <w:rFonts w:hint="eastAsia" w:ascii="方正仿宋_GBK" w:hAnsi="楷体" w:eastAsia="方正仿宋_GBK"/>
          <w:sz w:val="32"/>
          <w:szCs w:val="32"/>
        </w:rPr>
        <w:t>：</w:t>
      </w:r>
      <w:r>
        <w:rPr>
          <w:rFonts w:hint="eastAsia" w:ascii="方正仿宋_GBK" w:hAnsi="仿宋" w:eastAsia="方正仿宋_GBK"/>
          <w:sz w:val="32"/>
          <w:szCs w:val="32"/>
        </w:rPr>
        <w:t>反映单位开支的在职职工和编制外长期聘用人员的各类劳动报酬，以及为上述人员缴纳的各项社会保险费等。</w:t>
      </w:r>
    </w:p>
    <w:p>
      <w:pPr>
        <w:pStyle w:val="5"/>
        <w:spacing w:before="0" w:beforeAutospacing="0" w:after="0" w:afterAutospacing="0" w:line="600" w:lineRule="atLeast"/>
        <w:ind w:firstLine="643" w:firstLineChars="200"/>
        <w:rPr>
          <w:rFonts w:ascii="方正仿宋_GBK" w:hAnsi="仿宋" w:eastAsia="方正仿宋_GBK"/>
          <w:sz w:val="32"/>
          <w:szCs w:val="32"/>
        </w:rPr>
      </w:pPr>
      <w:r>
        <w:rPr>
          <w:rStyle w:val="7"/>
          <w:rFonts w:hint="eastAsia" w:ascii="方正楷体_GBK" w:hAnsi="楷体" w:eastAsia="方正楷体_GBK"/>
          <w:sz w:val="32"/>
          <w:szCs w:val="32"/>
        </w:rPr>
        <w:t>（十五）商品和服务支出（支出经济分类科目类级）</w:t>
      </w:r>
      <w:r>
        <w:rPr>
          <w:rFonts w:hint="eastAsia" w:ascii="方正仿宋_GBK" w:hAnsi="楷体" w:eastAsia="方正仿宋_GBK"/>
          <w:sz w:val="32"/>
          <w:szCs w:val="32"/>
        </w:rPr>
        <w:t>：</w:t>
      </w:r>
      <w:r>
        <w:rPr>
          <w:rFonts w:hint="eastAsia" w:ascii="方正仿宋_GBK" w:hAnsi="仿宋" w:eastAsia="方正仿宋_GBK"/>
          <w:sz w:val="32"/>
          <w:szCs w:val="32"/>
        </w:rPr>
        <w:t>反映单位购买商品和服务的支出（不包括用于购置固定资产的支出、战略性和应急储备支出）。</w:t>
      </w:r>
    </w:p>
    <w:p>
      <w:pPr>
        <w:pStyle w:val="5"/>
        <w:spacing w:before="0" w:beforeAutospacing="0" w:after="0" w:afterAutospacing="0" w:line="600" w:lineRule="atLeast"/>
        <w:ind w:firstLine="643" w:firstLineChars="200"/>
        <w:rPr>
          <w:rFonts w:ascii="方正仿宋_GBK" w:hAnsi="仿宋" w:eastAsia="方正仿宋_GBK"/>
          <w:sz w:val="32"/>
          <w:szCs w:val="32"/>
        </w:rPr>
      </w:pPr>
      <w:r>
        <w:rPr>
          <w:rStyle w:val="7"/>
          <w:rFonts w:hint="eastAsia" w:ascii="方正楷体_GBK" w:hAnsi="楷体" w:eastAsia="方正楷体_GBK"/>
          <w:sz w:val="32"/>
          <w:szCs w:val="32"/>
        </w:rPr>
        <w:t>（十六）对个人和家庭的补助（支出经济分类科目类级）</w:t>
      </w:r>
      <w:r>
        <w:rPr>
          <w:rFonts w:hint="eastAsia" w:ascii="方正仿宋_GBK" w:hAnsi="楷体" w:eastAsia="方正仿宋_GBK"/>
          <w:sz w:val="32"/>
          <w:szCs w:val="32"/>
        </w:rPr>
        <w:t>：</w:t>
      </w:r>
      <w:r>
        <w:rPr>
          <w:rFonts w:hint="eastAsia" w:ascii="方正仿宋_GBK" w:hAnsi="仿宋" w:eastAsia="方正仿宋_GBK"/>
          <w:sz w:val="32"/>
          <w:szCs w:val="32"/>
        </w:rPr>
        <w:t>反映用于对个人和家庭的补助支出。</w:t>
      </w:r>
    </w:p>
    <w:p>
      <w:pPr>
        <w:pStyle w:val="5"/>
        <w:spacing w:before="0" w:beforeAutospacing="0" w:after="0" w:afterAutospacing="0" w:line="600" w:lineRule="atLeast"/>
        <w:ind w:firstLine="643" w:firstLineChars="200"/>
        <w:rPr>
          <w:rFonts w:ascii="方正仿宋_GBK" w:hAnsi="仿宋" w:eastAsia="方正仿宋_GBK"/>
          <w:sz w:val="32"/>
          <w:szCs w:val="32"/>
        </w:rPr>
      </w:pPr>
      <w:r>
        <w:rPr>
          <w:rStyle w:val="7"/>
          <w:rFonts w:hint="eastAsia" w:ascii="方正楷体_GBK" w:hAnsi="楷体" w:eastAsia="方正楷体_GBK"/>
          <w:sz w:val="32"/>
          <w:szCs w:val="32"/>
        </w:rPr>
        <w:t>（十七）其他资本性支出（支出经济分类科目类级）</w:t>
      </w:r>
      <w:r>
        <w:rPr>
          <w:rFonts w:hint="eastAsia" w:ascii="方正仿宋_GBK" w:hAnsi="楷体" w:eastAsia="方正仿宋_GBK"/>
          <w:sz w:val="32"/>
          <w:szCs w:val="32"/>
        </w:rPr>
        <w:t>：</w:t>
      </w:r>
      <w:r>
        <w:rPr>
          <w:rFonts w:hint="eastAsia" w:ascii="方正仿宋_GBK" w:hAnsi="仿宋" w:eastAsia="方正仿宋_GBK"/>
          <w:sz w:val="32"/>
          <w:szCs w:val="32"/>
        </w:rPr>
        <w:t>反映非各级发展与改革部门集中安排的用于购置固定资产、战略性和应急性储备、土地和无形资产，以及构建基础设施、大型修缮和财政支持企业更新改造所发生的支出。</w:t>
      </w:r>
    </w:p>
    <w:p>
      <w:pPr>
        <w:pStyle w:val="5"/>
        <w:spacing w:before="0" w:beforeAutospacing="0" w:after="0" w:afterAutospacing="0" w:line="600" w:lineRule="atLeast"/>
        <w:ind w:firstLine="643" w:firstLineChars="200"/>
        <w:rPr>
          <w:rFonts w:ascii="方正黑体_GBK" w:hAnsi="黑体" w:eastAsia="方正黑体_GBK"/>
          <w:sz w:val="32"/>
          <w:szCs w:val="32"/>
        </w:rPr>
      </w:pPr>
      <w:r>
        <w:rPr>
          <w:rStyle w:val="7"/>
          <w:rFonts w:hint="eastAsia" w:ascii="方正黑体_GBK" w:hAnsi="黑体" w:eastAsia="方正黑体_GBK"/>
          <w:sz w:val="32"/>
          <w:szCs w:val="32"/>
        </w:rPr>
        <w:t>七、决算公开联系方式及信息反馈渠道</w:t>
      </w:r>
    </w:p>
    <w:p>
      <w:pPr>
        <w:pStyle w:val="5"/>
        <w:spacing w:before="0" w:beforeAutospacing="0" w:after="0" w:afterAutospacing="0" w:line="600" w:lineRule="atLeast"/>
        <w:ind w:firstLine="640" w:firstLineChars="200"/>
        <w:rPr>
          <w:rFonts w:ascii="方正仿宋_GBK" w:hAnsi="仿宋" w:eastAsia="方正仿宋_GBK"/>
          <w:sz w:val="32"/>
          <w:szCs w:val="32"/>
        </w:rPr>
      </w:pPr>
      <w:r>
        <w:rPr>
          <w:rFonts w:hint="eastAsia" w:ascii="方正仿宋_GBK" w:hAnsi="仿宋" w:eastAsia="方正仿宋_GBK"/>
          <w:sz w:val="32"/>
          <w:szCs w:val="32"/>
        </w:rPr>
        <w:t>本单位决算公开信息反馈和联系方式：023-48229086</w:t>
      </w:r>
    </w:p>
    <w:sectPr>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_GBK">
    <w:panose1 w:val="03000509000000000000"/>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FA42A2"/>
    <w:multiLevelType w:val="singleLevel"/>
    <w:tmpl w:val="5FFA42A2"/>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ZmMzdmZjM2Y2U4ZjNkM2M2OWM1MjEyNjBmZDE0Y2YifQ=="/>
  </w:docVars>
  <w:rsids>
    <w:rsidRoot w:val="00E12977"/>
    <w:rsid w:val="000213A8"/>
    <w:rsid w:val="00027E08"/>
    <w:rsid w:val="000452A1"/>
    <w:rsid w:val="00077EA2"/>
    <w:rsid w:val="00097BA8"/>
    <w:rsid w:val="00117636"/>
    <w:rsid w:val="00146D99"/>
    <w:rsid w:val="0017182A"/>
    <w:rsid w:val="00182F69"/>
    <w:rsid w:val="00184EEA"/>
    <w:rsid w:val="00212AEA"/>
    <w:rsid w:val="002672DA"/>
    <w:rsid w:val="003004F9"/>
    <w:rsid w:val="00307FC0"/>
    <w:rsid w:val="00382857"/>
    <w:rsid w:val="0038583D"/>
    <w:rsid w:val="004573A7"/>
    <w:rsid w:val="004B30B6"/>
    <w:rsid w:val="0050023A"/>
    <w:rsid w:val="005A53C0"/>
    <w:rsid w:val="00666FFD"/>
    <w:rsid w:val="00671486"/>
    <w:rsid w:val="006B4488"/>
    <w:rsid w:val="006B464F"/>
    <w:rsid w:val="006B6B05"/>
    <w:rsid w:val="007565A6"/>
    <w:rsid w:val="007772F4"/>
    <w:rsid w:val="007A0BA1"/>
    <w:rsid w:val="007C284C"/>
    <w:rsid w:val="007C3C4C"/>
    <w:rsid w:val="007C455F"/>
    <w:rsid w:val="007C5E44"/>
    <w:rsid w:val="007F69E8"/>
    <w:rsid w:val="00817BD8"/>
    <w:rsid w:val="00865954"/>
    <w:rsid w:val="008B1FA2"/>
    <w:rsid w:val="008D0C2F"/>
    <w:rsid w:val="008E7BA8"/>
    <w:rsid w:val="00904555"/>
    <w:rsid w:val="00941466"/>
    <w:rsid w:val="00957A4B"/>
    <w:rsid w:val="00980FE1"/>
    <w:rsid w:val="00A217D4"/>
    <w:rsid w:val="00A803E4"/>
    <w:rsid w:val="00B14E3A"/>
    <w:rsid w:val="00BD365F"/>
    <w:rsid w:val="00BD6189"/>
    <w:rsid w:val="00BE43A1"/>
    <w:rsid w:val="00C02A65"/>
    <w:rsid w:val="00C15451"/>
    <w:rsid w:val="00C36CE1"/>
    <w:rsid w:val="00C8647F"/>
    <w:rsid w:val="00CE0EA6"/>
    <w:rsid w:val="00E12977"/>
    <w:rsid w:val="00EA4CEA"/>
    <w:rsid w:val="00F01ADA"/>
    <w:rsid w:val="00F076D0"/>
    <w:rsid w:val="00F337B5"/>
    <w:rsid w:val="00FB1DCD"/>
    <w:rsid w:val="00FD7795"/>
    <w:rsid w:val="00FF5173"/>
    <w:rsid w:val="00FF7C53"/>
    <w:rsid w:val="16E431D3"/>
    <w:rsid w:val="39B474A3"/>
    <w:rsid w:val="3A646BE3"/>
    <w:rsid w:val="5C413847"/>
    <w:rsid w:val="716E7D5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0"/>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9">
    <w:name w:val="页眉 Char"/>
    <w:basedOn w:val="6"/>
    <w:link w:val="4"/>
    <w:semiHidden/>
    <w:qFormat/>
    <w:uiPriority w:val="99"/>
    <w:rPr>
      <w:sz w:val="18"/>
      <w:szCs w:val="18"/>
    </w:rPr>
  </w:style>
  <w:style w:type="character" w:customStyle="1" w:styleId="10">
    <w:name w:val="页脚 Char"/>
    <w:basedOn w:val="6"/>
    <w:link w:val="3"/>
    <w:qFormat/>
    <w:uiPriority w:val="0"/>
    <w:rPr>
      <w:sz w:val="18"/>
      <w:szCs w:val="18"/>
    </w:r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6047</Words>
  <Characters>6799</Characters>
  <Lines>50</Lines>
  <Paragraphs>14</Paragraphs>
  <TotalTime>480</TotalTime>
  <ScaleCrop>false</ScaleCrop>
  <LinksUpToDate>false</LinksUpToDate>
  <CharactersWithSpaces>6840</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2022-08-27T00:59:00Z</dcterms:created>
  <dc:creator>Administrator</dc:creator>
  <cp:lastModifiedBy>Administrator</cp:lastModifiedBy>
  <dcterms:modified xsi:type="dcterms:W3CDTF">2024-11-14T03:23:01Z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y fmtid="{D5CDD505-2E9C-101B-9397-08002B2CF9AE}" pid="3" name="ICV">
    <vt:lpwstr>BDC0FAB308F24E95BCAFF0D74F505776</vt:lpwstr>
  </property>
</Properties>
</file>