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Autospacing="0" w:afterAutospacing="0" w:line="600" w:lineRule="atLeast"/>
        <w:ind w:right="60"/>
        <w:jc w:val="center"/>
        <w:rPr>
          <w:rFonts w:ascii="方正小标宋_GBK" w:eastAsia="方正小标宋_GBK"/>
          <w:sz w:val="44"/>
          <w:szCs w:val="44"/>
        </w:rPr>
      </w:pPr>
      <w:r>
        <w:rPr>
          <w:rFonts w:hint="eastAsia" w:ascii="方正小标宋_GBK" w:hAnsi="宋体" w:eastAsia="方正小标宋_GBK" w:cs="宋体"/>
          <w:sz w:val="44"/>
          <w:szCs w:val="44"/>
          <w:shd w:val="clear" w:color="auto" w:fill="FFFFFF"/>
        </w:rPr>
        <w:t>重庆市綦江区分水小学</w:t>
      </w:r>
    </w:p>
    <w:p>
      <w:pPr>
        <w:pStyle w:val="4"/>
        <w:widowControl/>
        <w:spacing w:beforeAutospacing="0" w:afterAutospacing="0" w:line="600" w:lineRule="atLeast"/>
        <w:ind w:right="60"/>
        <w:jc w:val="center"/>
        <w:rPr>
          <w:rFonts w:ascii="方正小标宋_GBK" w:eastAsia="方正小标宋_GBK"/>
          <w:sz w:val="44"/>
          <w:szCs w:val="44"/>
        </w:rPr>
      </w:pPr>
      <w:r>
        <w:rPr>
          <w:rFonts w:hint="eastAsia" w:ascii="方正小标宋_GBK" w:hAnsi="宋体" w:eastAsia="方正小标宋_GBK" w:cs="宋体"/>
          <w:sz w:val="44"/>
          <w:szCs w:val="44"/>
          <w:shd w:val="clear" w:color="auto" w:fill="FFFFFF"/>
        </w:rPr>
        <w:t>2020年度部门决算</w:t>
      </w:r>
      <w:r>
        <w:rPr>
          <w:rFonts w:hint="eastAsia" w:ascii="方正小标宋_GBK" w:hAnsi="宋体" w:eastAsia="方正小标宋_GBK" w:cs="宋体"/>
          <w:sz w:val="44"/>
          <w:szCs w:val="44"/>
          <w:shd w:val="clear" w:color="auto" w:fill="FFFFFF"/>
          <w:lang w:eastAsia="zh-CN"/>
        </w:rPr>
        <w:t>公开</w:t>
      </w:r>
      <w:r>
        <w:rPr>
          <w:rFonts w:hint="eastAsia" w:ascii="方正小标宋_GBK" w:hAnsi="宋体" w:eastAsia="方正小标宋_GBK" w:cs="宋体"/>
          <w:sz w:val="44"/>
          <w:szCs w:val="44"/>
          <w:shd w:val="clear" w:color="auto" w:fill="FFFFFF"/>
        </w:rPr>
        <w:t>说明</w:t>
      </w:r>
    </w:p>
    <w:p>
      <w:pPr>
        <w:pStyle w:val="4"/>
        <w:widowControl/>
        <w:spacing w:beforeAutospacing="0" w:afterAutospacing="0" w:line="600" w:lineRule="atLeast"/>
        <w:ind w:right="60"/>
      </w:pPr>
      <w:r>
        <w:rPr>
          <w:sz w:val="14"/>
          <w:szCs w:val="14"/>
          <w:shd w:val="clear" w:color="auto" w:fill="FFFFFF"/>
        </w:rPr>
        <w:t> </w:t>
      </w:r>
    </w:p>
    <w:p>
      <w:pPr>
        <w:pStyle w:val="4"/>
        <w:widowControl/>
        <w:spacing w:beforeAutospacing="0" w:afterAutospacing="0" w:line="600" w:lineRule="atLeast"/>
        <w:ind w:right="60" w:firstLine="643" w:firstLineChars="200"/>
        <w:rPr>
          <w:rFonts w:ascii="方正黑体_GBK" w:eastAsia="方正黑体_GBK"/>
          <w:sz w:val="32"/>
          <w:szCs w:val="32"/>
        </w:rPr>
      </w:pPr>
      <w:r>
        <w:rPr>
          <w:rStyle w:val="7"/>
          <w:rFonts w:hint="eastAsia" w:ascii="方正黑体_GBK" w:hAnsi="宋体" w:eastAsia="方正黑体_GBK" w:cs="宋体"/>
          <w:sz w:val="32"/>
          <w:szCs w:val="32"/>
          <w:shd w:val="clear" w:color="auto" w:fill="FFFFFF"/>
        </w:rPr>
        <w:t>一、部门基本情况</w:t>
      </w:r>
    </w:p>
    <w:p>
      <w:pPr>
        <w:widowControl/>
        <w:shd w:val="clear" w:color="auto" w:fill="FFFFFF"/>
        <w:spacing w:line="600" w:lineRule="atLeast"/>
        <w:ind w:firstLine="640" w:firstLineChars="200"/>
        <w:jc w:val="left"/>
        <w:rPr>
          <w:rFonts w:ascii="方正仿宋_GBK" w:eastAsia="方正仿宋_GBK" w:cs="仿宋_GB2312"/>
          <w:color w:val="000000"/>
          <w:sz w:val="32"/>
          <w:szCs w:val="32"/>
          <w:shd w:val="clear" w:color="auto" w:fill="FFFFFF"/>
        </w:rPr>
      </w:pPr>
      <w:r>
        <w:rPr>
          <w:rFonts w:hint="eastAsia" w:ascii="方正仿宋_GBK" w:hAnsi="仿宋" w:eastAsia="方正仿宋_GBK" w:cs="仿宋_GB2312"/>
          <w:sz w:val="32"/>
          <w:szCs w:val="32"/>
          <w:shd w:val="clear" w:color="auto" w:fill="FFFFFF"/>
        </w:rPr>
        <w:t>本单位是全额拨款事业单位。</w:t>
      </w:r>
      <w:r>
        <w:rPr>
          <w:rFonts w:hint="eastAsia" w:ascii="方正仿宋_GBK" w:hAnsi="Calibri" w:eastAsia="方正仿宋_GBK" w:cs="仿宋_GB2312"/>
          <w:color w:val="000000"/>
          <w:sz w:val="32"/>
          <w:szCs w:val="32"/>
          <w:shd w:val="clear" w:color="auto" w:fill="FFFFFF"/>
        </w:rPr>
        <w:t>本校为实施小学义务教育的全日制公办教育机构，具有法人资格，独立承担民事责任。学校面向镇教育行政部门规定的区域范围进行招生，招生对象为辖区内健康适龄学生，主要职责是实施初中义务教育，促进基础教育发展，初中义务教育，教育人，培养人，使其个性全面发展。</w:t>
      </w:r>
    </w:p>
    <w:p>
      <w:pPr>
        <w:pStyle w:val="4"/>
        <w:widowControl/>
        <w:spacing w:beforeAutospacing="0" w:afterAutospacing="0" w:line="600" w:lineRule="atLeast"/>
        <w:ind w:right="60" w:firstLine="643" w:firstLineChars="200"/>
        <w:rPr>
          <w:rFonts w:ascii="方正楷体_GBK" w:eastAsia="方正楷体_GBK"/>
          <w:sz w:val="32"/>
          <w:szCs w:val="32"/>
        </w:rPr>
      </w:pPr>
      <w:r>
        <w:rPr>
          <w:rStyle w:val="7"/>
          <w:rFonts w:hint="eastAsia" w:ascii="方正楷体_GBK" w:hAnsi="宋体" w:eastAsia="方正楷体_GBK" w:cs="宋体"/>
          <w:sz w:val="32"/>
          <w:szCs w:val="32"/>
          <w:shd w:val="clear" w:color="auto" w:fill="FFFFFF"/>
        </w:rPr>
        <w:t>（一）职能职责</w:t>
      </w:r>
    </w:p>
    <w:p>
      <w:pPr>
        <w:widowControl/>
        <w:shd w:val="clear" w:color="auto" w:fill="FFFFFF"/>
        <w:spacing w:line="600" w:lineRule="atLeast"/>
        <w:ind w:firstLine="640" w:firstLineChars="200"/>
        <w:jc w:val="left"/>
        <w:rPr>
          <w:rFonts w:ascii="方正仿宋_GBK" w:eastAsia="方正仿宋_GBK" w:cs="仿宋_GB2312"/>
          <w:color w:val="000000"/>
          <w:sz w:val="32"/>
          <w:szCs w:val="32"/>
          <w:shd w:val="clear" w:color="auto" w:fill="FFFFFF"/>
        </w:rPr>
      </w:pPr>
      <w:r>
        <w:rPr>
          <w:rFonts w:hint="eastAsia" w:ascii="方正仿宋_GBK" w:hAnsi="Calibri" w:eastAsia="方正仿宋_GBK" w:cs="仿宋_GB2312"/>
          <w:color w:val="000000"/>
          <w:sz w:val="32"/>
          <w:szCs w:val="32"/>
          <w:shd w:val="clear" w:color="auto" w:fill="FFFFFF"/>
        </w:rPr>
        <w:t>1.以校本培训为核心，以小班化教学为抓手，以提高教育教学质量为根本，建设特色校园文化，使学校办学水平上一个新台阶。</w:t>
      </w:r>
    </w:p>
    <w:p>
      <w:pPr>
        <w:widowControl/>
        <w:shd w:val="clear" w:color="auto" w:fill="FFFFFF"/>
        <w:spacing w:line="600" w:lineRule="atLeast"/>
        <w:ind w:firstLine="640" w:firstLineChars="200"/>
        <w:jc w:val="left"/>
        <w:rPr>
          <w:rFonts w:ascii="方正仿宋_GBK" w:eastAsia="方正仿宋_GBK" w:cs="仿宋_GB2312"/>
          <w:color w:val="000000"/>
          <w:sz w:val="32"/>
          <w:szCs w:val="32"/>
          <w:shd w:val="clear" w:color="auto" w:fill="FFFFFF"/>
        </w:rPr>
      </w:pPr>
      <w:r>
        <w:rPr>
          <w:rFonts w:hint="eastAsia" w:ascii="方正仿宋_GBK" w:hAnsi="Calibri" w:eastAsia="方正仿宋_GBK" w:cs="仿宋_GB2312"/>
          <w:color w:val="000000"/>
          <w:sz w:val="32"/>
          <w:szCs w:val="32"/>
          <w:shd w:val="clear" w:color="auto" w:fill="FFFFFF"/>
        </w:rPr>
        <w:t>2.注重校园基础设施的建设，打造舒适的育人环境。</w:t>
      </w:r>
    </w:p>
    <w:p>
      <w:pPr>
        <w:widowControl/>
        <w:shd w:val="clear" w:color="auto" w:fill="FFFFFF"/>
        <w:spacing w:line="600" w:lineRule="atLeast"/>
        <w:ind w:firstLine="640" w:firstLineChars="200"/>
        <w:jc w:val="left"/>
        <w:rPr>
          <w:rFonts w:ascii="方正仿宋_GBK" w:eastAsia="方正仿宋_GBK" w:cs="仿宋_GB2312"/>
          <w:color w:val="000000"/>
          <w:sz w:val="32"/>
          <w:szCs w:val="32"/>
          <w:shd w:val="clear" w:color="auto" w:fill="FFFFFF"/>
        </w:rPr>
      </w:pPr>
      <w:r>
        <w:rPr>
          <w:rFonts w:hint="eastAsia" w:ascii="方正仿宋_GBK" w:hAnsi="Calibri" w:eastAsia="方正仿宋_GBK" w:cs="仿宋_GB2312"/>
          <w:color w:val="000000"/>
          <w:sz w:val="32"/>
          <w:szCs w:val="32"/>
          <w:shd w:val="clear" w:color="auto" w:fill="FFFFFF"/>
        </w:rPr>
        <w:t>3.做实校本培训、确保全员参训、落实培训经费。主要是让教师全员参与国培、市培、区培和校级培训活动，覆盖率达到100%，合格率达100%。</w:t>
      </w:r>
    </w:p>
    <w:p>
      <w:pPr>
        <w:widowControl/>
        <w:shd w:val="clear" w:color="auto" w:fill="FFFFFF"/>
        <w:spacing w:line="600" w:lineRule="atLeast"/>
        <w:ind w:firstLine="640" w:firstLineChars="200"/>
        <w:jc w:val="left"/>
        <w:rPr>
          <w:rFonts w:ascii="方正仿宋_GBK" w:hAnsi="宋体" w:eastAsia="方正仿宋_GBK" w:cs="宋体"/>
          <w:kern w:val="0"/>
          <w:sz w:val="32"/>
          <w:szCs w:val="32"/>
          <w:shd w:val="clear" w:color="auto" w:fill="FFFFFF"/>
        </w:rPr>
      </w:pPr>
      <w:r>
        <w:rPr>
          <w:rFonts w:hint="eastAsia" w:ascii="方正仿宋_GBK" w:hAnsi="Calibri" w:eastAsia="方正仿宋_GBK" w:cs="仿宋_GB2312"/>
          <w:color w:val="000000"/>
          <w:sz w:val="32"/>
          <w:szCs w:val="32"/>
          <w:shd w:val="clear" w:color="auto" w:fill="FFFFFF"/>
        </w:rPr>
        <w:t>4.建立健全学校章程、管理制度，使学校的管理有法可依，让学校真正走上依法治校的轨迹。</w:t>
      </w:r>
      <w:r>
        <w:rPr>
          <w:rFonts w:hint="eastAsia" w:ascii="宋体" w:hAnsi="宋体" w:eastAsia="方正仿宋_GBK" w:cs="宋体"/>
          <w:kern w:val="0"/>
          <w:sz w:val="32"/>
          <w:szCs w:val="32"/>
          <w:shd w:val="clear" w:color="auto" w:fill="FFFFFF"/>
        </w:rPr>
        <w:t> </w:t>
      </w:r>
    </w:p>
    <w:p>
      <w:pPr>
        <w:pStyle w:val="4"/>
        <w:widowControl/>
        <w:spacing w:beforeAutospacing="0" w:afterAutospacing="0" w:line="600" w:lineRule="atLeast"/>
        <w:ind w:right="60" w:firstLine="643" w:firstLineChars="200"/>
        <w:rPr>
          <w:rFonts w:ascii="方正仿宋_GBK" w:eastAsia="方正仿宋_GBK"/>
          <w:sz w:val="32"/>
          <w:szCs w:val="32"/>
        </w:rPr>
      </w:pPr>
      <w:r>
        <w:rPr>
          <w:rFonts w:hint="eastAsia" w:ascii="宋体" w:eastAsia="方正楷体_GBK"/>
          <w:b/>
          <w:sz w:val="32"/>
          <w:szCs w:val="32"/>
        </w:rPr>
        <w:t>（二）机构设置</w:t>
      </w:r>
    </w:p>
    <w:p>
      <w:pPr>
        <w:spacing w:line="600" w:lineRule="atLeast"/>
        <w:ind w:firstLine="640" w:firstLineChars="200"/>
        <w:jc w:val="left"/>
        <w:rPr>
          <w:rFonts w:ascii="方正仿宋_GBK" w:eastAsia="方正仿宋_GBK" w:cs="仿宋_GB2312"/>
          <w:color w:val="000000"/>
          <w:sz w:val="32"/>
          <w:szCs w:val="32"/>
          <w:shd w:val="clear" w:color="auto" w:fill="FFFFFF"/>
        </w:rPr>
      </w:pPr>
      <w:r>
        <w:rPr>
          <w:rFonts w:hint="eastAsia" w:ascii="方正仿宋_GBK" w:hAnsi="Calibri" w:eastAsia="方正仿宋_GBK" w:cs="仿宋_GB2312"/>
          <w:color w:val="000000"/>
          <w:sz w:val="32"/>
          <w:szCs w:val="32"/>
          <w:shd w:val="clear" w:color="auto" w:fill="FFFFFF"/>
        </w:rPr>
        <w:t>2020年，区教委确定分水小学内设机构2个，中层干部职数2人，2021年末该校实设内设机构2个（教务处、总务处），实有中层干部2人。</w:t>
      </w:r>
    </w:p>
    <w:p>
      <w:pPr>
        <w:pStyle w:val="4"/>
        <w:widowControl/>
        <w:spacing w:beforeAutospacing="0" w:afterAutospacing="0" w:line="600" w:lineRule="atLeast"/>
        <w:ind w:right="60" w:firstLine="643" w:firstLineChars="200"/>
        <w:rPr>
          <w:rFonts w:ascii="方正楷体_GBK" w:eastAsia="方正楷体_GBK"/>
          <w:sz w:val="32"/>
          <w:szCs w:val="32"/>
        </w:rPr>
      </w:pPr>
      <w:r>
        <w:rPr>
          <w:rStyle w:val="7"/>
          <w:rFonts w:hint="eastAsia" w:ascii="方正楷体_GBK" w:hAnsi="宋体" w:eastAsia="方正楷体_GBK" w:cs="宋体"/>
          <w:sz w:val="32"/>
          <w:szCs w:val="32"/>
          <w:shd w:val="clear" w:color="auto" w:fill="FFFFFF"/>
        </w:rPr>
        <w:t>（三）单位构成</w:t>
      </w:r>
    </w:p>
    <w:p>
      <w:pPr>
        <w:widowControl/>
        <w:shd w:val="clear" w:color="auto" w:fill="FFFFFF"/>
        <w:spacing w:line="600" w:lineRule="atLeast"/>
        <w:ind w:firstLine="640" w:firstLineChars="200"/>
        <w:jc w:val="left"/>
        <w:rPr>
          <w:rFonts w:ascii="方正仿宋_GBK" w:eastAsia="方正仿宋_GBK" w:cs="仿宋_GB2312"/>
          <w:color w:val="000000"/>
          <w:sz w:val="32"/>
          <w:szCs w:val="32"/>
          <w:shd w:val="clear" w:color="auto" w:fill="FFFFFF"/>
        </w:rPr>
      </w:pPr>
      <w:r>
        <w:rPr>
          <w:rFonts w:hint="eastAsia" w:ascii="方正仿宋_GBK" w:hAnsi="Calibri" w:eastAsia="方正仿宋_GBK" w:cs="仿宋_GB2312"/>
          <w:color w:val="000000"/>
          <w:sz w:val="32"/>
          <w:szCs w:val="32"/>
          <w:shd w:val="clear" w:color="auto" w:fill="FFFFFF"/>
        </w:rPr>
        <w:t>本单位是全额拨款事业单位，现有教职工19人。学生60人。本单位为二级预算单位，无下级预算单位。</w:t>
      </w:r>
    </w:p>
    <w:p>
      <w:pPr>
        <w:pStyle w:val="4"/>
        <w:widowControl/>
        <w:spacing w:beforeAutospacing="0" w:afterAutospacing="0" w:line="600" w:lineRule="atLeast"/>
        <w:ind w:right="60" w:firstLine="643" w:firstLineChars="200"/>
        <w:rPr>
          <w:rStyle w:val="7"/>
          <w:rFonts w:ascii="方正黑体_GBK" w:hAnsi="宋体" w:eastAsia="方正黑体_GBK" w:cs="宋体"/>
          <w:sz w:val="32"/>
          <w:szCs w:val="32"/>
          <w:shd w:val="clear" w:color="auto" w:fill="FFFFFF"/>
        </w:rPr>
      </w:pPr>
      <w:r>
        <w:rPr>
          <w:rStyle w:val="7"/>
          <w:rFonts w:hint="eastAsia" w:ascii="方正黑体_GBK" w:hAnsi="宋体" w:eastAsia="方正黑体_GBK" w:cs="宋体"/>
          <w:sz w:val="32"/>
          <w:szCs w:val="32"/>
          <w:shd w:val="clear" w:color="auto" w:fill="FFFFFF"/>
        </w:rPr>
        <w:t>二、部门决算情况说明</w:t>
      </w:r>
    </w:p>
    <w:p>
      <w:pPr>
        <w:pStyle w:val="4"/>
        <w:widowControl/>
        <w:spacing w:beforeAutospacing="0" w:afterAutospacing="0" w:line="600" w:lineRule="atLeast"/>
        <w:ind w:right="60" w:firstLine="643" w:firstLineChars="200"/>
        <w:rPr>
          <w:rFonts w:ascii="宋体" w:eastAsia="方正楷体_GBK"/>
          <w:b/>
          <w:sz w:val="32"/>
          <w:szCs w:val="32"/>
        </w:rPr>
      </w:pPr>
      <w:r>
        <w:rPr>
          <w:rFonts w:hint="eastAsia" w:ascii="宋体" w:eastAsia="方正楷体_GBK"/>
          <w:b/>
          <w:sz w:val="32"/>
          <w:szCs w:val="32"/>
        </w:rPr>
        <w:t>（一）收入支出决算总体情况说明</w:t>
      </w:r>
    </w:p>
    <w:p>
      <w:pPr>
        <w:pStyle w:val="4"/>
        <w:widowControl/>
        <w:spacing w:beforeAutospacing="0" w:afterAutospacing="0" w:line="600" w:lineRule="atLeast"/>
        <w:ind w:right="60" w:firstLine="643" w:firstLineChars="200"/>
        <w:rPr>
          <w:rFonts w:ascii="方正仿宋_GBK" w:hAnsi="宋体" w:eastAsia="方正仿宋_GBK" w:cs="宋体"/>
          <w:sz w:val="32"/>
          <w:szCs w:val="32"/>
          <w:shd w:val="clear" w:color="auto" w:fill="FFFFFF"/>
        </w:rPr>
      </w:pPr>
      <w:r>
        <w:rPr>
          <w:rStyle w:val="7"/>
          <w:rFonts w:hint="eastAsia" w:ascii="方正仿宋_GBK" w:hAnsi="宋体" w:eastAsia="方正仿宋_GBK" w:cs="宋体"/>
          <w:sz w:val="32"/>
          <w:szCs w:val="32"/>
          <w:shd w:val="clear" w:color="auto" w:fill="FFFFFF"/>
        </w:rPr>
        <w:t>1.总体情况</w:t>
      </w:r>
      <w:r>
        <w:rPr>
          <w:rFonts w:hint="eastAsia" w:ascii="方正仿宋_GBK" w:hAnsi="宋体" w:eastAsia="方正仿宋_GBK" w:cs="宋体"/>
          <w:sz w:val="32"/>
          <w:szCs w:val="32"/>
          <w:shd w:val="clear" w:color="auto" w:fill="FFFFFF"/>
        </w:rPr>
        <w:t>。2020年度收入总计457.04万元，支出总计457.04万元。收支较上年决算数 增加46.22万元、 增长</w:t>
      </w:r>
      <w:r>
        <w:rPr>
          <w:rFonts w:hint="eastAsia" w:ascii="方正仿宋_GBK" w:hAnsi="宋体" w:eastAsia="方正仿宋_GBK" w:cs="宋体"/>
          <w:vanish/>
          <w:sz w:val="32"/>
          <w:szCs w:val="32"/>
          <w:shd w:val="clear" w:color="auto" w:fill="FFFFFF"/>
        </w:rPr>
        <w:t xml:space="preserve"> </w:t>
      </w:r>
      <w:r>
        <w:rPr>
          <w:rFonts w:hint="eastAsia" w:ascii="方正仿宋_GBK" w:hAnsi="宋体" w:eastAsia="方正仿宋_GBK" w:cs="宋体"/>
          <w:sz w:val="32"/>
          <w:szCs w:val="32"/>
          <w:shd w:val="clear" w:color="auto" w:fill="FFFFFF"/>
        </w:rPr>
        <w:t>11.3%，主要原因是学校加大办学经费投入</w:t>
      </w:r>
    </w:p>
    <w:p>
      <w:pPr>
        <w:pStyle w:val="4"/>
        <w:widowControl/>
        <w:spacing w:beforeAutospacing="0" w:afterAutospacing="0" w:line="600" w:lineRule="atLeast"/>
        <w:ind w:right="60" w:firstLine="643" w:firstLineChars="200"/>
        <w:rPr>
          <w:rFonts w:ascii="方正仿宋_GBK" w:eastAsia="方正仿宋_GBK"/>
          <w:sz w:val="32"/>
          <w:szCs w:val="32"/>
        </w:rPr>
      </w:pPr>
      <w:r>
        <w:rPr>
          <w:rStyle w:val="7"/>
          <w:rFonts w:hint="eastAsia" w:ascii="方正仿宋_GBK" w:hAnsi="宋体" w:eastAsia="方正仿宋_GBK" w:cs="宋体"/>
          <w:sz w:val="32"/>
          <w:szCs w:val="32"/>
          <w:shd w:val="clear" w:color="auto" w:fill="FFFFFF"/>
        </w:rPr>
        <w:t>2.收入情况。</w:t>
      </w:r>
      <w:r>
        <w:rPr>
          <w:rFonts w:hint="eastAsia" w:ascii="方正仿宋_GBK" w:hAnsi="宋体" w:eastAsia="方正仿宋_GBK" w:cs="宋体"/>
          <w:sz w:val="32"/>
          <w:szCs w:val="32"/>
          <w:shd w:val="clear" w:color="auto" w:fill="FFFFFF"/>
        </w:rPr>
        <w:t>2020年度收入合计383.13万元，较上年决算数增加26.86万元，增长7.5%，主要原因 是学校加大办学经费投入。其中：财政拨款收入380.96万元，占99.4%；事业收入2.17万元，占0.6%；年初结转和结余73.91万元。</w:t>
      </w:r>
    </w:p>
    <w:p>
      <w:pPr>
        <w:pStyle w:val="4"/>
        <w:widowControl/>
        <w:spacing w:beforeAutospacing="0" w:afterAutospacing="0" w:line="600" w:lineRule="atLeast"/>
        <w:ind w:right="60" w:firstLine="643" w:firstLineChars="200"/>
        <w:rPr>
          <w:rFonts w:ascii="方正仿宋_GBK" w:eastAsia="方正仿宋_GBK"/>
          <w:sz w:val="32"/>
          <w:szCs w:val="32"/>
        </w:rPr>
      </w:pPr>
      <w:r>
        <w:rPr>
          <w:rStyle w:val="7"/>
          <w:rFonts w:hint="eastAsia" w:ascii="方正仿宋_GBK" w:hAnsi="宋体" w:eastAsia="方正仿宋_GBK" w:cs="宋体"/>
          <w:sz w:val="32"/>
          <w:szCs w:val="32"/>
          <w:shd w:val="clear" w:color="auto" w:fill="FFFFFF"/>
        </w:rPr>
        <w:t>3.支出情况。</w:t>
      </w:r>
      <w:r>
        <w:rPr>
          <w:rFonts w:hint="eastAsia" w:ascii="方正仿宋_GBK" w:hAnsi="宋体" w:eastAsia="方正仿宋_GBK" w:cs="宋体"/>
          <w:sz w:val="32"/>
          <w:szCs w:val="32"/>
          <w:shd w:val="clear" w:color="auto" w:fill="FFFFFF"/>
        </w:rPr>
        <w:t>2020年度支出合计410.90万元，较上年决算数增加32.27万元，增长8.5%，主要原因是学校加大办学经费投入。其中：基本支出 369.61万元，占90%；项目支出41.29万元，占10%。</w:t>
      </w:r>
    </w:p>
    <w:p>
      <w:pPr>
        <w:pStyle w:val="4"/>
        <w:widowControl/>
        <w:spacing w:beforeAutospacing="0" w:afterAutospacing="0" w:line="600" w:lineRule="atLeast"/>
        <w:ind w:right="60" w:firstLine="643" w:firstLineChars="200"/>
        <w:rPr>
          <w:rFonts w:ascii="方正仿宋_GBK" w:eastAsia="方正仿宋_GBK"/>
          <w:sz w:val="32"/>
          <w:szCs w:val="32"/>
        </w:rPr>
      </w:pPr>
      <w:r>
        <w:rPr>
          <w:rStyle w:val="7"/>
          <w:rFonts w:hint="eastAsia" w:ascii="方正仿宋_GBK" w:hAnsi="宋体" w:eastAsia="方正仿宋_GBK" w:cs="宋体"/>
          <w:sz w:val="32"/>
          <w:szCs w:val="32"/>
          <w:shd w:val="clear" w:color="auto" w:fill="FFFFFF"/>
        </w:rPr>
        <w:t>4.结转结余情况。</w:t>
      </w:r>
      <w:r>
        <w:rPr>
          <w:rFonts w:hint="eastAsia" w:ascii="方正仿宋_GBK" w:hAnsi="宋体" w:eastAsia="方正仿宋_GBK" w:cs="宋体"/>
          <w:sz w:val="32"/>
          <w:szCs w:val="32"/>
          <w:shd w:val="clear" w:color="auto" w:fill="FFFFFF"/>
        </w:rPr>
        <w:t>2020年度年末结转和结余46.14万元，较上年决算数增加13.95万元，增长43.3%，主要原因是学校加大办学经费投入。</w:t>
      </w:r>
    </w:p>
    <w:p>
      <w:pPr>
        <w:pStyle w:val="4"/>
        <w:widowControl/>
        <w:spacing w:beforeAutospacing="0" w:afterAutospacing="0" w:line="600" w:lineRule="atLeast"/>
        <w:ind w:right="60" w:firstLine="643" w:firstLineChars="200"/>
        <w:rPr>
          <w:rFonts w:ascii="宋体" w:hAnsi="宋体" w:eastAsia="方正楷体_GBK" w:cs="宋体"/>
          <w:sz w:val="32"/>
          <w:szCs w:val="32"/>
          <w:shd w:val="clear" w:color="auto" w:fill="FFFFFF"/>
        </w:rPr>
      </w:pPr>
      <w:r>
        <w:rPr>
          <w:rFonts w:hint="eastAsia" w:ascii="宋体" w:eastAsia="方正楷体_GBK"/>
          <w:b/>
          <w:sz w:val="32"/>
          <w:szCs w:val="32"/>
        </w:rPr>
        <w:t>（二）财政拨款收入支出决算总体情况说明</w:t>
      </w:r>
    </w:p>
    <w:p>
      <w:pPr>
        <w:pStyle w:val="4"/>
        <w:widowControl/>
        <w:spacing w:beforeAutospacing="0" w:afterAutospacing="0" w:line="600" w:lineRule="atLeast"/>
        <w:ind w:right="60" w:firstLine="640" w:firstLineChars="200"/>
        <w:rPr>
          <w:rFonts w:ascii="方正仿宋_GBK" w:hAnsi="宋体" w:eastAsia="方正仿宋_GBK" w:cs="宋体"/>
          <w:sz w:val="32"/>
          <w:szCs w:val="32"/>
          <w:shd w:val="clear" w:color="auto" w:fill="FFFFFF"/>
        </w:rPr>
      </w:pPr>
      <w:r>
        <w:rPr>
          <w:rFonts w:hint="eastAsia" w:ascii="宋体" w:hAnsi="宋体" w:eastAsia="方正仿宋_GBK" w:cs="宋体"/>
          <w:sz w:val="32"/>
          <w:szCs w:val="32"/>
          <w:shd w:val="clear" w:color="auto" w:fill="FFFFFF"/>
        </w:rPr>
        <w:t> </w:t>
      </w:r>
      <w:r>
        <w:rPr>
          <w:rFonts w:hint="eastAsia" w:ascii="方正仿宋_GBK" w:hAnsi="宋体" w:eastAsia="方正仿宋_GBK" w:cs="宋体"/>
          <w:sz w:val="32"/>
          <w:szCs w:val="32"/>
          <w:shd w:val="clear" w:color="auto" w:fill="FFFFFF"/>
        </w:rPr>
        <w:t xml:space="preserve"> 2020年度财政拨款收、支总计454.87万元。与2019年相比，财政拨款收、支总计各增加46.45万 元，增长11.4%。主要原因是学校加大办学经费投入。</w:t>
      </w:r>
    </w:p>
    <w:p>
      <w:pPr>
        <w:pStyle w:val="4"/>
        <w:widowControl/>
        <w:spacing w:beforeAutospacing="0" w:afterAutospacing="0" w:line="600" w:lineRule="atLeast"/>
        <w:ind w:right="60" w:firstLine="643" w:firstLineChars="200"/>
        <w:rPr>
          <w:rFonts w:ascii="宋体" w:eastAsia="方正楷体_GBK"/>
          <w:b/>
          <w:sz w:val="32"/>
          <w:szCs w:val="32"/>
        </w:rPr>
      </w:pPr>
      <w:r>
        <w:rPr>
          <w:rFonts w:hint="eastAsia" w:ascii="宋体" w:eastAsia="方正楷体_GBK"/>
          <w:b/>
          <w:sz w:val="32"/>
          <w:szCs w:val="32"/>
        </w:rPr>
        <w:t>（三）一般公共预算财政拨款支出决算情况说明</w:t>
      </w:r>
    </w:p>
    <w:p>
      <w:pPr>
        <w:pStyle w:val="4"/>
        <w:widowControl/>
        <w:spacing w:beforeAutospacing="0" w:afterAutospacing="0" w:line="600" w:lineRule="atLeast"/>
        <w:ind w:right="60" w:firstLine="643" w:firstLineChars="200"/>
        <w:rPr>
          <w:rFonts w:ascii="方正仿宋_GBK" w:eastAsia="方正仿宋_GBK"/>
          <w:sz w:val="32"/>
          <w:szCs w:val="32"/>
        </w:rPr>
      </w:pPr>
      <w:r>
        <w:rPr>
          <w:rStyle w:val="7"/>
          <w:rFonts w:hint="eastAsia" w:ascii="方正仿宋_GBK" w:hAnsi="宋体" w:eastAsia="方正仿宋_GBK" w:cs="宋体"/>
          <w:sz w:val="32"/>
          <w:szCs w:val="32"/>
          <w:shd w:val="clear" w:color="auto" w:fill="FFFFFF"/>
        </w:rPr>
        <w:t>1.收入情况。</w:t>
      </w:r>
      <w:r>
        <w:rPr>
          <w:rFonts w:hint="eastAsia" w:ascii="方正仿宋_GBK" w:hAnsi="宋体" w:eastAsia="方正仿宋_GBK" w:cs="宋体"/>
          <w:sz w:val="32"/>
          <w:szCs w:val="32"/>
          <w:shd w:val="clear" w:color="auto" w:fill="FFFFFF"/>
        </w:rPr>
        <w:t>2020年度一般公共预算财政拨款收入380.96万元，较上年决算数增加27.09万元，增长7.7%。主要原因是学校加大办学经费投入。较年初预算数 增加63.73万元，增长20.1%。主要原因是学校加大办学经费投入。此外，年初财政拨款结转和结余73.91万元。</w:t>
      </w:r>
    </w:p>
    <w:p>
      <w:pPr>
        <w:pStyle w:val="4"/>
        <w:widowControl/>
        <w:spacing w:beforeAutospacing="0" w:afterAutospacing="0" w:line="600" w:lineRule="atLeast"/>
        <w:ind w:right="60" w:firstLine="643" w:firstLineChars="200"/>
        <w:rPr>
          <w:rFonts w:ascii="方正仿宋_GBK" w:eastAsia="方正仿宋_GBK"/>
          <w:sz w:val="32"/>
          <w:szCs w:val="32"/>
        </w:rPr>
      </w:pPr>
      <w:r>
        <w:rPr>
          <w:rStyle w:val="7"/>
          <w:rFonts w:hint="eastAsia" w:ascii="方正仿宋_GBK" w:hAnsi="宋体" w:eastAsia="方正仿宋_GBK" w:cs="宋体"/>
          <w:sz w:val="32"/>
          <w:szCs w:val="32"/>
          <w:shd w:val="clear" w:color="auto" w:fill="FFFFFF"/>
        </w:rPr>
        <w:t>2.支出情况。</w:t>
      </w:r>
      <w:r>
        <w:rPr>
          <w:rFonts w:hint="eastAsia" w:ascii="方正仿宋_GBK" w:hAnsi="宋体" w:eastAsia="方正仿宋_GBK" w:cs="宋体"/>
          <w:sz w:val="32"/>
          <w:szCs w:val="32"/>
          <w:shd w:val="clear" w:color="auto" w:fill="FFFFFF"/>
        </w:rPr>
        <w:t>2020年度一般公共预算财政拨款支出408.73万元，较上年决算数增加32.50万元，增长8.6%。主要原因是学校加大办学经费投入。较年初预算数 增加59.30万元，增长17%。主要原因是学校加大办学经费投入。</w:t>
      </w:r>
    </w:p>
    <w:p>
      <w:pPr>
        <w:pStyle w:val="4"/>
        <w:widowControl/>
        <w:spacing w:beforeAutospacing="0" w:afterAutospacing="0" w:line="600" w:lineRule="atLeast"/>
        <w:ind w:right="60" w:firstLine="643" w:firstLineChars="200"/>
        <w:rPr>
          <w:rFonts w:ascii="方正仿宋_GBK" w:eastAsia="方正仿宋_GBK"/>
          <w:sz w:val="32"/>
          <w:szCs w:val="32"/>
        </w:rPr>
      </w:pPr>
      <w:r>
        <w:rPr>
          <w:rStyle w:val="7"/>
          <w:rFonts w:hint="eastAsia" w:ascii="方正仿宋_GBK" w:hAnsi="宋体" w:eastAsia="方正仿宋_GBK" w:cs="宋体"/>
          <w:sz w:val="32"/>
          <w:szCs w:val="32"/>
          <w:shd w:val="clear" w:color="auto" w:fill="FFFFFF"/>
        </w:rPr>
        <w:t>3.结转结余情况。</w:t>
      </w:r>
      <w:r>
        <w:rPr>
          <w:rFonts w:hint="eastAsia" w:ascii="方正仿宋_GBK" w:hAnsi="宋体" w:eastAsia="方正仿宋_GBK" w:cs="宋体"/>
          <w:sz w:val="32"/>
          <w:szCs w:val="32"/>
          <w:shd w:val="clear" w:color="auto" w:fill="FFFFFF"/>
        </w:rPr>
        <w:t>2020年度年末一般公共预算财政拨款结转和结余46.14万元，较上年决算数增加13.95万元，增长43.3%，主要原因是学校加大办学经费投入。</w:t>
      </w:r>
    </w:p>
    <w:p>
      <w:pPr>
        <w:pStyle w:val="4"/>
        <w:widowControl/>
        <w:spacing w:beforeAutospacing="0" w:afterAutospacing="0" w:line="600" w:lineRule="atLeast"/>
        <w:ind w:right="60" w:firstLine="643" w:firstLineChars="200"/>
        <w:rPr>
          <w:rFonts w:ascii="方正仿宋_GBK" w:eastAsia="方正仿宋_GBK"/>
          <w:sz w:val="32"/>
          <w:szCs w:val="32"/>
        </w:rPr>
      </w:pPr>
      <w:r>
        <w:rPr>
          <w:rStyle w:val="7"/>
          <w:rFonts w:hint="eastAsia" w:ascii="方正仿宋_GBK" w:hAnsi="宋体" w:eastAsia="方正仿宋_GBK" w:cs="宋体"/>
          <w:sz w:val="32"/>
          <w:szCs w:val="32"/>
          <w:shd w:val="clear" w:color="auto" w:fill="FFFFFF"/>
        </w:rPr>
        <w:t>4.比较情况</w:t>
      </w:r>
      <w:r>
        <w:rPr>
          <w:rFonts w:hint="eastAsia" w:ascii="方正仿宋_GBK" w:hAnsi="宋体" w:eastAsia="方正仿宋_GBK" w:cs="宋体"/>
          <w:sz w:val="32"/>
          <w:szCs w:val="32"/>
          <w:shd w:val="clear" w:color="auto" w:fill="FFFFFF"/>
        </w:rPr>
        <w:t>。本部门2020年度一般公共预算财政拨款支出主要用于以下几个方面</w:t>
      </w:r>
    </w:p>
    <w:p>
      <w:pPr>
        <w:pStyle w:val="4"/>
        <w:widowControl/>
        <w:spacing w:beforeAutospacing="0" w:afterAutospacing="0" w:line="600" w:lineRule="atLeast"/>
        <w:ind w:right="60" w:firstLine="640" w:firstLineChars="200"/>
        <w:rPr>
          <w:rFonts w:ascii="方正仿宋_GBK" w:eastAsia="方正仿宋_GBK"/>
          <w:sz w:val="32"/>
          <w:szCs w:val="32"/>
        </w:rPr>
      </w:pPr>
      <w:r>
        <w:rPr>
          <w:rFonts w:hint="eastAsia" w:ascii="方正仿宋_GBK" w:hAnsi="宋体" w:eastAsia="方正仿宋_GBK" w:cs="宋体"/>
          <w:sz w:val="32"/>
          <w:szCs w:val="32"/>
          <w:shd w:val="clear" w:color="auto" w:fill="FFFFFF"/>
        </w:rPr>
        <w:t>（1）教育支出311.20万元，占76.1%，较年初预算数增加51.67万 元，增长19.9%，主要原因是学校加大办学经费投入。</w:t>
      </w:r>
    </w:p>
    <w:p>
      <w:pPr>
        <w:pStyle w:val="4"/>
        <w:widowControl/>
        <w:spacing w:beforeAutospacing="0" w:afterAutospacing="0" w:line="600" w:lineRule="atLeast"/>
        <w:ind w:right="60" w:firstLine="640" w:firstLineChars="200"/>
        <w:rPr>
          <w:rFonts w:ascii="方正仿宋_GBK" w:eastAsia="方正仿宋_GBK"/>
          <w:sz w:val="32"/>
          <w:szCs w:val="32"/>
        </w:rPr>
      </w:pPr>
      <w:r>
        <w:rPr>
          <w:rFonts w:hint="eastAsia" w:ascii="方正仿宋_GBK" w:hAnsi="宋体" w:eastAsia="方正仿宋_GBK" w:cs="宋体"/>
          <w:sz w:val="32"/>
          <w:szCs w:val="32"/>
          <w:shd w:val="clear" w:color="auto" w:fill="FFFFFF"/>
        </w:rPr>
        <w:t>（2）社会保障与就业支出61.02万元，占14.9%，较年初预算数增加9.83万 元，增长19.2%，主要原因是教职工人员工资增加。</w:t>
      </w:r>
    </w:p>
    <w:p>
      <w:pPr>
        <w:pStyle w:val="4"/>
        <w:widowControl/>
        <w:spacing w:beforeAutospacing="0" w:afterAutospacing="0" w:line="600" w:lineRule="atLeast"/>
        <w:ind w:right="60" w:firstLine="640" w:firstLineChars="200"/>
        <w:rPr>
          <w:rFonts w:ascii="方正仿宋_GBK" w:hAnsi="宋体" w:eastAsia="方正仿宋_GBK" w:cs="宋体"/>
          <w:sz w:val="32"/>
          <w:szCs w:val="32"/>
        </w:rPr>
      </w:pPr>
      <w:r>
        <w:rPr>
          <w:rFonts w:hint="eastAsia" w:ascii="方正仿宋_GBK" w:hAnsi="宋体" w:eastAsia="方正仿宋_GBK" w:cs="宋体"/>
          <w:sz w:val="32"/>
          <w:szCs w:val="32"/>
          <w:shd w:val="clear" w:color="auto" w:fill="FFFFFF"/>
        </w:rPr>
        <w:t>（3）卫生健康支出17.47万元，占4.3%，较年初预算数减少1.83万 元，下降9.5%，主要原因是教职工人员退休。</w:t>
      </w:r>
    </w:p>
    <w:p>
      <w:pPr>
        <w:pStyle w:val="4"/>
        <w:widowControl/>
        <w:spacing w:beforeAutospacing="0" w:afterAutospacing="0" w:line="600" w:lineRule="atLeast"/>
        <w:ind w:right="60" w:firstLine="640" w:firstLineChars="200"/>
        <w:rPr>
          <w:rFonts w:ascii="方正仿宋_GBK" w:eastAsia="方正仿宋_GBK"/>
          <w:sz w:val="32"/>
          <w:szCs w:val="32"/>
        </w:rPr>
      </w:pPr>
      <w:r>
        <w:rPr>
          <w:rFonts w:hint="eastAsia" w:ascii="方正仿宋_GBK" w:hAnsi="宋体" w:eastAsia="方正仿宋_GBK" w:cs="宋体"/>
          <w:sz w:val="32"/>
          <w:szCs w:val="32"/>
          <w:shd w:val="clear" w:color="auto" w:fill="FFFFFF"/>
        </w:rPr>
        <w:t>（4）住房保障支出19.05万元，占4.7%，较年初预算数减少0.35万 元，下降1.8%，主要原因是教职工人员退休。</w:t>
      </w:r>
    </w:p>
    <w:p>
      <w:pPr>
        <w:pStyle w:val="4"/>
        <w:widowControl/>
        <w:spacing w:beforeAutospacing="0" w:afterAutospacing="0" w:line="600" w:lineRule="atLeast"/>
        <w:ind w:right="60" w:firstLine="643" w:firstLineChars="200"/>
        <w:rPr>
          <w:rFonts w:ascii="宋体" w:eastAsia="方正楷体_GBK"/>
          <w:b/>
          <w:sz w:val="32"/>
          <w:szCs w:val="32"/>
        </w:rPr>
      </w:pPr>
      <w:r>
        <w:rPr>
          <w:rFonts w:hint="eastAsia" w:ascii="宋体" w:eastAsia="方正楷体_GBK"/>
          <w:b/>
          <w:sz w:val="32"/>
          <w:szCs w:val="32"/>
        </w:rPr>
        <w:t>（四）一般公共预算财政拨款基本支出决算情况说明</w:t>
      </w:r>
    </w:p>
    <w:p>
      <w:pPr>
        <w:widowControl/>
        <w:shd w:val="clear" w:color="auto" w:fill="FFFFFF"/>
        <w:spacing w:line="600" w:lineRule="atLeast"/>
        <w:ind w:firstLine="640" w:firstLineChars="200"/>
        <w:jc w:val="left"/>
        <w:rPr>
          <w:rFonts w:ascii="方正仿宋_GBK" w:hAnsi="宋体" w:eastAsia="方正仿宋_GBK" w:cs="宋体"/>
          <w:sz w:val="32"/>
          <w:szCs w:val="32"/>
          <w:shd w:val="clear" w:color="auto" w:fill="FFFFFF"/>
        </w:rPr>
      </w:pPr>
      <w:r>
        <w:rPr>
          <w:rFonts w:hint="eastAsia" w:ascii="宋体" w:hAnsi="宋体" w:eastAsia="方正仿宋_GBK" w:cs="宋体"/>
          <w:sz w:val="32"/>
          <w:szCs w:val="32"/>
          <w:shd w:val="clear" w:color="auto" w:fill="FFFFFF"/>
        </w:rPr>
        <w:t> </w:t>
      </w:r>
      <w:r>
        <w:rPr>
          <w:rFonts w:hint="eastAsia" w:ascii="方正仿宋_GBK" w:hAnsi="宋体" w:eastAsia="方正仿宋_GBK" w:cs="宋体"/>
          <w:sz w:val="32"/>
          <w:szCs w:val="32"/>
          <w:shd w:val="clear" w:color="auto" w:fill="FFFFFF"/>
        </w:rPr>
        <w:t xml:space="preserve"> 2020年度一般公共财政拨款基本支出369.61万元。其中：人员经费356.91万元，较上年决算数增加33.54万 元，增长10.4%，主要原因是学校加大办学经费投入。人员经费用途主要包括教职工福利费、对个人和家庭补助、教职工工资、绩效等。公用经费12.70万元，较上年决算数减少2.21万元，下降14.8%，主要原因是学生人数减少，财政投入减少。公用经费用途主要包括学校办公费、印刷费、维修费、劳务费、差旅费等。</w:t>
      </w:r>
    </w:p>
    <w:p>
      <w:pPr>
        <w:pStyle w:val="4"/>
        <w:widowControl/>
        <w:spacing w:beforeAutospacing="0" w:afterAutospacing="0" w:line="600" w:lineRule="atLeast"/>
        <w:ind w:right="60" w:firstLine="643" w:firstLineChars="200"/>
        <w:rPr>
          <w:rStyle w:val="7"/>
          <w:rFonts w:ascii="方正楷体_GBK" w:hAnsi="宋体" w:eastAsia="方正楷体_GBK" w:cs="宋体"/>
          <w:sz w:val="32"/>
          <w:szCs w:val="32"/>
          <w:shd w:val="clear" w:color="auto" w:fill="FFFFFF"/>
        </w:rPr>
      </w:pPr>
      <w:r>
        <w:rPr>
          <w:rStyle w:val="7"/>
          <w:rFonts w:hint="eastAsia" w:ascii="方正楷体_GBK" w:hAnsi="宋体" w:eastAsia="方正楷体_GBK" w:cs="宋体"/>
          <w:sz w:val="32"/>
          <w:szCs w:val="32"/>
          <w:shd w:val="clear" w:color="auto" w:fill="FFFFFF"/>
        </w:rPr>
        <w:t>（五）政府性基金预算收支决算情况说明</w:t>
      </w:r>
    </w:p>
    <w:p>
      <w:pPr>
        <w:widowControl/>
        <w:shd w:val="clear" w:color="auto" w:fill="FFFFFF"/>
        <w:spacing w:line="600" w:lineRule="atLeast"/>
        <w:ind w:firstLine="640" w:firstLineChars="200"/>
        <w:jc w:val="left"/>
        <w:rPr>
          <w:rFonts w:ascii="方正仿宋_GBK" w:hAnsi="宋体" w:eastAsia="方正仿宋_GBK" w:cs="宋体"/>
          <w:sz w:val="32"/>
          <w:szCs w:val="32"/>
          <w:shd w:val="clear" w:color="auto" w:fill="FFFFFF"/>
        </w:rPr>
      </w:pPr>
      <w:r>
        <w:rPr>
          <w:rFonts w:hint="eastAsia" w:ascii="方正仿宋_GBK" w:hAnsi="宋体" w:eastAsia="方正仿宋_GBK" w:cs="宋体"/>
          <w:sz w:val="32"/>
          <w:szCs w:val="32"/>
          <w:shd w:val="clear" w:color="auto" w:fill="FFFFFF"/>
        </w:rPr>
        <w:t>本部门2020年度无政府性基金预算财政拨款收支。</w:t>
      </w:r>
    </w:p>
    <w:p>
      <w:pPr>
        <w:pStyle w:val="4"/>
        <w:widowControl/>
        <w:spacing w:beforeAutospacing="0" w:afterAutospacing="0" w:line="600" w:lineRule="atLeast"/>
        <w:ind w:right="60" w:firstLine="643" w:firstLineChars="200"/>
        <w:rPr>
          <w:rStyle w:val="7"/>
          <w:rFonts w:ascii="方正楷体_GBK" w:hAnsi="宋体" w:eastAsia="方正楷体_GBK" w:cs="宋体"/>
          <w:sz w:val="32"/>
          <w:szCs w:val="32"/>
          <w:shd w:val="clear" w:color="auto" w:fill="FFFFFF"/>
        </w:rPr>
      </w:pPr>
      <w:r>
        <w:rPr>
          <w:rStyle w:val="7"/>
          <w:rFonts w:hint="eastAsia" w:ascii="方正楷体_GBK" w:hAnsi="宋体" w:eastAsia="方正楷体_GBK" w:cs="宋体"/>
          <w:sz w:val="32"/>
          <w:szCs w:val="32"/>
          <w:shd w:val="clear" w:color="auto" w:fill="FFFFFF"/>
        </w:rPr>
        <w:t>（六）国有资本经营预算财政拨款支</w:t>
      </w:r>
      <w:r>
        <w:rPr>
          <w:rStyle w:val="7"/>
          <w:rFonts w:hint="eastAsia" w:ascii="方正楷体_GBK" w:hAnsi="宋体" w:eastAsia="方正楷体_GBK" w:cs="宋体"/>
          <w:sz w:val="32"/>
          <w:szCs w:val="32"/>
          <w:shd w:val="clear" w:color="auto" w:fill="FFFFFF"/>
          <w:lang w:eastAsia="zh-CN"/>
        </w:rPr>
        <w:t>出</w:t>
      </w:r>
      <w:r>
        <w:rPr>
          <w:rStyle w:val="7"/>
          <w:rFonts w:hint="eastAsia" w:ascii="方正楷体_GBK" w:hAnsi="宋体" w:eastAsia="方正楷体_GBK" w:cs="宋体"/>
          <w:sz w:val="32"/>
          <w:szCs w:val="32"/>
          <w:shd w:val="clear" w:color="auto" w:fill="FFFFFF"/>
        </w:rPr>
        <w:t>决算情况说明。</w:t>
      </w:r>
    </w:p>
    <w:p>
      <w:pPr>
        <w:widowControl/>
        <w:shd w:val="clear" w:color="auto" w:fill="FFFFFF"/>
        <w:spacing w:line="600" w:lineRule="atLeast"/>
        <w:ind w:firstLine="640" w:firstLineChars="200"/>
        <w:jc w:val="left"/>
        <w:rPr>
          <w:rFonts w:ascii="方正仿宋_GBK" w:hAnsi="宋体" w:eastAsia="方正仿宋_GBK" w:cs="宋体"/>
          <w:kern w:val="0"/>
          <w:sz w:val="32"/>
          <w:szCs w:val="32"/>
          <w:shd w:val="clear" w:color="auto" w:fill="FFFFFF"/>
        </w:rPr>
      </w:pPr>
      <w:r>
        <w:rPr>
          <w:rFonts w:hint="eastAsia" w:ascii="方正仿宋_GBK" w:hAnsi="宋体" w:eastAsia="方正仿宋_GBK" w:cs="宋体"/>
          <w:sz w:val="32"/>
          <w:szCs w:val="32"/>
          <w:shd w:val="clear" w:color="auto" w:fill="FFFFFF"/>
        </w:rPr>
        <w:t>本部门2020年度无国有资本经营预算财政拨款支出。</w:t>
      </w:r>
    </w:p>
    <w:p>
      <w:pPr>
        <w:pStyle w:val="4"/>
        <w:widowControl/>
        <w:spacing w:beforeAutospacing="0" w:afterAutospacing="0" w:line="600" w:lineRule="atLeast"/>
        <w:ind w:right="60" w:firstLine="640" w:firstLineChars="200"/>
        <w:rPr>
          <w:rFonts w:ascii="方正仿宋_GBK" w:eastAsia="方正仿宋_GBK"/>
          <w:sz w:val="32"/>
          <w:szCs w:val="32"/>
        </w:rPr>
      </w:pPr>
    </w:p>
    <w:p>
      <w:pPr>
        <w:pStyle w:val="4"/>
        <w:widowControl/>
        <w:spacing w:beforeAutospacing="0" w:afterAutospacing="0" w:line="600" w:lineRule="atLeast"/>
        <w:ind w:right="60" w:firstLine="643" w:firstLineChars="200"/>
        <w:rPr>
          <w:rStyle w:val="7"/>
          <w:rFonts w:ascii="方正黑体_GBK" w:hAnsi="宋体" w:eastAsia="方正黑体_GBK" w:cs="宋体"/>
          <w:shd w:val="clear" w:color="auto" w:fill="FFFFFF"/>
        </w:rPr>
      </w:pPr>
      <w:r>
        <w:rPr>
          <w:rStyle w:val="7"/>
          <w:rFonts w:hint="eastAsia" w:ascii="方正黑体_GBK" w:hAnsi="宋体" w:eastAsia="方正黑体_GBK" w:cs="宋体"/>
          <w:sz w:val="32"/>
          <w:szCs w:val="32"/>
          <w:shd w:val="clear" w:color="auto" w:fill="FFFFFF"/>
        </w:rPr>
        <w:t>三、“三公”经费情况说明</w:t>
      </w:r>
    </w:p>
    <w:p>
      <w:pPr>
        <w:pStyle w:val="4"/>
        <w:widowControl/>
        <w:spacing w:beforeAutospacing="0" w:afterAutospacing="0" w:line="600" w:lineRule="atLeast"/>
        <w:ind w:right="60" w:firstLine="643" w:firstLineChars="200"/>
        <w:rPr>
          <w:rStyle w:val="7"/>
          <w:rFonts w:ascii="方正楷体_GBK" w:hAnsi="宋体" w:eastAsia="方正楷体_GBK" w:cs="宋体"/>
          <w:shd w:val="clear" w:color="auto" w:fill="FFFFFF"/>
        </w:rPr>
      </w:pPr>
      <w:r>
        <w:rPr>
          <w:rStyle w:val="7"/>
          <w:rFonts w:hint="eastAsia" w:ascii="方正楷体_GBK" w:hAnsi="宋体" w:eastAsia="方正楷体_GBK" w:cs="宋体"/>
          <w:sz w:val="32"/>
          <w:szCs w:val="32"/>
          <w:shd w:val="clear" w:color="auto" w:fill="FFFFFF"/>
        </w:rPr>
        <w:t>（一）“三公”经费支出总体情况说明</w:t>
      </w:r>
    </w:p>
    <w:p>
      <w:pPr>
        <w:widowControl/>
        <w:shd w:val="clear" w:color="auto" w:fill="FFFFFF"/>
        <w:spacing w:line="600" w:lineRule="atLeast"/>
        <w:ind w:firstLine="640" w:firstLineChars="200"/>
        <w:jc w:val="left"/>
        <w:rPr>
          <w:rFonts w:ascii="方正仿宋_GBK" w:hAnsi="宋体" w:eastAsia="方正仿宋_GBK" w:cs="宋体"/>
          <w:kern w:val="0"/>
          <w:sz w:val="32"/>
          <w:szCs w:val="32"/>
          <w:shd w:val="clear" w:color="auto" w:fill="FFFFFF"/>
        </w:rPr>
      </w:pPr>
      <w:r>
        <w:rPr>
          <w:rFonts w:hint="eastAsia" w:ascii="方正仿宋_GBK" w:hAnsi="宋体" w:eastAsia="方正仿宋_GBK" w:cs="宋体"/>
          <w:kern w:val="0"/>
          <w:sz w:val="32"/>
          <w:szCs w:val="32"/>
          <w:shd w:val="clear" w:color="auto" w:fill="FFFFFF"/>
        </w:rPr>
        <w:t>本单位2020年度未发生“三公”经费支出。</w:t>
      </w:r>
    </w:p>
    <w:p>
      <w:pPr>
        <w:pStyle w:val="4"/>
        <w:widowControl/>
        <w:spacing w:beforeAutospacing="0" w:afterAutospacing="0" w:line="600" w:lineRule="atLeast"/>
        <w:ind w:right="60" w:firstLine="643" w:firstLineChars="200"/>
        <w:rPr>
          <w:rStyle w:val="7"/>
          <w:rFonts w:ascii="方正楷体_GBK" w:hAnsi="宋体" w:eastAsia="方正楷体_GBK" w:cs="宋体"/>
          <w:shd w:val="clear" w:color="auto" w:fill="FFFFFF"/>
        </w:rPr>
      </w:pPr>
      <w:r>
        <w:rPr>
          <w:rStyle w:val="7"/>
          <w:rFonts w:hint="eastAsia" w:ascii="方正楷体_GBK" w:hAnsi="宋体" w:eastAsia="方正楷体_GBK" w:cs="宋体"/>
          <w:sz w:val="32"/>
          <w:szCs w:val="32"/>
          <w:shd w:val="clear" w:color="auto" w:fill="FFFFFF"/>
        </w:rPr>
        <w:t>（二）“三公”经费分项支出情况</w:t>
      </w:r>
    </w:p>
    <w:p>
      <w:pPr>
        <w:widowControl/>
        <w:shd w:val="clear" w:color="auto" w:fill="FFFFFF"/>
        <w:spacing w:line="600" w:lineRule="atLeast"/>
        <w:ind w:firstLine="640" w:firstLineChars="200"/>
        <w:jc w:val="left"/>
        <w:rPr>
          <w:rFonts w:ascii="方正仿宋_GBK" w:hAnsi="宋体" w:eastAsia="方正仿宋_GBK" w:cs="宋体"/>
          <w:kern w:val="0"/>
          <w:sz w:val="32"/>
          <w:szCs w:val="32"/>
          <w:shd w:val="clear" w:color="auto" w:fill="FFFFFF"/>
        </w:rPr>
      </w:pPr>
      <w:r>
        <w:rPr>
          <w:rFonts w:hint="eastAsia" w:ascii="方正仿宋_GBK" w:hAnsi="宋体" w:eastAsia="方正仿宋_GBK" w:cs="宋体"/>
          <w:kern w:val="0"/>
          <w:sz w:val="32"/>
          <w:szCs w:val="32"/>
          <w:shd w:val="clear" w:color="auto" w:fill="FFFFFF"/>
        </w:rPr>
        <w:t>本单位2020年度未发生“三公”经费支出。</w:t>
      </w:r>
    </w:p>
    <w:p>
      <w:pPr>
        <w:pStyle w:val="4"/>
        <w:widowControl/>
        <w:spacing w:beforeAutospacing="0" w:afterAutospacing="0" w:line="600" w:lineRule="atLeast"/>
        <w:ind w:right="60" w:firstLine="643" w:firstLineChars="200"/>
        <w:rPr>
          <w:rStyle w:val="7"/>
          <w:rFonts w:ascii="方正楷体_GBK" w:hAnsi="宋体" w:eastAsia="方正楷体_GBK" w:cs="宋体"/>
          <w:shd w:val="clear" w:color="auto" w:fill="FFFFFF"/>
        </w:rPr>
      </w:pPr>
      <w:r>
        <w:rPr>
          <w:rStyle w:val="7"/>
          <w:rFonts w:hint="eastAsia" w:ascii="方正楷体_GBK" w:hAnsi="宋体" w:eastAsia="方正楷体_GBK" w:cs="宋体"/>
          <w:sz w:val="32"/>
          <w:szCs w:val="32"/>
          <w:shd w:val="clear" w:color="auto" w:fill="FFFFFF"/>
        </w:rPr>
        <w:t>（三）“三公”经费实物量情况</w:t>
      </w:r>
    </w:p>
    <w:p>
      <w:pPr>
        <w:widowControl/>
        <w:shd w:val="clear" w:color="auto" w:fill="FFFFFF"/>
        <w:spacing w:line="600" w:lineRule="atLeast"/>
        <w:ind w:firstLine="640" w:firstLineChars="200"/>
        <w:jc w:val="left"/>
        <w:rPr>
          <w:rFonts w:ascii="方正仿宋_GBK" w:hAnsi="宋体" w:eastAsia="方正仿宋_GBK" w:cs="宋体"/>
          <w:kern w:val="0"/>
          <w:sz w:val="32"/>
          <w:szCs w:val="32"/>
          <w:shd w:val="clear" w:color="auto" w:fill="FFFFFF"/>
        </w:rPr>
      </w:pPr>
      <w:r>
        <w:rPr>
          <w:rFonts w:hint="eastAsia" w:ascii="方正仿宋_GBK" w:hAnsi="宋体" w:eastAsia="方正仿宋_GBK" w:cs="宋体"/>
          <w:kern w:val="0"/>
          <w:sz w:val="32"/>
          <w:szCs w:val="32"/>
          <w:shd w:val="clear" w:color="auto" w:fill="FFFFFF"/>
        </w:rPr>
        <w:t>本单位2020年度未发生“三公”经费支出。</w:t>
      </w:r>
    </w:p>
    <w:p>
      <w:pPr>
        <w:pStyle w:val="4"/>
        <w:widowControl/>
        <w:spacing w:beforeAutospacing="0" w:afterAutospacing="0" w:line="600" w:lineRule="atLeast"/>
        <w:ind w:right="60" w:firstLine="643" w:firstLineChars="200"/>
        <w:rPr>
          <w:rStyle w:val="7"/>
          <w:rFonts w:ascii="方正黑体_GBK" w:hAnsi="宋体" w:eastAsia="方正黑体_GBK" w:cs="宋体"/>
          <w:shd w:val="clear" w:color="auto" w:fill="FFFFFF"/>
        </w:rPr>
      </w:pPr>
      <w:r>
        <w:rPr>
          <w:rStyle w:val="7"/>
          <w:rFonts w:hint="eastAsia" w:ascii="方正黑体_GBK" w:hAnsi="宋体" w:eastAsia="方正黑体_GBK" w:cs="宋体"/>
          <w:sz w:val="32"/>
          <w:szCs w:val="32"/>
          <w:shd w:val="clear" w:color="auto" w:fill="FFFFFF"/>
        </w:rPr>
        <w:t>四、其他需要说明的事项</w:t>
      </w:r>
    </w:p>
    <w:p>
      <w:pPr>
        <w:pStyle w:val="4"/>
        <w:widowControl/>
        <w:spacing w:beforeAutospacing="0" w:afterAutospacing="0" w:line="600" w:lineRule="atLeast"/>
        <w:ind w:right="60" w:firstLine="643" w:firstLineChars="200"/>
        <w:rPr>
          <w:rStyle w:val="7"/>
          <w:rFonts w:ascii="方正楷体_GBK" w:hAnsi="宋体" w:eastAsia="方正楷体_GBK" w:cs="宋体"/>
          <w:shd w:val="clear" w:color="auto" w:fill="FFFFFF"/>
        </w:rPr>
      </w:pPr>
      <w:r>
        <w:rPr>
          <w:rStyle w:val="7"/>
          <w:rFonts w:hint="eastAsia" w:ascii="方正楷体_GBK" w:hAnsi="宋体" w:eastAsia="方正楷体_GBK" w:cs="宋体"/>
          <w:sz w:val="32"/>
          <w:szCs w:val="32"/>
          <w:shd w:val="clear" w:color="auto" w:fill="FFFFFF"/>
        </w:rPr>
        <w:t>（一）机关运行经费情况说明</w:t>
      </w:r>
    </w:p>
    <w:p>
      <w:pPr>
        <w:widowControl/>
        <w:shd w:val="clear" w:color="auto" w:fill="FFFFFF"/>
        <w:spacing w:line="600" w:lineRule="atLeast"/>
        <w:ind w:firstLine="640" w:firstLineChars="200"/>
        <w:jc w:val="left"/>
        <w:rPr>
          <w:rFonts w:ascii="方正仿宋_GBK" w:hAnsi="宋体" w:eastAsia="方正仿宋_GBK" w:cs="宋体"/>
          <w:kern w:val="0"/>
          <w:sz w:val="32"/>
          <w:szCs w:val="32"/>
          <w:shd w:val="clear" w:color="auto" w:fill="FFFFFF"/>
        </w:rPr>
      </w:pPr>
      <w:r>
        <w:rPr>
          <w:rFonts w:hint="eastAsia" w:ascii="方正仿宋_GBK" w:hAnsi="宋体" w:eastAsia="方正仿宋_GBK" w:cs="宋体"/>
          <w:kern w:val="0"/>
          <w:sz w:val="32"/>
          <w:szCs w:val="32"/>
          <w:shd w:val="clear" w:color="auto" w:fill="FFFFFF"/>
        </w:rPr>
        <w:t>本单位2020年度未发生部门机关运行经费支出。</w:t>
      </w:r>
    </w:p>
    <w:p>
      <w:pPr>
        <w:pStyle w:val="4"/>
        <w:widowControl/>
        <w:spacing w:beforeAutospacing="0" w:afterAutospacing="0" w:line="600" w:lineRule="atLeast"/>
        <w:ind w:right="60" w:firstLine="640" w:firstLineChars="200"/>
        <w:rPr>
          <w:rFonts w:ascii="方正仿宋_GBK" w:eastAsia="方正仿宋_GBK"/>
          <w:sz w:val="32"/>
          <w:szCs w:val="32"/>
        </w:rPr>
      </w:pPr>
      <w:r>
        <w:rPr>
          <w:rFonts w:hint="eastAsia" w:ascii="方正仿宋_GBK" w:hAnsi="宋体" w:eastAsia="方正仿宋_GBK" w:cs="宋体"/>
          <w:sz w:val="32"/>
          <w:szCs w:val="32"/>
          <w:shd w:val="clear" w:color="auto" w:fill="FFFFFF"/>
        </w:rPr>
        <w:t>本年度会议费支出0.56万元，较上年决算数增加0.49万元，增长700%，主要原因是会议次数增加，本年度培训费支出 1.16万元，较上年决算数增加0.40万元，增长52.6%，主要原因是培训次数增加。</w:t>
      </w:r>
    </w:p>
    <w:p>
      <w:pPr>
        <w:pStyle w:val="4"/>
        <w:widowControl/>
        <w:spacing w:beforeAutospacing="0" w:afterAutospacing="0" w:line="600" w:lineRule="atLeast"/>
        <w:ind w:right="60" w:firstLine="643" w:firstLineChars="200"/>
        <w:rPr>
          <w:rStyle w:val="7"/>
          <w:rFonts w:ascii="方正楷体_GBK" w:hAnsi="宋体" w:eastAsia="方正楷体_GBK" w:cs="宋体"/>
          <w:shd w:val="clear" w:color="auto" w:fill="FFFFFF"/>
        </w:rPr>
      </w:pPr>
      <w:r>
        <w:rPr>
          <w:rStyle w:val="7"/>
          <w:rFonts w:hint="eastAsia" w:ascii="方正楷体_GBK" w:hAnsi="宋体" w:eastAsia="方正楷体_GBK" w:cs="宋体"/>
          <w:sz w:val="32"/>
          <w:szCs w:val="32"/>
          <w:shd w:val="clear" w:color="auto" w:fill="FFFFFF"/>
        </w:rPr>
        <w:t>（二）国有资产占用情况说明</w:t>
      </w:r>
    </w:p>
    <w:p>
      <w:pPr>
        <w:pStyle w:val="4"/>
        <w:widowControl/>
        <w:spacing w:beforeAutospacing="0" w:afterAutospacing="0" w:line="600" w:lineRule="atLeast"/>
        <w:ind w:right="60" w:firstLine="640" w:firstLineChars="200"/>
        <w:rPr>
          <w:rFonts w:ascii="方正仿宋_GBK" w:hAnsi="宋体" w:eastAsia="方正仿宋_GBK" w:cs="宋体"/>
          <w:sz w:val="32"/>
          <w:szCs w:val="32"/>
          <w:shd w:val="clear" w:color="auto" w:fill="FFFFFF"/>
        </w:rPr>
      </w:pPr>
      <w:r>
        <w:rPr>
          <w:rFonts w:hint="eastAsia" w:ascii="方正仿宋_GBK" w:hAnsi="宋体" w:eastAsia="方正仿宋_GBK" w:cs="宋体"/>
          <w:sz w:val="32"/>
          <w:szCs w:val="32"/>
          <w:shd w:val="clear" w:color="auto" w:fill="FFFFFF"/>
        </w:rPr>
        <w:t>因本单位无用车需求原因，我单位资产未纳入部门决算报表。</w:t>
      </w:r>
    </w:p>
    <w:p>
      <w:pPr>
        <w:pStyle w:val="4"/>
        <w:widowControl/>
        <w:spacing w:beforeAutospacing="0" w:afterAutospacing="0" w:line="600" w:lineRule="atLeast"/>
        <w:ind w:right="60" w:firstLine="643" w:firstLineChars="200"/>
        <w:rPr>
          <w:rStyle w:val="7"/>
          <w:rFonts w:ascii="方正楷体_GBK" w:hAnsi="宋体" w:eastAsia="方正楷体_GBK" w:cs="宋体"/>
          <w:shd w:val="clear" w:color="auto" w:fill="FFFFFF"/>
        </w:rPr>
      </w:pPr>
      <w:r>
        <w:rPr>
          <w:rStyle w:val="7"/>
          <w:rFonts w:hint="eastAsia" w:ascii="方正楷体_GBK" w:hAnsi="宋体" w:eastAsia="方正楷体_GBK" w:cs="宋体"/>
          <w:sz w:val="32"/>
          <w:szCs w:val="32"/>
          <w:shd w:val="clear" w:color="auto" w:fill="FFFFFF"/>
        </w:rPr>
        <w:t>（三）政府采购支出情况说明</w:t>
      </w:r>
    </w:p>
    <w:p>
      <w:pPr>
        <w:pStyle w:val="4"/>
        <w:widowControl/>
        <w:spacing w:beforeAutospacing="0" w:afterAutospacing="0" w:line="600" w:lineRule="atLeast"/>
        <w:ind w:right="60" w:firstLine="640" w:firstLineChars="200"/>
        <w:rPr>
          <w:rFonts w:ascii="方正仿宋_GBK" w:hAnsi="宋体" w:eastAsia="方正仿宋_GBK" w:cs="宋体"/>
          <w:sz w:val="32"/>
          <w:szCs w:val="32"/>
          <w:shd w:val="clear" w:color="auto" w:fill="FFFFFF"/>
        </w:rPr>
      </w:pPr>
      <w:r>
        <w:rPr>
          <w:rFonts w:hint="eastAsia" w:ascii="方正仿宋_GBK" w:hAnsi="宋体" w:eastAsia="方正仿宋_GBK" w:cs="宋体"/>
          <w:sz w:val="32"/>
          <w:szCs w:val="32"/>
          <w:shd w:val="clear" w:color="auto" w:fill="FFFFFF"/>
        </w:rPr>
        <w:t>2020年度我单位未发生政府采购事项，无相关经费支出。</w:t>
      </w:r>
    </w:p>
    <w:p>
      <w:pPr>
        <w:pStyle w:val="4"/>
        <w:widowControl/>
        <w:spacing w:beforeAutospacing="0" w:afterAutospacing="0" w:line="600" w:lineRule="atLeast"/>
        <w:ind w:right="60" w:firstLine="643" w:firstLineChars="200"/>
        <w:rPr>
          <w:rStyle w:val="7"/>
          <w:rFonts w:ascii="方正黑体_GBK" w:hAnsi="宋体" w:eastAsia="方正黑体_GBK" w:cs="宋体"/>
          <w:shd w:val="clear" w:color="auto" w:fill="FFFFFF"/>
        </w:rPr>
      </w:pPr>
      <w:r>
        <w:rPr>
          <w:rStyle w:val="7"/>
          <w:rFonts w:hint="eastAsia" w:ascii="方正黑体_GBK" w:hAnsi="宋体" w:eastAsia="方正黑体_GBK" w:cs="宋体"/>
          <w:sz w:val="32"/>
          <w:szCs w:val="32"/>
          <w:shd w:val="clear" w:color="auto" w:fill="FFFFFF"/>
        </w:rPr>
        <w:t>五、预算绩效管理情况说明</w:t>
      </w:r>
    </w:p>
    <w:p>
      <w:pPr>
        <w:pStyle w:val="4"/>
        <w:widowControl/>
        <w:spacing w:beforeAutospacing="0" w:afterAutospacing="0" w:line="600" w:lineRule="atLeast"/>
        <w:ind w:right="60" w:firstLine="640" w:firstLineChars="200"/>
        <w:rPr>
          <w:rFonts w:ascii="方正仿宋_GBK" w:hAnsi="宋体" w:eastAsia="方正仿宋_GBK" w:cs="宋体"/>
          <w:sz w:val="32"/>
          <w:szCs w:val="32"/>
          <w:shd w:val="clear" w:color="auto" w:fill="FFFFFF"/>
        </w:rPr>
      </w:pPr>
      <w:r>
        <w:rPr>
          <w:rFonts w:hint="eastAsia" w:ascii="方正仿宋_GBK" w:hAnsi="宋体" w:eastAsia="方正仿宋_GBK" w:cs="宋体"/>
          <w:sz w:val="32"/>
          <w:szCs w:val="32"/>
          <w:shd w:val="clear" w:color="auto" w:fill="FFFFFF"/>
        </w:rPr>
        <w:t>有疑问请联系绩效中心邓淳丹：15730367510</w:t>
      </w:r>
    </w:p>
    <w:p>
      <w:pPr>
        <w:pStyle w:val="4"/>
        <w:widowControl/>
        <w:spacing w:beforeAutospacing="0" w:afterAutospacing="0" w:line="600" w:lineRule="atLeast"/>
        <w:ind w:right="60" w:firstLine="643" w:firstLineChars="200"/>
        <w:rPr>
          <w:rStyle w:val="7"/>
          <w:rFonts w:ascii="方正楷体_GBK" w:hAnsi="宋体" w:eastAsia="方正楷体_GBK" w:cs="宋体"/>
          <w:shd w:val="clear" w:color="auto" w:fill="FFFFFF"/>
        </w:rPr>
      </w:pPr>
      <w:r>
        <w:rPr>
          <w:rStyle w:val="7"/>
          <w:rFonts w:hint="eastAsia" w:ascii="方正楷体_GBK" w:hAnsi="宋体" w:eastAsia="方正楷体_GBK" w:cs="宋体"/>
          <w:sz w:val="32"/>
          <w:szCs w:val="32"/>
          <w:shd w:val="clear" w:color="auto" w:fill="FFFFFF"/>
        </w:rPr>
        <w:t>（一）预算绩效管理工作开展情况</w:t>
      </w:r>
    </w:p>
    <w:p>
      <w:pPr>
        <w:pStyle w:val="4"/>
        <w:widowControl/>
        <w:spacing w:beforeAutospacing="0" w:afterAutospacing="0" w:line="600" w:lineRule="atLeast"/>
        <w:ind w:right="60" w:firstLine="640" w:firstLineChars="200"/>
        <w:rPr>
          <w:rFonts w:ascii="方正仿宋_GBK" w:hAnsi="宋体" w:eastAsia="方正仿宋_GBK" w:cs="宋体"/>
          <w:sz w:val="32"/>
          <w:szCs w:val="32"/>
          <w:shd w:val="clear" w:color="auto" w:fill="FFFFFF"/>
        </w:rPr>
      </w:pPr>
      <w:r>
        <w:rPr>
          <w:rFonts w:hint="eastAsia" w:ascii="方正仿宋_GBK" w:hAnsi="宋体" w:eastAsia="方正仿宋_GBK" w:cs="宋体"/>
          <w:sz w:val="32"/>
          <w:szCs w:val="32"/>
          <w:shd w:val="clear" w:color="auto" w:fill="FFFFFF"/>
        </w:rPr>
        <w:t>根据预算绩效管理要求，本部门对8个项目开展了绩效自评，其中，以填报目标自评表形式开展自评8项，涉及资金53.5万元；本单位未委托第三方形式开展绩效自评。</w:t>
      </w:r>
    </w:p>
    <w:p>
      <w:pPr>
        <w:pStyle w:val="4"/>
        <w:widowControl/>
        <w:spacing w:beforeAutospacing="0" w:afterAutospacing="0" w:line="600" w:lineRule="atLeast"/>
        <w:ind w:right="60" w:firstLine="643" w:firstLineChars="200"/>
        <w:rPr>
          <w:rStyle w:val="7"/>
          <w:rFonts w:ascii="方正楷体_GBK" w:hAnsi="宋体" w:eastAsia="方正楷体_GBK" w:cs="宋体"/>
          <w:shd w:val="clear" w:color="auto" w:fill="FFFFFF"/>
        </w:rPr>
      </w:pPr>
      <w:r>
        <w:rPr>
          <w:rStyle w:val="7"/>
          <w:rFonts w:hint="eastAsia" w:ascii="方正楷体_GBK" w:hAnsi="宋体" w:eastAsia="方正楷体_GBK" w:cs="宋体"/>
          <w:sz w:val="32"/>
          <w:szCs w:val="32"/>
          <w:shd w:val="clear" w:color="auto" w:fill="FFFFFF"/>
        </w:rPr>
        <w:t>（二）绩效自评结果</w:t>
      </w:r>
    </w:p>
    <w:p>
      <w:pPr>
        <w:pStyle w:val="4"/>
        <w:widowControl/>
        <w:spacing w:line="600" w:lineRule="atLeast"/>
        <w:ind w:right="60"/>
        <w:rPr>
          <w:rStyle w:val="7"/>
          <w:rFonts w:ascii="宋体" w:hAnsi="宋体" w:eastAsia="宋体" w:cs="宋体"/>
          <w:sz w:val="21"/>
          <w:szCs w:val="21"/>
          <w:shd w:val="clear" w:color="auto" w:fill="FFFFFF"/>
        </w:rPr>
      </w:pPr>
      <w:r>
        <w:rPr>
          <w:rStyle w:val="7"/>
          <w:rFonts w:hint="eastAsia" w:ascii="宋体" w:hAnsi="宋体" w:eastAsia="宋体" w:cs="宋体"/>
          <w:sz w:val="21"/>
          <w:szCs w:val="21"/>
          <w:shd w:val="clear" w:color="auto" w:fill="FFFFFF"/>
        </w:rPr>
        <w:t>1.绩效自评表</w:t>
      </w:r>
    </w:p>
    <w:tbl>
      <w:tblPr>
        <w:tblStyle w:val="5"/>
        <w:tblpPr w:leftFromText="180" w:rightFromText="180" w:vertAnchor="text" w:horzAnchor="page" w:tblpX="1200" w:tblpY="613"/>
        <w:tblOverlap w:val="never"/>
        <w:tblW w:w="10475" w:type="dxa"/>
        <w:tblInd w:w="0" w:type="dxa"/>
        <w:tblLayout w:type="fixed"/>
        <w:tblCellMar>
          <w:top w:w="0" w:type="dxa"/>
          <w:left w:w="108" w:type="dxa"/>
          <w:bottom w:w="0" w:type="dxa"/>
          <w:right w:w="108" w:type="dxa"/>
        </w:tblCellMar>
      </w:tblPr>
      <w:tblGrid>
        <w:gridCol w:w="945"/>
        <w:gridCol w:w="1935"/>
        <w:gridCol w:w="1305"/>
        <w:gridCol w:w="1215"/>
        <w:gridCol w:w="1665"/>
        <w:gridCol w:w="1590"/>
        <w:gridCol w:w="1140"/>
        <w:gridCol w:w="680"/>
      </w:tblGrid>
      <w:tr>
        <w:tblPrEx>
          <w:tblCellMar>
            <w:top w:w="0" w:type="dxa"/>
            <w:left w:w="108" w:type="dxa"/>
            <w:bottom w:w="0" w:type="dxa"/>
            <w:right w:w="108" w:type="dxa"/>
          </w:tblCellMar>
        </w:tblPrEx>
        <w:trPr>
          <w:trHeight w:val="330" w:hRule="atLeast"/>
        </w:trPr>
        <w:tc>
          <w:tcPr>
            <w:tcW w:w="945" w:type="dxa"/>
            <w:tcBorders>
              <w:top w:val="nil"/>
              <w:left w:val="nil"/>
              <w:bottom w:val="nil"/>
              <w:right w:val="nil"/>
            </w:tcBorders>
            <w:shd w:val="clear" w:color="auto" w:fill="auto"/>
            <w:noWrap/>
            <w:vAlign w:val="center"/>
          </w:tcPr>
          <w:p>
            <w:pPr>
              <w:spacing w:line="600" w:lineRule="atLeast"/>
              <w:rPr>
                <w:rFonts w:ascii="黑体" w:hAnsi="宋体" w:eastAsia="黑体" w:cs="黑体"/>
                <w:color w:val="000000"/>
                <w:sz w:val="24"/>
              </w:rPr>
            </w:pPr>
          </w:p>
        </w:tc>
        <w:tc>
          <w:tcPr>
            <w:tcW w:w="1935" w:type="dxa"/>
            <w:tcBorders>
              <w:top w:val="nil"/>
              <w:left w:val="nil"/>
              <w:bottom w:val="nil"/>
              <w:right w:val="nil"/>
            </w:tcBorders>
            <w:shd w:val="clear" w:color="auto" w:fill="auto"/>
            <w:vAlign w:val="center"/>
          </w:tcPr>
          <w:p>
            <w:pPr>
              <w:spacing w:line="600" w:lineRule="atLeast"/>
              <w:rPr>
                <w:rFonts w:ascii="黑体" w:hAnsi="宋体" w:eastAsia="黑体" w:cs="黑体"/>
                <w:color w:val="000000"/>
                <w:sz w:val="24"/>
              </w:rPr>
            </w:pPr>
          </w:p>
        </w:tc>
        <w:tc>
          <w:tcPr>
            <w:tcW w:w="1305" w:type="dxa"/>
            <w:tcBorders>
              <w:top w:val="nil"/>
              <w:left w:val="nil"/>
              <w:bottom w:val="nil"/>
              <w:right w:val="nil"/>
            </w:tcBorders>
            <w:shd w:val="clear" w:color="auto" w:fill="auto"/>
            <w:vAlign w:val="center"/>
          </w:tcPr>
          <w:p>
            <w:pPr>
              <w:spacing w:line="600" w:lineRule="atLeast"/>
              <w:rPr>
                <w:rFonts w:ascii="黑体" w:hAnsi="宋体" w:eastAsia="黑体" w:cs="黑体"/>
                <w:color w:val="000000"/>
                <w:sz w:val="24"/>
              </w:rPr>
            </w:pPr>
          </w:p>
        </w:tc>
        <w:tc>
          <w:tcPr>
            <w:tcW w:w="1215" w:type="dxa"/>
            <w:tcBorders>
              <w:top w:val="nil"/>
              <w:left w:val="nil"/>
              <w:bottom w:val="nil"/>
              <w:right w:val="nil"/>
            </w:tcBorders>
            <w:shd w:val="clear" w:color="auto" w:fill="auto"/>
            <w:vAlign w:val="center"/>
          </w:tcPr>
          <w:p>
            <w:pPr>
              <w:spacing w:line="600" w:lineRule="atLeast"/>
              <w:rPr>
                <w:rFonts w:ascii="宋体" w:hAnsi="宋体" w:eastAsia="宋体" w:cs="宋体"/>
                <w:color w:val="000000"/>
                <w:sz w:val="24"/>
              </w:rPr>
            </w:pPr>
          </w:p>
        </w:tc>
        <w:tc>
          <w:tcPr>
            <w:tcW w:w="1665" w:type="dxa"/>
            <w:tcBorders>
              <w:top w:val="nil"/>
              <w:left w:val="nil"/>
              <w:bottom w:val="nil"/>
              <w:right w:val="nil"/>
            </w:tcBorders>
            <w:shd w:val="clear" w:color="auto" w:fill="auto"/>
            <w:vAlign w:val="center"/>
          </w:tcPr>
          <w:p>
            <w:pPr>
              <w:spacing w:line="600" w:lineRule="atLeast"/>
              <w:rPr>
                <w:rFonts w:ascii="宋体" w:hAnsi="宋体" w:eastAsia="宋体" w:cs="宋体"/>
                <w:color w:val="000000"/>
                <w:sz w:val="24"/>
              </w:rPr>
            </w:pPr>
          </w:p>
        </w:tc>
        <w:tc>
          <w:tcPr>
            <w:tcW w:w="1590" w:type="dxa"/>
            <w:tcBorders>
              <w:top w:val="nil"/>
              <w:left w:val="nil"/>
              <w:bottom w:val="nil"/>
              <w:right w:val="nil"/>
            </w:tcBorders>
            <w:shd w:val="clear" w:color="auto" w:fill="auto"/>
            <w:vAlign w:val="center"/>
          </w:tcPr>
          <w:p>
            <w:pPr>
              <w:spacing w:line="600" w:lineRule="atLeast"/>
              <w:rPr>
                <w:rFonts w:ascii="宋体" w:hAnsi="宋体" w:eastAsia="宋体" w:cs="宋体"/>
                <w:color w:val="000000"/>
                <w:sz w:val="24"/>
              </w:rPr>
            </w:pPr>
          </w:p>
        </w:tc>
        <w:tc>
          <w:tcPr>
            <w:tcW w:w="1140" w:type="dxa"/>
            <w:tcBorders>
              <w:top w:val="nil"/>
              <w:left w:val="nil"/>
              <w:bottom w:val="nil"/>
              <w:right w:val="nil"/>
            </w:tcBorders>
            <w:shd w:val="clear" w:color="auto" w:fill="auto"/>
            <w:vAlign w:val="center"/>
          </w:tcPr>
          <w:p>
            <w:pPr>
              <w:spacing w:line="600" w:lineRule="atLeast"/>
              <w:rPr>
                <w:rFonts w:ascii="宋体" w:hAnsi="宋体" w:eastAsia="宋体" w:cs="宋体"/>
                <w:color w:val="000000"/>
                <w:sz w:val="24"/>
              </w:rPr>
            </w:pPr>
          </w:p>
        </w:tc>
        <w:tc>
          <w:tcPr>
            <w:tcW w:w="680" w:type="dxa"/>
            <w:tcBorders>
              <w:top w:val="nil"/>
              <w:left w:val="nil"/>
              <w:bottom w:val="nil"/>
              <w:right w:val="nil"/>
            </w:tcBorders>
            <w:shd w:val="clear" w:color="auto" w:fill="auto"/>
            <w:vAlign w:val="center"/>
          </w:tcPr>
          <w:p>
            <w:pPr>
              <w:spacing w:line="600" w:lineRule="atLeast"/>
              <w:rPr>
                <w:rFonts w:ascii="宋体" w:hAnsi="宋体" w:eastAsia="宋体" w:cs="宋体"/>
                <w:color w:val="000000"/>
                <w:sz w:val="24"/>
              </w:rPr>
            </w:pPr>
          </w:p>
        </w:tc>
      </w:tr>
      <w:tr>
        <w:tblPrEx>
          <w:tblCellMar>
            <w:top w:w="0" w:type="dxa"/>
            <w:left w:w="108" w:type="dxa"/>
            <w:bottom w:w="0" w:type="dxa"/>
            <w:right w:w="108" w:type="dxa"/>
          </w:tblCellMar>
        </w:tblPrEx>
        <w:trPr>
          <w:trHeight w:val="585" w:hRule="atLeast"/>
        </w:trPr>
        <w:tc>
          <w:tcPr>
            <w:tcW w:w="10475" w:type="dxa"/>
            <w:gridSpan w:val="8"/>
            <w:tcBorders>
              <w:top w:val="nil"/>
              <w:left w:val="nil"/>
              <w:bottom w:val="nil"/>
              <w:right w:val="nil"/>
            </w:tcBorders>
            <w:shd w:val="clear" w:color="auto" w:fill="auto"/>
            <w:vAlign w:val="center"/>
          </w:tcPr>
          <w:p>
            <w:pPr>
              <w:widowControl/>
              <w:spacing w:line="600" w:lineRule="atLeast"/>
              <w:jc w:val="center"/>
              <w:textAlignment w:val="center"/>
              <w:rPr>
                <w:rFonts w:ascii="宋体" w:hAnsi="宋体" w:eastAsia="宋体" w:cs="宋体"/>
                <w:b/>
                <w:bCs/>
                <w:color w:val="000000"/>
                <w:sz w:val="32"/>
                <w:szCs w:val="32"/>
              </w:rPr>
            </w:pPr>
            <w:r>
              <w:rPr>
                <w:rFonts w:hint="eastAsia" w:ascii="宋体" w:hAnsi="宋体" w:eastAsia="宋体" w:cs="宋体"/>
                <w:b/>
                <w:bCs/>
                <w:color w:val="000000"/>
                <w:kern w:val="0"/>
                <w:sz w:val="32"/>
                <w:szCs w:val="32"/>
              </w:rPr>
              <w:t xml:space="preserve">2020年度区级预算单位项目支出绩效自评表  </w:t>
            </w:r>
          </w:p>
        </w:tc>
      </w:tr>
      <w:tr>
        <w:tblPrEx>
          <w:tblCellMar>
            <w:top w:w="0" w:type="dxa"/>
            <w:left w:w="108" w:type="dxa"/>
            <w:bottom w:w="0" w:type="dxa"/>
            <w:right w:w="108" w:type="dxa"/>
          </w:tblCellMar>
        </w:tblPrEx>
        <w:trPr>
          <w:trHeight w:val="585" w:hRule="atLeast"/>
        </w:trPr>
        <w:tc>
          <w:tcPr>
            <w:tcW w:w="4185" w:type="dxa"/>
            <w:gridSpan w:val="3"/>
            <w:tcBorders>
              <w:top w:val="nil"/>
              <w:left w:val="nil"/>
              <w:bottom w:val="single" w:color="000000" w:sz="4" w:space="0"/>
              <w:right w:val="nil"/>
            </w:tcBorders>
            <w:shd w:val="clear" w:color="auto" w:fill="auto"/>
            <w:vAlign w:val="center"/>
          </w:tcPr>
          <w:p>
            <w:pPr>
              <w:widowControl/>
              <w:spacing w:line="600" w:lineRule="atLeast"/>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填表单位（盖章）：重庆市綦江区分水小学</w:t>
            </w:r>
          </w:p>
        </w:tc>
        <w:tc>
          <w:tcPr>
            <w:tcW w:w="1215" w:type="dxa"/>
            <w:tcBorders>
              <w:top w:val="nil"/>
              <w:left w:val="nil"/>
              <w:bottom w:val="nil"/>
              <w:right w:val="nil"/>
            </w:tcBorders>
            <w:shd w:val="clear" w:color="auto" w:fill="auto"/>
            <w:vAlign w:val="center"/>
          </w:tcPr>
          <w:p>
            <w:pPr>
              <w:spacing w:line="600" w:lineRule="atLeast"/>
              <w:jc w:val="center"/>
              <w:rPr>
                <w:rFonts w:ascii="宋体" w:hAnsi="宋体" w:eastAsia="宋体" w:cs="宋体"/>
                <w:b/>
                <w:bCs/>
                <w:color w:val="000000"/>
                <w:sz w:val="32"/>
                <w:szCs w:val="32"/>
              </w:rPr>
            </w:pPr>
          </w:p>
        </w:tc>
        <w:tc>
          <w:tcPr>
            <w:tcW w:w="1665" w:type="dxa"/>
            <w:tcBorders>
              <w:top w:val="nil"/>
              <w:left w:val="nil"/>
              <w:bottom w:val="nil"/>
              <w:right w:val="nil"/>
            </w:tcBorders>
            <w:shd w:val="clear" w:color="auto" w:fill="auto"/>
            <w:vAlign w:val="center"/>
          </w:tcPr>
          <w:p>
            <w:pPr>
              <w:spacing w:line="600" w:lineRule="atLeast"/>
              <w:jc w:val="center"/>
              <w:rPr>
                <w:rFonts w:ascii="宋体" w:hAnsi="宋体" w:eastAsia="宋体" w:cs="宋体"/>
                <w:b/>
                <w:bCs/>
                <w:color w:val="000000"/>
                <w:sz w:val="32"/>
                <w:szCs w:val="32"/>
              </w:rPr>
            </w:pPr>
          </w:p>
        </w:tc>
        <w:tc>
          <w:tcPr>
            <w:tcW w:w="1590" w:type="dxa"/>
            <w:tcBorders>
              <w:top w:val="nil"/>
              <w:left w:val="nil"/>
              <w:bottom w:val="nil"/>
              <w:right w:val="nil"/>
            </w:tcBorders>
            <w:shd w:val="clear" w:color="auto" w:fill="auto"/>
            <w:vAlign w:val="center"/>
          </w:tcPr>
          <w:p>
            <w:pPr>
              <w:spacing w:line="600" w:lineRule="atLeast"/>
              <w:jc w:val="center"/>
              <w:rPr>
                <w:rFonts w:ascii="宋体" w:hAnsi="宋体" w:eastAsia="宋体" w:cs="宋体"/>
                <w:b/>
                <w:bCs/>
                <w:color w:val="000000"/>
                <w:sz w:val="32"/>
                <w:szCs w:val="32"/>
              </w:rPr>
            </w:pPr>
          </w:p>
        </w:tc>
        <w:tc>
          <w:tcPr>
            <w:tcW w:w="1140" w:type="dxa"/>
            <w:tcBorders>
              <w:top w:val="nil"/>
              <w:left w:val="nil"/>
              <w:bottom w:val="nil"/>
              <w:right w:val="nil"/>
            </w:tcBorders>
            <w:shd w:val="clear" w:color="auto" w:fill="auto"/>
            <w:vAlign w:val="center"/>
          </w:tcPr>
          <w:p>
            <w:pPr>
              <w:spacing w:line="600" w:lineRule="atLeast"/>
              <w:jc w:val="center"/>
              <w:rPr>
                <w:rFonts w:ascii="宋体" w:hAnsi="宋体" w:eastAsia="宋体" w:cs="宋体"/>
                <w:b/>
                <w:bCs/>
                <w:color w:val="000000"/>
                <w:sz w:val="32"/>
                <w:szCs w:val="32"/>
              </w:rPr>
            </w:pPr>
          </w:p>
        </w:tc>
        <w:tc>
          <w:tcPr>
            <w:tcW w:w="680" w:type="dxa"/>
            <w:tcBorders>
              <w:top w:val="nil"/>
              <w:left w:val="nil"/>
              <w:bottom w:val="nil"/>
              <w:right w:val="nil"/>
            </w:tcBorders>
            <w:shd w:val="clear" w:color="auto" w:fill="auto"/>
            <w:vAlign w:val="center"/>
          </w:tcPr>
          <w:p>
            <w:pPr>
              <w:spacing w:line="600" w:lineRule="atLeast"/>
              <w:jc w:val="center"/>
              <w:rPr>
                <w:rFonts w:ascii="宋体" w:hAnsi="宋体" w:eastAsia="宋体" w:cs="宋体"/>
                <w:b/>
                <w:bCs/>
                <w:color w:val="000000"/>
                <w:sz w:val="32"/>
                <w:szCs w:val="32"/>
              </w:rPr>
            </w:pPr>
          </w:p>
        </w:tc>
      </w:tr>
      <w:tr>
        <w:tblPrEx>
          <w:tblCellMar>
            <w:top w:w="0" w:type="dxa"/>
            <w:left w:w="108" w:type="dxa"/>
            <w:bottom w:w="0" w:type="dxa"/>
            <w:right w:w="108" w:type="dxa"/>
          </w:tblCellMar>
        </w:tblPrEx>
        <w:trPr>
          <w:trHeight w:val="645" w:hRule="atLeast"/>
        </w:trPr>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项目名称</w:t>
            </w:r>
          </w:p>
        </w:tc>
        <w:tc>
          <w:tcPr>
            <w:tcW w:w="44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农村义务</w:t>
            </w:r>
            <w:r>
              <w:rPr>
                <w:rFonts w:hint="eastAsia" w:ascii="宋体" w:hAnsi="宋体" w:eastAsia="宋体" w:cs="宋体"/>
                <w:color w:val="000000"/>
                <w:kern w:val="0"/>
                <w:sz w:val="20"/>
                <w:szCs w:val="20"/>
                <w:lang w:eastAsia="zh-CN"/>
              </w:rPr>
              <w:t>教育</w:t>
            </w:r>
            <w:r>
              <w:rPr>
                <w:rFonts w:hint="eastAsia" w:ascii="宋体" w:hAnsi="宋体" w:eastAsia="宋体" w:cs="宋体"/>
                <w:color w:val="000000"/>
                <w:kern w:val="0"/>
                <w:sz w:val="20"/>
                <w:szCs w:val="20"/>
              </w:rPr>
              <w:t>学生营养改善计划资金</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自评总分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（分</w:t>
            </w:r>
            <w:r>
              <w:rPr>
                <w:rFonts w:hint="eastAsia" w:ascii="宋体" w:hAnsi="宋体" w:eastAsia="宋体" w:cs="宋体"/>
                <w:color w:val="000000"/>
                <w:kern w:val="0"/>
                <w:sz w:val="20"/>
                <w:szCs w:val="20"/>
                <w:lang w:eastAsia="zh-CN"/>
              </w:rPr>
              <w:t>）</w:t>
            </w:r>
          </w:p>
        </w:tc>
        <w:tc>
          <w:tcPr>
            <w:tcW w:w="34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r>
      <w:tr>
        <w:tblPrEx>
          <w:tblCellMar>
            <w:top w:w="0" w:type="dxa"/>
            <w:left w:w="108" w:type="dxa"/>
            <w:bottom w:w="0" w:type="dxa"/>
            <w:right w:w="108" w:type="dxa"/>
          </w:tblCellMar>
        </w:tblPrEx>
        <w:trPr>
          <w:trHeight w:val="645" w:hRule="atLeast"/>
        </w:trPr>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业务主管部门</w:t>
            </w:r>
          </w:p>
        </w:tc>
        <w:tc>
          <w:tcPr>
            <w:tcW w:w="44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重庆市綦江区教育委员会</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联系人</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及电话</w:t>
            </w:r>
          </w:p>
        </w:tc>
        <w:tc>
          <w:tcPr>
            <w:tcW w:w="34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黄金18702377887</w:t>
            </w:r>
          </w:p>
        </w:tc>
      </w:tr>
      <w:tr>
        <w:tblPrEx>
          <w:tblCellMar>
            <w:top w:w="0" w:type="dxa"/>
            <w:left w:w="108" w:type="dxa"/>
            <w:bottom w:w="0" w:type="dxa"/>
            <w:right w:w="108" w:type="dxa"/>
          </w:tblCellMar>
        </w:tblPrEx>
        <w:trPr>
          <w:trHeight w:val="360"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项目资金（万元）</w:t>
            </w:r>
          </w:p>
        </w:tc>
        <w:tc>
          <w:tcPr>
            <w:tcW w:w="1935" w:type="dxa"/>
            <w:tcBorders>
              <w:top w:val="single" w:color="000000" w:sz="4" w:space="0"/>
              <w:left w:val="single" w:color="000000" w:sz="4" w:space="0"/>
              <w:bottom w:val="single" w:color="000000" w:sz="4" w:space="0"/>
              <w:right w:val="nil"/>
            </w:tcBorders>
            <w:shd w:val="clear" w:color="auto" w:fill="auto"/>
            <w:vAlign w:val="center"/>
          </w:tcPr>
          <w:p>
            <w:pPr>
              <w:spacing w:line="600" w:lineRule="atLeast"/>
              <w:rPr>
                <w:rFonts w:ascii="宋体" w:hAnsi="宋体" w:eastAsia="宋体" w:cs="宋体"/>
                <w:color w:val="000000"/>
                <w:sz w:val="20"/>
                <w:szCs w:val="20"/>
              </w:rPr>
            </w:pPr>
          </w:p>
        </w:tc>
        <w:tc>
          <w:tcPr>
            <w:tcW w:w="2520" w:type="dxa"/>
            <w:gridSpan w:val="2"/>
            <w:tcBorders>
              <w:top w:val="single" w:color="000000" w:sz="4" w:space="0"/>
              <w:left w:val="single" w:color="000000" w:sz="4" w:space="0"/>
              <w:bottom w:val="single" w:color="000000" w:sz="4" w:space="0"/>
              <w:right w:val="nil"/>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全年预算数（A）</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全年执行数（B）</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执行率%（B/A）</w:t>
            </w:r>
          </w:p>
        </w:tc>
        <w:tc>
          <w:tcPr>
            <w:tcW w:w="1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执行率得分（分）</w:t>
            </w:r>
          </w:p>
        </w:tc>
      </w:tr>
      <w:tr>
        <w:tblPrEx>
          <w:tblCellMar>
            <w:top w:w="0" w:type="dxa"/>
            <w:left w:w="108" w:type="dxa"/>
            <w:bottom w:w="0" w:type="dxa"/>
            <w:right w:w="108" w:type="dxa"/>
          </w:tblCellMar>
        </w:tblPrEx>
        <w:trPr>
          <w:trHeight w:val="36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atLeast"/>
              <w:jc w:val="center"/>
              <w:rPr>
                <w:rFonts w:ascii="宋体" w:hAnsi="宋体" w:eastAsia="宋体" w:cs="宋体"/>
                <w:color w:val="000000"/>
                <w:sz w:val="20"/>
                <w:szCs w:val="20"/>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年度资金总额：</w:t>
            </w:r>
          </w:p>
        </w:tc>
        <w:tc>
          <w:tcPr>
            <w:tcW w:w="2520" w:type="dxa"/>
            <w:gridSpan w:val="2"/>
            <w:tcBorders>
              <w:top w:val="single" w:color="000000" w:sz="4" w:space="0"/>
              <w:left w:val="single" w:color="000000" w:sz="4" w:space="0"/>
              <w:bottom w:val="single" w:color="000000" w:sz="4" w:space="0"/>
              <w:right w:val="nil"/>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5.006</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5.006</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c>
          <w:tcPr>
            <w:tcW w:w="1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36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atLeast"/>
              <w:jc w:val="center"/>
              <w:rPr>
                <w:rFonts w:ascii="宋体" w:hAnsi="宋体" w:eastAsia="宋体" w:cs="宋体"/>
                <w:color w:val="000000"/>
                <w:sz w:val="20"/>
                <w:szCs w:val="20"/>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其中：中央补助</w:t>
            </w:r>
          </w:p>
        </w:tc>
        <w:tc>
          <w:tcPr>
            <w:tcW w:w="2520" w:type="dxa"/>
            <w:gridSpan w:val="2"/>
            <w:tcBorders>
              <w:top w:val="single" w:color="000000" w:sz="4" w:space="0"/>
              <w:left w:val="single" w:color="000000" w:sz="4" w:space="0"/>
              <w:bottom w:val="single" w:color="000000" w:sz="4" w:space="0"/>
              <w:right w:val="nil"/>
            </w:tcBorders>
            <w:shd w:val="clear" w:color="auto" w:fill="auto"/>
            <w:vAlign w:val="center"/>
          </w:tcPr>
          <w:p>
            <w:pPr>
              <w:spacing w:line="600" w:lineRule="atLeast"/>
              <w:jc w:val="center"/>
              <w:rPr>
                <w:rFonts w:ascii="宋体" w:hAnsi="宋体" w:eastAsia="宋体" w:cs="宋体"/>
                <w:color w:val="000000"/>
                <w:sz w:val="20"/>
                <w:szCs w:val="20"/>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atLeast"/>
              <w:jc w:val="center"/>
              <w:rPr>
                <w:rFonts w:ascii="宋体" w:hAnsi="宋体" w:eastAsia="宋体" w:cs="宋体"/>
                <w:color w:val="000000"/>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atLeast"/>
              <w:jc w:val="center"/>
              <w:rPr>
                <w:rFonts w:ascii="宋体" w:hAnsi="宋体" w:eastAsia="宋体" w:cs="宋体"/>
                <w:color w:val="000000"/>
                <w:sz w:val="20"/>
                <w:szCs w:val="20"/>
              </w:rPr>
            </w:pPr>
          </w:p>
        </w:tc>
        <w:tc>
          <w:tcPr>
            <w:tcW w:w="1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37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atLeast"/>
              <w:jc w:val="center"/>
              <w:rPr>
                <w:rFonts w:ascii="宋体" w:hAnsi="宋体" w:eastAsia="宋体" w:cs="宋体"/>
                <w:color w:val="000000"/>
                <w:sz w:val="20"/>
                <w:szCs w:val="20"/>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市级补助</w:t>
            </w:r>
          </w:p>
        </w:tc>
        <w:tc>
          <w:tcPr>
            <w:tcW w:w="2520" w:type="dxa"/>
            <w:gridSpan w:val="2"/>
            <w:tcBorders>
              <w:top w:val="single" w:color="000000" w:sz="4" w:space="0"/>
              <w:left w:val="single" w:color="000000" w:sz="4" w:space="0"/>
              <w:bottom w:val="single" w:color="000000" w:sz="4" w:space="0"/>
              <w:right w:val="nil"/>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0.9</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atLeast"/>
              <w:jc w:val="center"/>
              <w:rPr>
                <w:rFonts w:ascii="宋体" w:hAnsi="宋体" w:eastAsia="宋体" w:cs="宋体"/>
                <w:color w:val="000000"/>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atLeast"/>
              <w:jc w:val="center"/>
              <w:rPr>
                <w:rFonts w:ascii="宋体" w:hAnsi="宋体" w:eastAsia="宋体" w:cs="宋体"/>
                <w:color w:val="000000"/>
                <w:sz w:val="20"/>
                <w:szCs w:val="20"/>
              </w:rPr>
            </w:pPr>
          </w:p>
        </w:tc>
        <w:tc>
          <w:tcPr>
            <w:tcW w:w="1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42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atLeast"/>
              <w:jc w:val="center"/>
              <w:rPr>
                <w:rFonts w:ascii="宋体" w:hAnsi="宋体" w:eastAsia="宋体" w:cs="宋体"/>
                <w:color w:val="000000"/>
                <w:sz w:val="20"/>
                <w:szCs w:val="20"/>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区级资金</w:t>
            </w:r>
          </w:p>
        </w:tc>
        <w:tc>
          <w:tcPr>
            <w:tcW w:w="2520" w:type="dxa"/>
            <w:gridSpan w:val="2"/>
            <w:tcBorders>
              <w:top w:val="single" w:color="000000" w:sz="4" w:space="0"/>
              <w:left w:val="single" w:color="000000" w:sz="4" w:space="0"/>
              <w:bottom w:val="single" w:color="000000" w:sz="4" w:space="0"/>
              <w:right w:val="nil"/>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4.106</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atLeast"/>
              <w:jc w:val="center"/>
              <w:rPr>
                <w:rFonts w:ascii="宋体" w:hAnsi="宋体" w:eastAsia="宋体" w:cs="宋体"/>
                <w:color w:val="000000"/>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atLeast"/>
              <w:jc w:val="center"/>
              <w:rPr>
                <w:rFonts w:ascii="宋体" w:hAnsi="宋体" w:eastAsia="宋体" w:cs="宋体"/>
                <w:color w:val="000000"/>
                <w:sz w:val="20"/>
                <w:szCs w:val="20"/>
              </w:rPr>
            </w:pPr>
          </w:p>
        </w:tc>
        <w:tc>
          <w:tcPr>
            <w:tcW w:w="1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33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atLeast"/>
              <w:jc w:val="center"/>
              <w:rPr>
                <w:rFonts w:ascii="宋体" w:hAnsi="宋体" w:eastAsia="宋体" w:cs="宋体"/>
                <w:color w:val="000000"/>
                <w:sz w:val="20"/>
                <w:szCs w:val="20"/>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其他资金</w:t>
            </w:r>
          </w:p>
        </w:tc>
        <w:tc>
          <w:tcPr>
            <w:tcW w:w="2520" w:type="dxa"/>
            <w:gridSpan w:val="2"/>
            <w:tcBorders>
              <w:top w:val="single" w:color="000000" w:sz="4" w:space="0"/>
              <w:left w:val="single" w:color="000000" w:sz="4" w:space="0"/>
              <w:bottom w:val="single" w:color="000000" w:sz="4" w:space="0"/>
              <w:right w:val="nil"/>
            </w:tcBorders>
            <w:shd w:val="clear" w:color="auto" w:fill="auto"/>
            <w:vAlign w:val="center"/>
          </w:tcPr>
          <w:p>
            <w:pPr>
              <w:spacing w:line="600" w:lineRule="atLeast"/>
              <w:jc w:val="center"/>
              <w:rPr>
                <w:rFonts w:ascii="宋体" w:hAnsi="宋体" w:eastAsia="宋体" w:cs="宋体"/>
                <w:color w:val="000000"/>
                <w:sz w:val="20"/>
                <w:szCs w:val="20"/>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atLeast"/>
              <w:jc w:val="center"/>
              <w:rPr>
                <w:rFonts w:ascii="宋体" w:hAnsi="宋体" w:eastAsia="宋体" w:cs="宋体"/>
                <w:color w:val="000000"/>
                <w:sz w:val="20"/>
                <w:szCs w:val="20"/>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atLeast"/>
              <w:jc w:val="center"/>
              <w:rPr>
                <w:rFonts w:ascii="宋体" w:hAnsi="宋体" w:eastAsia="宋体" w:cs="宋体"/>
                <w:color w:val="000000"/>
                <w:sz w:val="20"/>
                <w:szCs w:val="20"/>
              </w:rPr>
            </w:pPr>
          </w:p>
        </w:tc>
        <w:tc>
          <w:tcPr>
            <w:tcW w:w="1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510"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年度总体目标</w:t>
            </w:r>
          </w:p>
        </w:tc>
        <w:tc>
          <w:tcPr>
            <w:tcW w:w="44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年初设定目标</w:t>
            </w:r>
          </w:p>
        </w:tc>
        <w:tc>
          <w:tcPr>
            <w:tcW w:w="50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全年目标实际完成情况</w:t>
            </w:r>
          </w:p>
        </w:tc>
      </w:tr>
      <w:tr>
        <w:tblPrEx>
          <w:tblCellMar>
            <w:top w:w="0" w:type="dxa"/>
            <w:left w:w="108" w:type="dxa"/>
            <w:bottom w:w="0" w:type="dxa"/>
            <w:right w:w="108" w:type="dxa"/>
          </w:tblCellMar>
        </w:tblPrEx>
        <w:trPr>
          <w:trHeight w:val="148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atLeast"/>
              <w:jc w:val="center"/>
              <w:rPr>
                <w:rFonts w:ascii="宋体" w:hAnsi="宋体" w:eastAsia="宋体" w:cs="宋体"/>
                <w:color w:val="000000"/>
                <w:sz w:val="20"/>
                <w:szCs w:val="20"/>
              </w:rPr>
            </w:pPr>
          </w:p>
        </w:tc>
        <w:tc>
          <w:tcPr>
            <w:tcW w:w="44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改善全区边远学生营养状况，增加午餐营养，提高学生身体素质，降低营养不良检出率1%，营养不良率低于全市平均水平，促进中小学生健康发展，营养改善计划的实施，让社会充分肯定</w:t>
            </w:r>
          </w:p>
        </w:tc>
        <w:tc>
          <w:tcPr>
            <w:tcW w:w="50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改善全区边远学生营养状况，增加午餐营养，降低营养不良检出率1.46%，促进中小学生健康发展，营养改善计划效果明显，得到社会充分肯定。</w:t>
            </w:r>
          </w:p>
        </w:tc>
      </w:tr>
      <w:tr>
        <w:tblPrEx>
          <w:tblCellMar>
            <w:top w:w="0" w:type="dxa"/>
            <w:left w:w="108" w:type="dxa"/>
            <w:bottom w:w="0" w:type="dxa"/>
            <w:right w:w="108" w:type="dxa"/>
          </w:tblCellMar>
        </w:tblPrEx>
        <w:trPr>
          <w:trHeight w:val="645"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绩效指标</w:t>
            </w: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指标名称</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（三级指标）</w:t>
            </w:r>
          </w:p>
        </w:tc>
        <w:tc>
          <w:tcPr>
            <w:tcW w:w="13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计量单位</w:t>
            </w:r>
          </w:p>
        </w:tc>
        <w:tc>
          <w:tcPr>
            <w:tcW w:w="1215" w:type="dxa"/>
            <w:tcBorders>
              <w:top w:val="single" w:color="000000" w:sz="4" w:space="0"/>
              <w:left w:val="single" w:color="000000" w:sz="4" w:space="0"/>
              <w:bottom w:val="single" w:color="000000" w:sz="4" w:space="0"/>
              <w:right w:val="nil"/>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指标权重</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指标值</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全年完成值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得分系数（%）</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指标得分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（分</w:t>
            </w:r>
            <w:r>
              <w:rPr>
                <w:rFonts w:hint="eastAsia" w:ascii="宋体" w:hAnsi="宋体" w:eastAsia="宋体" w:cs="宋体"/>
                <w:color w:val="000000"/>
                <w:kern w:val="0"/>
                <w:sz w:val="20"/>
                <w:szCs w:val="20"/>
                <w:lang w:eastAsia="zh-CN"/>
              </w:rPr>
              <w:t>）</w:t>
            </w:r>
          </w:p>
        </w:tc>
      </w:tr>
      <w:tr>
        <w:tblPrEx>
          <w:tblCellMar>
            <w:top w:w="0" w:type="dxa"/>
            <w:left w:w="108" w:type="dxa"/>
            <w:bottom w:w="0" w:type="dxa"/>
            <w:right w:w="108" w:type="dxa"/>
          </w:tblCellMar>
        </w:tblPrEx>
        <w:trPr>
          <w:trHeight w:val="58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spacing w:line="600" w:lineRule="atLeast"/>
              <w:jc w:val="center"/>
              <w:rPr>
                <w:rFonts w:ascii="宋体" w:hAnsi="宋体" w:eastAsia="宋体" w:cs="宋体"/>
                <w:color w:val="000000"/>
                <w:sz w:val="20"/>
                <w:szCs w:val="20"/>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营养午餐享受人数</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人</w:t>
            </w:r>
          </w:p>
        </w:tc>
        <w:tc>
          <w:tcPr>
            <w:tcW w:w="1215" w:type="dxa"/>
            <w:tcBorders>
              <w:top w:val="single" w:color="000000" w:sz="4" w:space="0"/>
              <w:left w:val="single" w:color="000000" w:sz="4" w:space="0"/>
              <w:bottom w:val="single" w:color="000000" w:sz="4" w:space="0"/>
              <w:right w:val="nil"/>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60</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6000%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w:t>
            </w:r>
          </w:p>
        </w:tc>
      </w:tr>
      <w:tr>
        <w:tblPrEx>
          <w:tblCellMar>
            <w:top w:w="0" w:type="dxa"/>
            <w:left w:w="108" w:type="dxa"/>
            <w:bottom w:w="0" w:type="dxa"/>
            <w:right w:w="108" w:type="dxa"/>
          </w:tblCellMar>
        </w:tblPrEx>
        <w:trPr>
          <w:trHeight w:val="64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spacing w:line="600" w:lineRule="atLeast"/>
              <w:jc w:val="center"/>
              <w:rPr>
                <w:rFonts w:ascii="宋体" w:hAnsi="宋体" w:eastAsia="宋体" w:cs="宋体"/>
                <w:color w:val="000000"/>
                <w:sz w:val="20"/>
                <w:szCs w:val="20"/>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应享受营养午餐覆盖率</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w:t>
            </w:r>
            <w:bookmarkStart w:id="0" w:name="_GoBack"/>
            <w:bookmarkEnd w:id="0"/>
          </w:p>
        </w:tc>
        <w:tc>
          <w:tcPr>
            <w:tcW w:w="1215" w:type="dxa"/>
            <w:tcBorders>
              <w:top w:val="single" w:color="000000" w:sz="4" w:space="0"/>
              <w:left w:val="single" w:color="000000" w:sz="4" w:space="0"/>
              <w:bottom w:val="single" w:color="000000" w:sz="4" w:space="0"/>
              <w:right w:val="nil"/>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16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w:t>
            </w:r>
          </w:p>
        </w:tc>
      </w:tr>
      <w:tr>
        <w:tblPrEx>
          <w:tblCellMar>
            <w:top w:w="0" w:type="dxa"/>
            <w:left w:w="108" w:type="dxa"/>
            <w:bottom w:w="0" w:type="dxa"/>
            <w:right w:w="108" w:type="dxa"/>
          </w:tblCellMar>
        </w:tblPrEx>
        <w:trPr>
          <w:trHeight w:val="60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spacing w:line="600" w:lineRule="atLeast"/>
              <w:jc w:val="center"/>
              <w:rPr>
                <w:rFonts w:ascii="宋体" w:hAnsi="宋体" w:eastAsia="宋体" w:cs="宋体"/>
                <w:color w:val="000000"/>
                <w:sz w:val="20"/>
                <w:szCs w:val="20"/>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营养午餐标准</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元/天</w:t>
            </w:r>
          </w:p>
        </w:tc>
        <w:tc>
          <w:tcPr>
            <w:tcW w:w="1215" w:type="dxa"/>
            <w:tcBorders>
              <w:top w:val="single" w:color="000000" w:sz="4" w:space="0"/>
              <w:left w:val="single" w:color="000000" w:sz="4" w:space="0"/>
              <w:bottom w:val="single" w:color="000000" w:sz="4" w:space="0"/>
              <w:right w:val="nil"/>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400%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882"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spacing w:line="600" w:lineRule="atLeast"/>
              <w:jc w:val="center"/>
              <w:rPr>
                <w:rFonts w:ascii="宋体" w:hAnsi="宋体" w:eastAsia="宋体" w:cs="宋体"/>
                <w:color w:val="000000"/>
                <w:sz w:val="20"/>
                <w:szCs w:val="20"/>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营养不良检出率比上年降低</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百分点</w:t>
            </w:r>
          </w:p>
        </w:tc>
        <w:tc>
          <w:tcPr>
            <w:tcW w:w="1215" w:type="dxa"/>
            <w:tcBorders>
              <w:top w:val="single" w:color="000000" w:sz="4" w:space="0"/>
              <w:left w:val="single" w:color="000000" w:sz="4" w:space="0"/>
              <w:bottom w:val="single" w:color="000000" w:sz="4" w:space="0"/>
              <w:right w:val="nil"/>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w:t>
            </w:r>
          </w:p>
        </w:tc>
      </w:tr>
      <w:tr>
        <w:tblPrEx>
          <w:tblCellMar>
            <w:top w:w="0" w:type="dxa"/>
            <w:left w:w="108" w:type="dxa"/>
            <w:bottom w:w="0" w:type="dxa"/>
            <w:right w:w="108" w:type="dxa"/>
          </w:tblCellMar>
        </w:tblPrEx>
        <w:trPr>
          <w:trHeight w:val="61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spacing w:line="600" w:lineRule="atLeast"/>
              <w:jc w:val="center"/>
              <w:rPr>
                <w:rFonts w:ascii="宋体" w:hAnsi="宋体" w:eastAsia="宋体" w:cs="宋体"/>
                <w:color w:val="000000"/>
                <w:sz w:val="20"/>
                <w:szCs w:val="20"/>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家长学生满意率</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w:t>
            </w:r>
          </w:p>
        </w:tc>
        <w:tc>
          <w:tcPr>
            <w:tcW w:w="1215" w:type="dxa"/>
            <w:tcBorders>
              <w:top w:val="single" w:color="000000" w:sz="4" w:space="0"/>
              <w:left w:val="single" w:color="000000" w:sz="4" w:space="0"/>
              <w:bottom w:val="single" w:color="000000" w:sz="4" w:space="0"/>
              <w:right w:val="nil"/>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95</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r>
      <w:tr>
        <w:tblPrEx>
          <w:tblCellMar>
            <w:top w:w="0" w:type="dxa"/>
            <w:left w:w="108" w:type="dxa"/>
            <w:bottom w:w="0" w:type="dxa"/>
            <w:right w:w="108" w:type="dxa"/>
          </w:tblCellMar>
        </w:tblPrEx>
        <w:trPr>
          <w:trHeight w:val="63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pPr>
              <w:spacing w:line="600" w:lineRule="atLeast"/>
              <w:jc w:val="center"/>
              <w:rPr>
                <w:rFonts w:ascii="宋体" w:hAnsi="宋体" w:eastAsia="宋体" w:cs="宋体"/>
                <w:color w:val="000000"/>
                <w:sz w:val="20"/>
                <w:szCs w:val="20"/>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社会满意率</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w:t>
            </w:r>
          </w:p>
        </w:tc>
        <w:tc>
          <w:tcPr>
            <w:tcW w:w="1215" w:type="dxa"/>
            <w:tcBorders>
              <w:top w:val="single" w:color="000000" w:sz="4" w:space="0"/>
              <w:left w:val="single" w:color="000000" w:sz="4" w:space="0"/>
              <w:bottom w:val="single" w:color="000000" w:sz="4" w:space="0"/>
              <w:right w:val="nil"/>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95</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r>
      <w:tr>
        <w:tblPrEx>
          <w:tblCellMar>
            <w:top w:w="0" w:type="dxa"/>
            <w:left w:w="108" w:type="dxa"/>
            <w:bottom w:w="0" w:type="dxa"/>
            <w:right w:w="108" w:type="dxa"/>
          </w:tblCellMar>
        </w:tblPrEx>
        <w:trPr>
          <w:trHeight w:val="1995" w:hRule="atLeast"/>
        </w:trPr>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atLeast"/>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未完成绩效目标或偏离较多的原因、改进措施及其他说明</w:t>
            </w:r>
          </w:p>
        </w:tc>
        <w:tc>
          <w:tcPr>
            <w:tcW w:w="953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atLeas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280" w:hRule="atLeast"/>
        </w:trPr>
        <w:tc>
          <w:tcPr>
            <w:tcW w:w="945" w:type="dxa"/>
            <w:tcBorders>
              <w:top w:val="nil"/>
              <w:left w:val="nil"/>
              <w:bottom w:val="nil"/>
              <w:right w:val="nil"/>
            </w:tcBorders>
            <w:shd w:val="clear" w:color="auto" w:fill="auto"/>
            <w:noWrap/>
            <w:vAlign w:val="center"/>
          </w:tcPr>
          <w:p>
            <w:pPr>
              <w:spacing w:line="600" w:lineRule="atLeast"/>
              <w:rPr>
                <w:rFonts w:ascii="宋体" w:hAnsi="宋体" w:eastAsia="宋体" w:cs="宋体"/>
                <w:color w:val="000000"/>
                <w:sz w:val="22"/>
                <w:szCs w:val="22"/>
              </w:rPr>
            </w:pPr>
          </w:p>
        </w:tc>
        <w:tc>
          <w:tcPr>
            <w:tcW w:w="1923" w:type="dxa"/>
            <w:tcBorders>
              <w:top w:val="nil"/>
              <w:left w:val="nil"/>
              <w:bottom w:val="nil"/>
              <w:right w:val="nil"/>
            </w:tcBorders>
            <w:shd w:val="clear" w:color="auto" w:fill="auto"/>
            <w:noWrap/>
            <w:vAlign w:val="center"/>
          </w:tcPr>
          <w:p>
            <w:pPr>
              <w:spacing w:line="600" w:lineRule="atLeast"/>
              <w:rPr>
                <w:rFonts w:ascii="宋体" w:hAnsi="宋体" w:eastAsia="宋体" w:cs="宋体"/>
                <w:color w:val="000000"/>
                <w:sz w:val="22"/>
                <w:szCs w:val="22"/>
              </w:rPr>
            </w:pPr>
          </w:p>
        </w:tc>
        <w:tc>
          <w:tcPr>
            <w:tcW w:w="1303" w:type="dxa"/>
            <w:tcBorders>
              <w:top w:val="nil"/>
              <w:left w:val="nil"/>
              <w:bottom w:val="nil"/>
              <w:right w:val="nil"/>
            </w:tcBorders>
            <w:shd w:val="clear" w:color="auto" w:fill="auto"/>
            <w:noWrap/>
            <w:vAlign w:val="center"/>
          </w:tcPr>
          <w:p>
            <w:pPr>
              <w:spacing w:line="600" w:lineRule="atLeast"/>
              <w:rPr>
                <w:rFonts w:ascii="宋体" w:hAnsi="宋体" w:eastAsia="宋体" w:cs="宋体"/>
                <w:color w:val="000000"/>
                <w:sz w:val="22"/>
                <w:szCs w:val="22"/>
              </w:rPr>
            </w:pPr>
          </w:p>
        </w:tc>
        <w:tc>
          <w:tcPr>
            <w:tcW w:w="1209" w:type="dxa"/>
            <w:tcBorders>
              <w:top w:val="nil"/>
              <w:left w:val="nil"/>
              <w:bottom w:val="nil"/>
              <w:right w:val="nil"/>
            </w:tcBorders>
            <w:shd w:val="clear" w:color="auto" w:fill="auto"/>
            <w:noWrap/>
            <w:vAlign w:val="center"/>
          </w:tcPr>
          <w:p>
            <w:pPr>
              <w:spacing w:line="600" w:lineRule="atLeast"/>
              <w:rPr>
                <w:rFonts w:ascii="宋体" w:hAnsi="宋体" w:eastAsia="宋体" w:cs="宋体"/>
                <w:color w:val="000000"/>
                <w:sz w:val="22"/>
                <w:szCs w:val="22"/>
              </w:rPr>
            </w:pPr>
          </w:p>
        </w:tc>
        <w:tc>
          <w:tcPr>
            <w:tcW w:w="1657" w:type="dxa"/>
            <w:tcBorders>
              <w:top w:val="nil"/>
              <w:left w:val="nil"/>
              <w:bottom w:val="nil"/>
              <w:right w:val="nil"/>
            </w:tcBorders>
            <w:shd w:val="clear" w:color="auto" w:fill="auto"/>
            <w:noWrap/>
            <w:vAlign w:val="center"/>
          </w:tcPr>
          <w:p>
            <w:pPr>
              <w:spacing w:line="600" w:lineRule="atLeast"/>
              <w:rPr>
                <w:rFonts w:ascii="宋体" w:hAnsi="宋体" w:eastAsia="宋体" w:cs="宋体"/>
                <w:color w:val="000000"/>
                <w:sz w:val="22"/>
                <w:szCs w:val="22"/>
              </w:rPr>
            </w:pPr>
          </w:p>
        </w:tc>
        <w:tc>
          <w:tcPr>
            <w:tcW w:w="1585" w:type="dxa"/>
            <w:tcBorders>
              <w:top w:val="nil"/>
              <w:left w:val="nil"/>
              <w:bottom w:val="nil"/>
              <w:right w:val="nil"/>
            </w:tcBorders>
            <w:shd w:val="clear" w:color="auto" w:fill="auto"/>
            <w:noWrap/>
            <w:vAlign w:val="center"/>
          </w:tcPr>
          <w:p>
            <w:pPr>
              <w:spacing w:line="600" w:lineRule="atLeast"/>
              <w:rPr>
                <w:rFonts w:ascii="宋体" w:hAnsi="宋体" w:eastAsia="宋体" w:cs="宋体"/>
                <w:color w:val="000000"/>
                <w:sz w:val="22"/>
                <w:szCs w:val="22"/>
              </w:rPr>
            </w:pPr>
          </w:p>
        </w:tc>
        <w:tc>
          <w:tcPr>
            <w:tcW w:w="1137" w:type="dxa"/>
            <w:tcBorders>
              <w:top w:val="nil"/>
              <w:left w:val="nil"/>
              <w:bottom w:val="nil"/>
              <w:right w:val="nil"/>
            </w:tcBorders>
            <w:shd w:val="clear" w:color="auto" w:fill="auto"/>
            <w:noWrap/>
            <w:vAlign w:val="center"/>
          </w:tcPr>
          <w:p>
            <w:pPr>
              <w:spacing w:line="600" w:lineRule="atLeast"/>
              <w:rPr>
                <w:rFonts w:ascii="宋体" w:hAnsi="宋体" w:eastAsia="宋体" w:cs="宋体"/>
                <w:color w:val="000000"/>
                <w:sz w:val="22"/>
                <w:szCs w:val="22"/>
              </w:rPr>
            </w:pPr>
          </w:p>
        </w:tc>
        <w:tc>
          <w:tcPr>
            <w:tcW w:w="680" w:type="dxa"/>
            <w:tcBorders>
              <w:top w:val="nil"/>
              <w:left w:val="nil"/>
              <w:bottom w:val="nil"/>
              <w:right w:val="nil"/>
            </w:tcBorders>
            <w:shd w:val="clear" w:color="auto" w:fill="auto"/>
            <w:noWrap/>
            <w:vAlign w:val="center"/>
          </w:tcPr>
          <w:p>
            <w:pPr>
              <w:spacing w:line="600" w:lineRule="atLeast"/>
              <w:rPr>
                <w:rFonts w:ascii="宋体" w:hAnsi="宋体" w:eastAsia="宋体" w:cs="宋体"/>
                <w:color w:val="000000"/>
                <w:sz w:val="22"/>
                <w:szCs w:val="22"/>
              </w:rPr>
            </w:pPr>
          </w:p>
        </w:tc>
      </w:tr>
      <w:tr>
        <w:tblPrEx>
          <w:tblCellMar>
            <w:top w:w="0" w:type="dxa"/>
            <w:left w:w="108" w:type="dxa"/>
            <w:bottom w:w="0" w:type="dxa"/>
            <w:right w:w="108" w:type="dxa"/>
          </w:tblCellMar>
        </w:tblPrEx>
        <w:trPr>
          <w:trHeight w:val="280" w:hRule="atLeast"/>
        </w:trPr>
        <w:tc>
          <w:tcPr>
            <w:tcW w:w="2880" w:type="dxa"/>
            <w:gridSpan w:val="2"/>
            <w:tcBorders>
              <w:top w:val="nil"/>
              <w:left w:val="nil"/>
              <w:bottom w:val="nil"/>
              <w:right w:val="nil"/>
            </w:tcBorders>
            <w:shd w:val="clear" w:color="auto" w:fill="auto"/>
            <w:vAlign w:val="center"/>
          </w:tcPr>
          <w:p>
            <w:pPr>
              <w:widowControl/>
              <w:spacing w:line="600" w:lineRule="atLeast"/>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预算单位主要领导：           </w:t>
            </w:r>
          </w:p>
        </w:tc>
        <w:tc>
          <w:tcPr>
            <w:tcW w:w="2520" w:type="dxa"/>
            <w:gridSpan w:val="2"/>
            <w:tcBorders>
              <w:top w:val="nil"/>
              <w:left w:val="nil"/>
              <w:bottom w:val="nil"/>
              <w:right w:val="nil"/>
            </w:tcBorders>
            <w:shd w:val="clear" w:color="auto" w:fill="auto"/>
            <w:vAlign w:val="center"/>
          </w:tcPr>
          <w:p>
            <w:pPr>
              <w:widowControl/>
              <w:spacing w:line="600" w:lineRule="atLeast"/>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绩效评价负责人：</w:t>
            </w:r>
          </w:p>
        </w:tc>
        <w:tc>
          <w:tcPr>
            <w:tcW w:w="3255" w:type="dxa"/>
            <w:gridSpan w:val="2"/>
            <w:tcBorders>
              <w:top w:val="nil"/>
              <w:left w:val="nil"/>
              <w:bottom w:val="nil"/>
              <w:right w:val="nil"/>
            </w:tcBorders>
            <w:shd w:val="clear" w:color="auto" w:fill="auto"/>
            <w:vAlign w:val="center"/>
          </w:tcPr>
          <w:p>
            <w:pPr>
              <w:widowControl/>
              <w:spacing w:line="600" w:lineRule="atLeast"/>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经办人：邓淳</w:t>
            </w:r>
            <w:r>
              <w:rPr>
                <w:rFonts w:ascii="宋体" w:hAnsi="宋体" w:eastAsia="宋体" w:cs="宋体"/>
                <w:color w:val="000000"/>
                <w:kern w:val="0"/>
                <w:sz w:val="20"/>
                <w:szCs w:val="20"/>
              </w:rPr>
              <w:t>丹</w:t>
            </w:r>
          </w:p>
        </w:tc>
        <w:tc>
          <w:tcPr>
            <w:tcW w:w="1140" w:type="dxa"/>
            <w:tcBorders>
              <w:top w:val="nil"/>
              <w:left w:val="nil"/>
              <w:bottom w:val="nil"/>
              <w:right w:val="nil"/>
            </w:tcBorders>
            <w:shd w:val="clear" w:color="auto" w:fill="auto"/>
            <w:vAlign w:val="center"/>
          </w:tcPr>
          <w:p>
            <w:pPr>
              <w:spacing w:line="600" w:lineRule="atLeast"/>
              <w:jc w:val="right"/>
              <w:rPr>
                <w:rFonts w:ascii="宋体" w:hAnsi="宋体" w:eastAsia="宋体" w:cs="宋体"/>
                <w:color w:val="000000"/>
                <w:sz w:val="20"/>
                <w:szCs w:val="20"/>
              </w:rPr>
            </w:pPr>
          </w:p>
        </w:tc>
        <w:tc>
          <w:tcPr>
            <w:tcW w:w="680" w:type="dxa"/>
            <w:tcBorders>
              <w:top w:val="nil"/>
              <w:left w:val="nil"/>
              <w:bottom w:val="nil"/>
              <w:right w:val="nil"/>
            </w:tcBorders>
            <w:shd w:val="clear" w:color="auto" w:fill="auto"/>
            <w:noWrap/>
            <w:vAlign w:val="center"/>
          </w:tcPr>
          <w:p>
            <w:pPr>
              <w:spacing w:line="600" w:lineRule="atLeast"/>
              <w:rPr>
                <w:rFonts w:ascii="宋体" w:hAnsi="宋体" w:eastAsia="宋体" w:cs="宋体"/>
                <w:color w:val="000000"/>
                <w:sz w:val="22"/>
                <w:szCs w:val="22"/>
              </w:rPr>
            </w:pPr>
          </w:p>
        </w:tc>
      </w:tr>
    </w:tbl>
    <w:p>
      <w:pPr>
        <w:pStyle w:val="4"/>
        <w:widowControl/>
        <w:spacing w:line="600" w:lineRule="atLeast"/>
        <w:ind w:right="60"/>
        <w:rPr>
          <w:rStyle w:val="7"/>
          <w:rFonts w:ascii="宋体" w:hAnsi="宋体" w:eastAsia="宋体" w:cs="宋体"/>
          <w:sz w:val="21"/>
          <w:szCs w:val="21"/>
          <w:shd w:val="clear" w:color="auto" w:fill="FFFFFF"/>
        </w:rPr>
      </w:pP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仿宋_GBK" w:hAnsi="宋体" w:eastAsia="方正仿宋_GBK" w:cs="宋体"/>
          <w:sz w:val="32"/>
          <w:szCs w:val="32"/>
          <w:shd w:val="clear" w:color="auto" w:fill="FFFFFF"/>
        </w:rPr>
        <w:t>2.绩效自评报告或案例</w:t>
      </w:r>
    </w:p>
    <w:p>
      <w:pPr>
        <w:widowControl/>
        <w:shd w:val="clear" w:color="auto" w:fill="FFFFFF"/>
        <w:spacing w:before="100" w:beforeAutospacing="1" w:after="100" w:afterAutospacing="1" w:line="600" w:lineRule="atLeast"/>
        <w:ind w:firstLine="640" w:firstLineChars="200"/>
        <w:jc w:val="left"/>
        <w:rPr>
          <w:rFonts w:ascii="方正仿宋_GBK" w:hAnsi="宋体" w:eastAsia="方正仿宋_GBK" w:cs="宋体"/>
          <w:kern w:val="0"/>
          <w:sz w:val="32"/>
          <w:szCs w:val="32"/>
          <w:shd w:val="clear" w:color="auto" w:fill="FFFFFF"/>
        </w:rPr>
      </w:pPr>
      <w:r>
        <w:rPr>
          <w:rFonts w:hint="eastAsia" w:ascii="方正仿宋_GBK" w:hAnsi="宋体" w:eastAsia="方正仿宋_GBK" w:cs="宋体"/>
          <w:kern w:val="0"/>
          <w:sz w:val="32"/>
          <w:szCs w:val="32"/>
          <w:shd w:val="clear" w:color="auto" w:fill="FFFFFF"/>
        </w:rPr>
        <w:t>本单位未委托第三方形式开展绩效自评。</w:t>
      </w:r>
    </w:p>
    <w:p>
      <w:pPr>
        <w:pStyle w:val="4"/>
        <w:widowControl/>
        <w:spacing w:beforeAutospacing="0" w:afterAutospacing="0" w:line="600" w:lineRule="atLeast"/>
        <w:ind w:right="60" w:firstLine="643" w:firstLineChars="200"/>
        <w:rPr>
          <w:rStyle w:val="7"/>
          <w:rFonts w:ascii="方正楷体_GBK" w:hAnsi="宋体" w:eastAsia="方正楷体_GBK" w:cs="宋体"/>
          <w:shd w:val="clear" w:color="auto" w:fill="FFFFFF"/>
        </w:rPr>
      </w:pPr>
      <w:r>
        <w:rPr>
          <w:rStyle w:val="7"/>
          <w:rFonts w:hint="eastAsia" w:ascii="方正楷体_GBK" w:hAnsi="宋体" w:eastAsia="方正楷体_GBK" w:cs="宋体"/>
          <w:sz w:val="32"/>
          <w:szCs w:val="32"/>
          <w:shd w:val="clear" w:color="auto" w:fill="FFFFFF"/>
        </w:rPr>
        <w:t>（三）重点绩效评价结果</w:t>
      </w:r>
    </w:p>
    <w:p>
      <w:pPr>
        <w:widowControl/>
        <w:shd w:val="clear" w:color="auto" w:fill="FFFFFF"/>
        <w:spacing w:before="100" w:beforeAutospacing="1" w:after="100" w:afterAutospacing="1" w:line="600" w:lineRule="atLeast"/>
        <w:ind w:firstLine="640" w:firstLineChars="200"/>
        <w:jc w:val="left"/>
        <w:rPr>
          <w:rFonts w:ascii="方正仿宋_GBK" w:hAnsi="宋体" w:eastAsia="方正仿宋_GBK" w:cs="宋体"/>
          <w:kern w:val="0"/>
          <w:sz w:val="32"/>
          <w:szCs w:val="32"/>
          <w:shd w:val="clear" w:color="auto" w:fill="FFFFFF"/>
        </w:rPr>
      </w:pPr>
      <w:r>
        <w:rPr>
          <w:rFonts w:hint="eastAsia" w:ascii="方正仿宋_GBK" w:hAnsi="宋体" w:eastAsia="方正仿宋_GBK" w:cs="宋体"/>
          <w:kern w:val="0"/>
          <w:sz w:val="32"/>
          <w:szCs w:val="32"/>
          <w:shd w:val="clear" w:color="auto" w:fill="FFFFFF"/>
        </w:rPr>
        <w:t>本单位未委托第三方形式开展绩效自评。</w:t>
      </w:r>
    </w:p>
    <w:p>
      <w:pPr>
        <w:pStyle w:val="4"/>
        <w:widowControl/>
        <w:spacing w:before="100" w:after="100" w:line="600" w:lineRule="atLeast"/>
        <w:ind w:right="60" w:firstLine="643" w:firstLineChars="200"/>
        <w:rPr>
          <w:rStyle w:val="7"/>
          <w:rFonts w:ascii="方正黑体_GBK" w:hAnsi="宋体" w:eastAsia="方正黑体_GBK" w:cs="宋体"/>
          <w:shd w:val="clear" w:color="auto" w:fill="FFFFFF"/>
        </w:rPr>
      </w:pPr>
      <w:r>
        <w:rPr>
          <w:rStyle w:val="7"/>
          <w:rFonts w:hint="eastAsia" w:ascii="方正黑体_GBK" w:hAnsi="宋体" w:eastAsia="方正黑体_GBK" w:cs="宋体"/>
          <w:sz w:val="32"/>
          <w:szCs w:val="32"/>
          <w:shd w:val="clear" w:color="auto" w:fill="FFFFFF"/>
        </w:rPr>
        <w:t>六、专业名词解释</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（一）财政拨款收入</w:t>
      </w:r>
      <w:r>
        <w:rPr>
          <w:rStyle w:val="7"/>
          <w:rFonts w:hint="eastAsia" w:ascii="方正楷体_GBK" w:eastAsia="方正楷体_GBK"/>
        </w:rPr>
        <w:t>：</w:t>
      </w:r>
      <w:r>
        <w:rPr>
          <w:rFonts w:hint="eastAsia" w:ascii="方正仿宋_GBK" w:hAnsi="宋体" w:eastAsia="方正仿宋_GBK" w:cs="宋体"/>
          <w:sz w:val="32"/>
          <w:szCs w:val="32"/>
          <w:shd w:val="clear" w:color="auto" w:fill="FFFFFF"/>
        </w:rPr>
        <w:t>指本年度从本级财政部门取得的财政拨款，包括一般公共预算财政拨款和政府性基金预算财政拨款。</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（二）事业收入：</w:t>
      </w:r>
      <w:r>
        <w:rPr>
          <w:rFonts w:hint="eastAsia" w:ascii="方正仿宋_GBK" w:hAnsi="宋体" w:eastAsia="方正仿宋_GBK" w:cs="宋体"/>
          <w:sz w:val="32"/>
          <w:szCs w:val="32"/>
          <w:shd w:val="clear" w:color="auto" w:fill="FFFFFF"/>
        </w:rPr>
        <w:t>指事业单位开展专业业务活动及其辅助活动取得的现金流入；事业单位收到的财政专户实际核拨的教育收费等资金在此反映。</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（三）经营收入：</w:t>
      </w:r>
      <w:r>
        <w:rPr>
          <w:rFonts w:hint="eastAsia" w:ascii="方正仿宋_GBK" w:hAnsi="宋体" w:eastAsia="方正仿宋_GBK" w:cs="宋体"/>
          <w:sz w:val="32"/>
          <w:szCs w:val="32"/>
          <w:shd w:val="clear" w:color="auto" w:fill="FFFFFF"/>
        </w:rPr>
        <w:t>指事业单位在专业业务活动及其辅助活动之外开展非独立核算经营活动取得的现金流入。</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（四）其他收入：</w:t>
      </w:r>
      <w:r>
        <w:rPr>
          <w:rFonts w:hint="eastAsia" w:ascii="方正仿宋_GBK" w:hAnsi="宋体" w:eastAsia="方正仿宋_GBK" w:cs="宋体"/>
          <w:sz w:val="32"/>
          <w:szCs w:val="32"/>
          <w:shd w:val="clear" w:color="auto" w:fill="FFFFFF"/>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（五）使用非财政拨款结余</w:t>
      </w:r>
      <w:r>
        <w:rPr>
          <w:rStyle w:val="7"/>
          <w:rFonts w:hint="eastAsia" w:ascii="方正楷体_GBK" w:eastAsia="方正楷体_GBK"/>
        </w:rPr>
        <w:t>：</w:t>
      </w:r>
      <w:r>
        <w:rPr>
          <w:rFonts w:hint="eastAsia" w:ascii="方正仿宋_GBK" w:hAnsi="宋体" w:eastAsia="方正仿宋_GBK" w:cs="宋体"/>
          <w:sz w:val="32"/>
          <w:szCs w:val="32"/>
          <w:shd w:val="clear" w:color="auto" w:fill="FFFFFF"/>
        </w:rPr>
        <w:t>指单位在当年的“财政拨款收入”、“事业收入”、“经营收入”、“其他收入”等不足以安排当年支出的情况下，使用以前年度积累的非财政拨款结余弥补本年度收支缺口的资金。</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（六）年初结转和结余</w:t>
      </w:r>
      <w:r>
        <w:rPr>
          <w:rStyle w:val="7"/>
          <w:rFonts w:hint="eastAsia" w:ascii="方正楷体_GBK" w:eastAsia="方正楷体_GBK"/>
        </w:rPr>
        <w:t>：</w:t>
      </w:r>
      <w:r>
        <w:rPr>
          <w:rFonts w:hint="eastAsia" w:ascii="方正仿宋_GBK" w:hAnsi="宋体" w:eastAsia="方正仿宋_GBK" w:cs="宋体"/>
          <w:sz w:val="32"/>
          <w:szCs w:val="32"/>
          <w:shd w:val="clear" w:color="auto" w:fill="FFFFFF"/>
        </w:rPr>
        <w:t>指单位上年结转本年使用的基本支出结转、项目支出结转和结余、经营结余。</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（七）结余分配</w:t>
      </w:r>
      <w:r>
        <w:rPr>
          <w:rStyle w:val="7"/>
          <w:rFonts w:hint="eastAsia" w:ascii="方正楷体_GBK" w:eastAsia="方正楷体_GBK"/>
        </w:rPr>
        <w:t>：</w:t>
      </w:r>
      <w:r>
        <w:rPr>
          <w:rFonts w:hint="eastAsia" w:ascii="方正仿宋_GBK" w:hAnsi="宋体" w:eastAsia="方正仿宋_GBK" w:cs="宋体"/>
          <w:sz w:val="32"/>
          <w:szCs w:val="32"/>
          <w:shd w:val="clear" w:color="auto" w:fill="FFFFFF"/>
        </w:rPr>
        <w:t>指单位按照国家有关规定，缴纳所得税、提取专用基金、转入非财政拨款结余等当年结余的分配情况。</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（八）年末结转和结余</w:t>
      </w:r>
      <w:r>
        <w:rPr>
          <w:rStyle w:val="7"/>
          <w:rFonts w:hint="eastAsia" w:ascii="方正楷体_GBK" w:eastAsia="方正楷体_GBK"/>
        </w:rPr>
        <w:t>：</w:t>
      </w:r>
      <w:r>
        <w:rPr>
          <w:rFonts w:hint="eastAsia" w:ascii="方正仿宋_GBK" w:hAnsi="宋体" w:eastAsia="方正仿宋_GBK" w:cs="宋体"/>
          <w:sz w:val="32"/>
          <w:szCs w:val="32"/>
          <w:shd w:val="clear" w:color="auto" w:fill="FFFFFF"/>
        </w:rPr>
        <w:t>指单位结转下年的基本支出结转、项目支出结转和结余、经营结余。</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（九）基本支出</w:t>
      </w:r>
      <w:r>
        <w:rPr>
          <w:rStyle w:val="7"/>
          <w:rFonts w:hint="eastAsia" w:ascii="方正楷体_GBK" w:eastAsia="方正楷体_GBK"/>
        </w:rPr>
        <w:t>：</w:t>
      </w:r>
      <w:r>
        <w:rPr>
          <w:rFonts w:hint="eastAsia" w:ascii="方正仿宋_GBK" w:hAnsi="宋体" w:eastAsia="方正仿宋_GBK" w:cs="宋体"/>
          <w:sz w:val="32"/>
          <w:szCs w:val="32"/>
          <w:shd w:val="clear" w:color="auto" w:fill="FFFFFF"/>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（十）项目支出</w:t>
      </w:r>
      <w:r>
        <w:rPr>
          <w:rStyle w:val="7"/>
          <w:rFonts w:hint="eastAsia" w:ascii="方正楷体_GBK" w:eastAsia="方正楷体_GBK"/>
        </w:rPr>
        <w:t>：</w:t>
      </w:r>
      <w:r>
        <w:rPr>
          <w:rFonts w:hint="eastAsia" w:ascii="方正仿宋_GBK" w:hAnsi="宋体" w:eastAsia="方正仿宋_GBK" w:cs="宋体"/>
          <w:sz w:val="32"/>
          <w:szCs w:val="32"/>
          <w:shd w:val="clear" w:color="auto" w:fill="FFFFFF"/>
        </w:rPr>
        <w:t>指在基本支出之外为完成特定行政任务和事业发展目标所发生的支出。</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（十一）经营支出</w:t>
      </w:r>
      <w:r>
        <w:rPr>
          <w:rStyle w:val="7"/>
          <w:rFonts w:hint="eastAsia" w:ascii="方正楷体_GBK" w:eastAsia="方正楷体_GBK"/>
        </w:rPr>
        <w:t>：</w:t>
      </w:r>
      <w:r>
        <w:rPr>
          <w:rFonts w:hint="eastAsia" w:ascii="方正仿宋_GBK" w:hAnsi="宋体" w:eastAsia="方正仿宋_GBK" w:cs="宋体"/>
          <w:sz w:val="32"/>
          <w:szCs w:val="32"/>
          <w:shd w:val="clear" w:color="auto" w:fill="FFFFFF"/>
        </w:rPr>
        <w:t>指事业单位在专业业务活动及其辅助活动之外开展非独立核算经营活动发生的支出。</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（十二）“三公”经费</w:t>
      </w:r>
      <w:r>
        <w:rPr>
          <w:rStyle w:val="7"/>
          <w:rFonts w:hint="eastAsia" w:ascii="方正楷体_GBK" w:eastAsia="方正楷体_GBK"/>
        </w:rPr>
        <w:t>：</w:t>
      </w:r>
      <w:r>
        <w:rPr>
          <w:rFonts w:hint="eastAsia" w:ascii="方正仿宋_GBK" w:hAnsi="宋体" w:eastAsia="方正仿宋_GBK" w:cs="宋体"/>
          <w:sz w:val="32"/>
          <w:szCs w:val="32"/>
          <w:shd w:val="clear" w:color="auto" w:fill="FFFFFF"/>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（十三）机关运行经费</w:t>
      </w:r>
      <w:r>
        <w:rPr>
          <w:rStyle w:val="7"/>
          <w:rFonts w:hint="eastAsia" w:ascii="方正楷体_GBK" w:eastAsia="方正楷体_GBK"/>
        </w:rPr>
        <w:t>：</w:t>
      </w:r>
      <w:r>
        <w:rPr>
          <w:rFonts w:hint="eastAsia" w:ascii="方正仿宋_GBK" w:hAnsi="宋体" w:eastAsia="方正仿宋_GBK" w:cs="宋体"/>
          <w:sz w:val="32"/>
          <w:szCs w:val="32"/>
          <w:shd w:val="clear" w:color="auto" w:fill="FFFFFF"/>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（十四）工资福利支出（支出经济分类科目类级）</w:t>
      </w:r>
      <w:r>
        <w:rPr>
          <w:rStyle w:val="7"/>
          <w:rFonts w:hint="eastAsia" w:ascii="方正楷体_GBK" w:eastAsia="方正楷体_GBK"/>
        </w:rPr>
        <w:t>：</w:t>
      </w:r>
      <w:r>
        <w:rPr>
          <w:rFonts w:hint="eastAsia" w:ascii="方正仿宋_GBK" w:hAnsi="宋体" w:eastAsia="方正仿宋_GBK" w:cs="宋体"/>
          <w:sz w:val="32"/>
          <w:szCs w:val="32"/>
          <w:shd w:val="clear" w:color="auto" w:fill="FFFFFF"/>
        </w:rPr>
        <w:t>反映单位开支的在职职工和编制外长期聘用人员的各类劳动报酬，以及为上述人员缴纳的各项社会保险费等。</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（十五）商品和服务支出（支出经济分类科目类级）</w:t>
      </w:r>
      <w:r>
        <w:rPr>
          <w:rStyle w:val="7"/>
          <w:rFonts w:hint="eastAsia" w:ascii="方正楷体_GBK" w:eastAsia="方正楷体_GBK"/>
        </w:rPr>
        <w:t>：</w:t>
      </w:r>
      <w:r>
        <w:rPr>
          <w:rFonts w:hint="eastAsia" w:ascii="方正仿宋_GBK" w:hAnsi="宋体" w:eastAsia="方正仿宋_GBK" w:cs="宋体"/>
          <w:sz w:val="32"/>
          <w:szCs w:val="32"/>
          <w:shd w:val="clear" w:color="auto" w:fill="FFFFFF"/>
        </w:rPr>
        <w:t>反映单位购买商品和服务的支出（不包括用于购置固定资产的支出、战略性和应急储备支出）。</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（十六）对个人和家庭的补助（支出经济分类科目类级）</w:t>
      </w:r>
      <w:r>
        <w:rPr>
          <w:rStyle w:val="7"/>
          <w:rFonts w:hint="eastAsia" w:ascii="方正楷体_GBK" w:eastAsia="方正楷体_GBK"/>
        </w:rPr>
        <w:t>：</w:t>
      </w:r>
      <w:r>
        <w:rPr>
          <w:rFonts w:hint="eastAsia" w:ascii="方正仿宋_GBK" w:hAnsi="宋体" w:eastAsia="方正仿宋_GBK" w:cs="宋体"/>
          <w:sz w:val="32"/>
          <w:szCs w:val="32"/>
          <w:shd w:val="clear" w:color="auto" w:fill="FFFFFF"/>
        </w:rPr>
        <w:t>反映用于对个人和家庭的补助支出。</w:t>
      </w:r>
    </w:p>
    <w:p>
      <w:pPr>
        <w:pStyle w:val="4"/>
        <w:widowControl/>
        <w:spacing w:before="100" w:after="100" w:line="600" w:lineRule="atLeast"/>
        <w:ind w:right="60" w:firstLine="643" w:firstLineChars="200"/>
        <w:rPr>
          <w:rFonts w:ascii="方正仿宋_GBK" w:eastAsia="方正仿宋_GBK"/>
          <w:sz w:val="32"/>
          <w:szCs w:val="32"/>
        </w:rPr>
      </w:pPr>
      <w:r>
        <w:rPr>
          <w:rStyle w:val="7"/>
          <w:rFonts w:hint="eastAsia" w:ascii="方正楷体_GBK" w:hAnsi="宋体" w:eastAsia="方正楷体_GBK" w:cs="宋体"/>
          <w:sz w:val="32"/>
          <w:szCs w:val="32"/>
          <w:shd w:val="clear" w:color="auto" w:fill="FFFFFF"/>
        </w:rPr>
        <w:t>（十七）其他资本性支出（支出经济分类科目类级）</w:t>
      </w:r>
      <w:r>
        <w:rPr>
          <w:rStyle w:val="7"/>
          <w:rFonts w:hint="eastAsia" w:ascii="方正楷体_GBK" w:eastAsia="方正楷体_GBK"/>
        </w:rPr>
        <w:t>：</w:t>
      </w:r>
      <w:r>
        <w:rPr>
          <w:rFonts w:hint="eastAsia" w:ascii="方正仿宋_GBK" w:hAnsi="宋体" w:eastAsia="方正仿宋_GBK" w:cs="宋体"/>
          <w:sz w:val="32"/>
          <w:szCs w:val="32"/>
          <w:shd w:val="clear" w:color="auto" w:fill="FFFFFF"/>
        </w:rPr>
        <w:t>反映非各级发展与改革部门集中安排的用于购置固定资产、战略性和应急性储备、土地和无形资产，以及构建基础设施、大型修缮和财政支持企业更新改造所发生的支出。</w:t>
      </w:r>
    </w:p>
    <w:p>
      <w:pPr>
        <w:pStyle w:val="4"/>
        <w:widowControl/>
        <w:spacing w:before="100" w:after="100" w:line="600" w:lineRule="atLeast"/>
        <w:ind w:right="60" w:firstLine="643" w:firstLineChars="200"/>
        <w:rPr>
          <w:rStyle w:val="7"/>
          <w:rFonts w:ascii="方正黑体_GBK" w:hAnsi="宋体" w:eastAsia="方正黑体_GBK" w:cs="宋体"/>
          <w:shd w:val="clear" w:color="auto" w:fill="FFFFFF"/>
        </w:rPr>
      </w:pPr>
      <w:r>
        <w:rPr>
          <w:rStyle w:val="7"/>
          <w:rFonts w:hint="eastAsia" w:ascii="方正黑体_GBK" w:hAnsi="宋体" w:eastAsia="方正黑体_GBK" w:cs="宋体"/>
          <w:sz w:val="32"/>
          <w:szCs w:val="32"/>
          <w:shd w:val="clear" w:color="auto" w:fill="FFFFFF"/>
        </w:rPr>
        <w:t>七、决算公开联系方式及信息反馈渠道</w:t>
      </w:r>
    </w:p>
    <w:p>
      <w:pPr>
        <w:widowControl/>
        <w:shd w:val="clear" w:color="auto" w:fill="FFFFFF"/>
        <w:spacing w:before="100" w:beforeAutospacing="1" w:after="100" w:afterAutospacing="1" w:line="600" w:lineRule="atLeast"/>
        <w:ind w:firstLine="640" w:firstLineChars="200"/>
        <w:jc w:val="left"/>
        <w:rPr>
          <w:rFonts w:ascii="方正仿宋_GBK" w:hAnsi="宋体" w:eastAsia="方正仿宋_GBK" w:cs="宋体"/>
          <w:kern w:val="0"/>
          <w:sz w:val="32"/>
          <w:szCs w:val="32"/>
          <w:shd w:val="clear" w:color="auto" w:fill="FFFFFF"/>
        </w:rPr>
      </w:pPr>
      <w:r>
        <w:rPr>
          <w:rFonts w:hint="eastAsia" w:ascii="方正仿宋_GBK" w:hAnsi="宋体" w:eastAsia="方正仿宋_GBK" w:cs="宋体"/>
          <w:kern w:val="0"/>
          <w:sz w:val="32"/>
          <w:szCs w:val="32"/>
          <w:shd w:val="clear" w:color="auto" w:fill="FFFFFF"/>
        </w:rPr>
        <w:t>本单位决算公开信息反馈和联系方式：邓淳丹15730367510</w:t>
      </w:r>
    </w:p>
    <w:p>
      <w:pPr>
        <w:spacing w:line="600" w:lineRule="atLeast"/>
        <w:rPr>
          <w:rFonts w:ascii="方正仿宋_GBK" w:eastAsia="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2QzOWU2OThlZTU0ZDM0MWQ0NWYwODQ4MWQ5MmFiZmMifQ=="/>
  </w:docVars>
  <w:rsids>
    <w:rsidRoot w:val="79C20A5A"/>
    <w:rsid w:val="000932B9"/>
    <w:rsid w:val="001952E2"/>
    <w:rsid w:val="002B0B3D"/>
    <w:rsid w:val="003663AC"/>
    <w:rsid w:val="003A21A8"/>
    <w:rsid w:val="00405136"/>
    <w:rsid w:val="004428ED"/>
    <w:rsid w:val="004F2F2D"/>
    <w:rsid w:val="00537FA4"/>
    <w:rsid w:val="009E41E6"/>
    <w:rsid w:val="00A65D2F"/>
    <w:rsid w:val="00AB0507"/>
    <w:rsid w:val="00E10F80"/>
    <w:rsid w:val="00F37088"/>
    <w:rsid w:val="05382F7C"/>
    <w:rsid w:val="05DB63E4"/>
    <w:rsid w:val="06FA040F"/>
    <w:rsid w:val="0A237ED5"/>
    <w:rsid w:val="10E85F26"/>
    <w:rsid w:val="17D10E3B"/>
    <w:rsid w:val="27636750"/>
    <w:rsid w:val="3017498B"/>
    <w:rsid w:val="39A61459"/>
    <w:rsid w:val="44CA7393"/>
    <w:rsid w:val="47280A93"/>
    <w:rsid w:val="57A30CB5"/>
    <w:rsid w:val="60962A65"/>
    <w:rsid w:val="63840378"/>
    <w:rsid w:val="65F42302"/>
    <w:rsid w:val="751731D6"/>
    <w:rsid w:val="79C20A5A"/>
    <w:rsid w:val="7A9854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30"/>
    <w:qFormat/>
    <w:uiPriority w:val="0"/>
    <w:pPr>
      <w:tabs>
        <w:tab w:val="center" w:pos="4153"/>
        <w:tab w:val="right" w:pos="8306"/>
      </w:tabs>
      <w:snapToGrid w:val="0"/>
      <w:jc w:val="left"/>
    </w:pPr>
    <w:rPr>
      <w:sz w:val="18"/>
      <w:szCs w:val="18"/>
    </w:rPr>
  </w:style>
  <w:style w:type="paragraph" w:styleId="3">
    <w:name w:val="header"/>
    <w:basedOn w:val="1"/>
    <w:link w:val="2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HTML Definition"/>
    <w:basedOn w:val="6"/>
    <w:qFormat/>
    <w:uiPriority w:val="0"/>
  </w:style>
  <w:style w:type="character" w:styleId="9">
    <w:name w:val="HTML Variable"/>
    <w:basedOn w:val="6"/>
    <w:uiPriority w:val="0"/>
  </w:style>
  <w:style w:type="character" w:styleId="10">
    <w:name w:val="HTML Code"/>
    <w:basedOn w:val="6"/>
    <w:uiPriority w:val="0"/>
    <w:rPr>
      <w:rFonts w:ascii="Courier New" w:hAnsi="Courier New"/>
      <w:sz w:val="20"/>
    </w:rPr>
  </w:style>
  <w:style w:type="character" w:styleId="11">
    <w:name w:val="HTML Cite"/>
    <w:basedOn w:val="6"/>
    <w:qFormat/>
    <w:uiPriority w:val="0"/>
  </w:style>
  <w:style w:type="character" w:customStyle="1" w:styleId="12">
    <w:name w:val="image"/>
    <w:basedOn w:val="6"/>
    <w:qFormat/>
    <w:uiPriority w:val="0"/>
  </w:style>
  <w:style w:type="character" w:customStyle="1" w:styleId="13">
    <w:name w:val="image1"/>
    <w:basedOn w:val="6"/>
    <w:qFormat/>
    <w:uiPriority w:val="0"/>
  </w:style>
  <w:style w:type="character" w:customStyle="1" w:styleId="14">
    <w:name w:val="image2"/>
    <w:basedOn w:val="6"/>
    <w:uiPriority w:val="0"/>
  </w:style>
  <w:style w:type="character" w:customStyle="1" w:styleId="15">
    <w:name w:val="button-hover"/>
    <w:basedOn w:val="6"/>
    <w:qFormat/>
    <w:uiPriority w:val="0"/>
  </w:style>
  <w:style w:type="character" w:customStyle="1" w:styleId="16">
    <w:name w:val="clicked1"/>
    <w:basedOn w:val="6"/>
    <w:qFormat/>
    <w:uiPriority w:val="0"/>
    <w:rPr>
      <w:color w:val="000000"/>
    </w:rPr>
  </w:style>
  <w:style w:type="character" w:customStyle="1" w:styleId="17">
    <w:name w:val="clicked2"/>
    <w:basedOn w:val="6"/>
    <w:qFormat/>
    <w:uiPriority w:val="0"/>
  </w:style>
  <w:style w:type="character" w:customStyle="1" w:styleId="18">
    <w:name w:val="clicked3"/>
    <w:basedOn w:val="6"/>
    <w:qFormat/>
    <w:uiPriority w:val="0"/>
  </w:style>
  <w:style w:type="character" w:customStyle="1" w:styleId="19">
    <w:name w:val="ui-state-hover18"/>
    <w:basedOn w:val="6"/>
    <w:qFormat/>
    <w:uiPriority w:val="0"/>
  </w:style>
  <w:style w:type="character" w:customStyle="1" w:styleId="20">
    <w:name w:val="group"/>
    <w:basedOn w:val="6"/>
    <w:qFormat/>
    <w:uiPriority w:val="0"/>
  </w:style>
  <w:style w:type="character" w:customStyle="1" w:styleId="21">
    <w:name w:val="ui-state-default12"/>
    <w:basedOn w:val="6"/>
    <w:qFormat/>
    <w:uiPriority w:val="0"/>
  </w:style>
  <w:style w:type="character" w:customStyle="1" w:styleId="22">
    <w:name w:val="ui-state-default13"/>
    <w:basedOn w:val="6"/>
    <w:qFormat/>
    <w:uiPriority w:val="0"/>
  </w:style>
  <w:style w:type="character" w:customStyle="1" w:styleId="23">
    <w:name w:val="ui-state-active6"/>
    <w:basedOn w:val="6"/>
    <w:qFormat/>
    <w:uiPriority w:val="0"/>
  </w:style>
  <w:style w:type="character" w:customStyle="1" w:styleId="24">
    <w:name w:val="directchildrenspan"/>
    <w:basedOn w:val="6"/>
    <w:uiPriority w:val="0"/>
  </w:style>
  <w:style w:type="character" w:customStyle="1" w:styleId="25">
    <w:name w:val="item-middle"/>
    <w:basedOn w:val="6"/>
    <w:qFormat/>
    <w:uiPriority w:val="0"/>
  </w:style>
  <w:style w:type="character" w:customStyle="1" w:styleId="26">
    <w:name w:val="newstitle"/>
    <w:basedOn w:val="6"/>
    <w:qFormat/>
    <w:uiPriority w:val="0"/>
    <w:rPr>
      <w:b/>
      <w:bCs/>
      <w:color w:val="000000"/>
      <w:sz w:val="19"/>
      <w:szCs w:val="19"/>
    </w:rPr>
  </w:style>
  <w:style w:type="character" w:customStyle="1" w:styleId="27">
    <w:name w:val="ui-icon34"/>
    <w:basedOn w:val="6"/>
    <w:qFormat/>
    <w:uiPriority w:val="0"/>
  </w:style>
  <w:style w:type="character" w:customStyle="1" w:styleId="28">
    <w:name w:val="imgspan"/>
    <w:basedOn w:val="6"/>
    <w:uiPriority w:val="0"/>
  </w:style>
  <w:style w:type="character" w:customStyle="1" w:styleId="29">
    <w:name w:val="页眉 Char"/>
    <w:basedOn w:val="6"/>
    <w:link w:val="3"/>
    <w:qFormat/>
    <w:uiPriority w:val="0"/>
    <w:rPr>
      <w:rFonts w:asciiTheme="minorHAnsi" w:hAnsiTheme="minorHAnsi" w:eastAsiaTheme="minorEastAsia" w:cstheme="minorBidi"/>
      <w:kern w:val="2"/>
      <w:sz w:val="18"/>
      <w:szCs w:val="18"/>
    </w:rPr>
  </w:style>
  <w:style w:type="character" w:customStyle="1" w:styleId="30">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4123</Words>
  <Characters>4576</Characters>
  <Lines>6</Lines>
  <Paragraphs>9</Paragraphs>
  <TotalTime>22</TotalTime>
  <ScaleCrop>false</ScaleCrop>
  <LinksUpToDate>false</LinksUpToDate>
  <CharactersWithSpaces>4625</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2022-08-28T04:07:00Z</dcterms:created>
  <dc:creator>Administrator</dc:creator>
  <cp:lastModifiedBy>陈列</cp:lastModifiedBy>
  <dcterms:modified xsi:type="dcterms:W3CDTF">2022-09-02T00:41:16Z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91029477C4B5480CB461F7A786DB9CE9</vt:lpwstr>
  </property>
</Properties>
</file>