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600" w:lineRule="exact"/>
        <w:rPr>
          <w:rFonts w:ascii="方正小标宋_GBK" w:eastAsia="方正小标宋_GBK"/>
          <w:sz w:val="44"/>
          <w:szCs w:val="44"/>
        </w:rPr>
      </w:pPr>
      <w:r>
        <w:rPr>
          <w:rFonts w:hint="eastAsia" w:ascii="方正小标宋_GBK" w:eastAsia="方正小标宋_GBK"/>
          <w:sz w:val="44"/>
          <w:szCs w:val="44"/>
        </w:rPr>
        <w:t>重庆市綦江区学生资助管理中心</w:t>
      </w:r>
    </w:p>
    <w:p>
      <w:pPr>
        <w:pStyle w:val="6"/>
        <w:spacing w:line="600" w:lineRule="exact"/>
        <w:rPr>
          <w:rFonts w:ascii="方正小标宋_GBK" w:eastAsia="方正小标宋_GBK"/>
          <w:sz w:val="44"/>
          <w:szCs w:val="44"/>
        </w:rPr>
      </w:pPr>
      <w:r>
        <w:rPr>
          <w:rFonts w:hint="eastAsia" w:ascii="方正小标宋_GBK" w:eastAsia="方正小标宋_GBK"/>
          <w:sz w:val="44"/>
          <w:szCs w:val="44"/>
        </w:rPr>
        <w:t>2020年度部门决算情况说明</w:t>
      </w:r>
    </w:p>
    <w:p>
      <w:pPr>
        <w:rPr>
          <w:rFonts w:ascii="方正黑体_GBK" w:eastAsia="方正黑体_GBK"/>
          <w:sz w:val="32"/>
          <w:szCs w:val="32"/>
        </w:rPr>
      </w:pPr>
      <w:r>
        <w:rPr>
          <w:rFonts w:hint="eastAsia" w:ascii="方正黑体_GBK" w:eastAsia="方正黑体_GBK"/>
          <w:sz w:val="32"/>
          <w:szCs w:val="32"/>
        </w:rPr>
        <w:t xml:space="preserve">   </w:t>
      </w:r>
      <w:r>
        <w:rPr>
          <w:rStyle w:val="9"/>
          <w:rFonts w:hint="eastAsia" w:ascii="方正黑体_GBK" w:eastAsia="方正黑体_GBK"/>
          <w:sz w:val="32"/>
          <w:szCs w:val="32"/>
        </w:rPr>
        <w:t>一、部门基本情况</w:t>
      </w:r>
    </w:p>
    <w:p>
      <w:pPr>
        <w:rPr>
          <w:rFonts w:ascii="方正楷体_GBK" w:eastAsia="方正楷体_GBK"/>
          <w:sz w:val="32"/>
          <w:szCs w:val="32"/>
        </w:rPr>
      </w:pPr>
      <w:r>
        <w:rPr>
          <w:rFonts w:hint="eastAsia" w:ascii="方正楷体_GBK" w:eastAsia="方正楷体_GBK"/>
          <w:sz w:val="32"/>
          <w:szCs w:val="32"/>
        </w:rPr>
        <w:t xml:space="preserve">   </w:t>
      </w:r>
      <w:r>
        <w:rPr>
          <w:rFonts w:hint="eastAsia" w:ascii="方正楷体_GBK" w:eastAsia="方正楷体_GBK"/>
          <w:b/>
          <w:bCs/>
          <w:sz w:val="32"/>
          <w:szCs w:val="32"/>
        </w:rPr>
        <w:t>（一）职能</w:t>
      </w:r>
      <w:r>
        <w:rPr>
          <w:rFonts w:hint="eastAsia" w:ascii="方正楷体_GBK" w:eastAsia="方正楷体_GBK"/>
          <w:sz w:val="32"/>
          <w:szCs w:val="32"/>
        </w:rPr>
        <w:t>职责</w:t>
      </w:r>
    </w:p>
    <w:p>
      <w:pPr>
        <w:rPr>
          <w:rFonts w:ascii="仿宋_GB2312" w:hAnsi="仿宋_GB2312" w:eastAsia="仿宋_GB2312" w:cs="仿宋_GB2312"/>
          <w:sz w:val="32"/>
        </w:rPr>
      </w:pPr>
      <w:r>
        <w:rPr>
          <w:rStyle w:val="9"/>
          <w:rFonts w:hint="eastAsia"/>
          <w:sz w:val="27"/>
          <w:szCs w:val="27"/>
        </w:rPr>
        <w:t xml:space="preserve">    </w:t>
      </w:r>
      <w:r>
        <w:rPr>
          <w:rFonts w:hint="eastAsia" w:ascii="仿宋_GB2312" w:hAnsi="仿宋_GB2312" w:eastAsia="仿宋_GB2312" w:cs="仿宋_GB2312"/>
          <w:sz w:val="32"/>
        </w:rPr>
        <w:t>1.</w:t>
      </w:r>
      <w:r>
        <w:rPr>
          <w:rFonts w:ascii="仿宋_GB2312" w:hAnsi="仿宋_GB2312" w:eastAsia="仿宋_GB2312" w:cs="仿宋_GB2312"/>
          <w:sz w:val="32"/>
        </w:rPr>
        <w:t>负责统筹开展全区经济困</w:t>
      </w:r>
      <w:r>
        <w:rPr>
          <w:rFonts w:hint="eastAsia" w:ascii="仿宋_GB2312" w:hAnsi="仿宋_GB2312" w:eastAsia="仿宋_GB2312" w:cs="仿宋_GB2312"/>
          <w:sz w:val="32"/>
        </w:rPr>
        <w:t>难学生的资助工作，开展对中小学生励志教育、诚信教育、感恩教育和社会责任感教育活动的指导和研究，实现资助育人目标，促进</w:t>
      </w:r>
      <w:r>
        <w:rPr>
          <w:rFonts w:ascii="仿宋_GB2312" w:hAnsi="仿宋_GB2312" w:eastAsia="仿宋_GB2312" w:cs="仿宋_GB2312"/>
          <w:sz w:val="32"/>
        </w:rPr>
        <w:t>教育事业健康发展</w:t>
      </w:r>
      <w:r>
        <w:rPr>
          <w:rFonts w:hint="eastAsia" w:ascii="仿宋_GB2312" w:hAnsi="仿宋_GB2312" w:eastAsia="仿宋_GB2312" w:cs="仿宋_GB2312"/>
          <w:sz w:val="32"/>
        </w:rPr>
        <w:t>。</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w:t>
      </w:r>
      <w:r>
        <w:rPr>
          <w:rFonts w:ascii="仿宋_GB2312" w:hAnsi="仿宋_GB2312" w:eastAsia="仿宋_GB2312" w:cs="仿宋_GB2312"/>
          <w:sz w:val="32"/>
        </w:rPr>
        <w:t>负责本区生源地信用助学贷款审批，利息</w:t>
      </w:r>
      <w:r>
        <w:rPr>
          <w:rFonts w:hint="eastAsia" w:ascii="仿宋_GB2312" w:hAnsi="仿宋_GB2312" w:eastAsia="仿宋_GB2312" w:cs="仿宋_GB2312"/>
          <w:sz w:val="32"/>
          <w:lang w:eastAsia="zh-CN"/>
        </w:rPr>
        <w:t>收缴</w:t>
      </w:r>
      <w:r>
        <w:rPr>
          <w:rFonts w:ascii="仿宋_GB2312" w:hAnsi="仿宋_GB2312" w:eastAsia="仿宋_GB2312" w:cs="仿宋_GB2312"/>
          <w:sz w:val="32"/>
        </w:rPr>
        <w:t>及后续管理工作</w:t>
      </w:r>
      <w:r>
        <w:rPr>
          <w:rFonts w:hint="eastAsia" w:ascii="仿宋_GB2312" w:hAnsi="仿宋_GB2312" w:eastAsia="仿宋_GB2312" w:cs="仿宋_GB2312"/>
          <w:sz w:val="32"/>
        </w:rPr>
        <w:t>。</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3.</w:t>
      </w:r>
      <w:r>
        <w:rPr>
          <w:rFonts w:ascii="仿宋_GB2312" w:hAnsi="仿宋_GB2312" w:eastAsia="仿宋_GB2312" w:cs="仿宋_GB2312"/>
          <w:sz w:val="32"/>
        </w:rPr>
        <w:t>负责中等职业学校国家助学金审批工作</w:t>
      </w:r>
      <w:r>
        <w:rPr>
          <w:rFonts w:hint="eastAsia" w:ascii="仿宋_GB2312" w:hAnsi="仿宋_GB2312" w:eastAsia="仿宋_GB2312" w:cs="仿宋_GB2312"/>
          <w:sz w:val="32"/>
        </w:rPr>
        <w:t>。</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4.</w:t>
      </w:r>
      <w:r>
        <w:rPr>
          <w:rFonts w:ascii="仿宋_GB2312" w:hAnsi="仿宋_GB2312" w:eastAsia="仿宋_GB2312" w:cs="仿宋_GB2312"/>
          <w:sz w:val="32"/>
        </w:rPr>
        <w:t>负责全区义务教育阶段学生“两免一补”管理工作</w:t>
      </w:r>
      <w:r>
        <w:rPr>
          <w:rFonts w:hint="eastAsia" w:ascii="仿宋_GB2312" w:hAnsi="仿宋_GB2312" w:eastAsia="仿宋_GB2312" w:cs="仿宋_GB2312"/>
          <w:sz w:val="32"/>
        </w:rPr>
        <w:t>。</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5.</w:t>
      </w:r>
      <w:r>
        <w:rPr>
          <w:rFonts w:ascii="仿宋_GB2312" w:hAnsi="仿宋_GB2312" w:eastAsia="仿宋_GB2312" w:cs="仿宋_GB2312"/>
          <w:sz w:val="32"/>
        </w:rPr>
        <w:t>负责其他学生资助工作及相关社会服务工作</w:t>
      </w:r>
      <w:r>
        <w:rPr>
          <w:rFonts w:hint="eastAsia" w:ascii="仿宋_GB2312" w:hAnsi="仿宋_GB2312" w:eastAsia="仿宋_GB2312" w:cs="仿宋_GB2312"/>
          <w:sz w:val="32"/>
        </w:rPr>
        <w:t>，</w:t>
      </w:r>
      <w:r>
        <w:rPr>
          <w:rFonts w:ascii="仿宋_GB2312" w:hAnsi="仿宋_GB2312" w:eastAsia="仿宋_GB2312" w:cs="仿宋_GB2312"/>
          <w:sz w:val="32"/>
        </w:rPr>
        <w:t>建立和妥善保管学生资助相关档案资料</w:t>
      </w:r>
      <w:r>
        <w:rPr>
          <w:rFonts w:hint="eastAsia" w:ascii="仿宋_GB2312" w:hAnsi="仿宋_GB2312" w:eastAsia="仿宋_GB2312" w:cs="仿宋_GB2312"/>
          <w:sz w:val="32"/>
        </w:rPr>
        <w:t>。</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6.</w:t>
      </w:r>
      <w:r>
        <w:rPr>
          <w:rFonts w:ascii="仿宋_GB2312" w:hAnsi="仿宋_GB2312" w:eastAsia="仿宋_GB2312" w:cs="仿宋_GB2312"/>
          <w:sz w:val="32"/>
        </w:rPr>
        <w:t>协助有关部门加强对学校“惠民资金”监管工作。</w:t>
      </w:r>
    </w:p>
    <w:p>
      <w:pPr>
        <w:rPr>
          <w:rFonts w:ascii="方正楷体_GBK" w:eastAsia="方正楷体_GBK"/>
          <w:sz w:val="32"/>
          <w:szCs w:val="32"/>
        </w:rPr>
      </w:pPr>
      <w:r>
        <w:rPr>
          <w:rFonts w:hint="eastAsia" w:ascii="方正楷体_GBK" w:eastAsia="方正楷体_GBK"/>
          <w:sz w:val="32"/>
          <w:szCs w:val="32"/>
        </w:rPr>
        <w:t>  （二）机构设置</w:t>
      </w:r>
    </w:p>
    <w:p>
      <w:pPr>
        <w:rPr>
          <w:rFonts w:ascii="仿宋_GB2312" w:hAnsi="仿宋_GB2312" w:eastAsia="仿宋_GB2312" w:cs="仿宋_GB2312"/>
          <w:sz w:val="32"/>
        </w:rPr>
      </w:pPr>
      <w:r>
        <w:rPr>
          <w:rFonts w:hint="eastAsia"/>
          <w:color w:val="FF0000"/>
          <w:sz w:val="27"/>
          <w:szCs w:val="27"/>
        </w:rPr>
        <w:t> </w:t>
      </w:r>
      <w:r>
        <w:rPr>
          <w:rFonts w:hint="eastAsia" w:ascii="仿宋_GB2312" w:hAnsi="仿宋_GB2312" w:eastAsia="仿宋_GB2312" w:cs="仿宋_GB2312"/>
          <w:sz w:val="32"/>
        </w:rPr>
        <w:t>根据《重庆市綦江区机构编制委员会关于调整重庆市綦江区教育委员会所属事业单位机构编制方案的通知》（綦编〔2012〕287号）文件精神，设立重庆市綦江区学生资助管理中心，为重庆市綦江区教育委员会所属事业单位。</w:t>
      </w:r>
    </w:p>
    <w:p>
      <w:pPr>
        <w:rPr>
          <w:rFonts w:hint="eastAsia" w:ascii="方正楷体_GBK" w:hAnsi="仿宋_GB2312" w:eastAsia="方正楷体_GBK" w:cs="仿宋_GB2312"/>
          <w:sz w:val="32"/>
        </w:rPr>
      </w:pPr>
      <w:r>
        <w:rPr>
          <w:rFonts w:hint="eastAsia"/>
          <w:sz w:val="32"/>
        </w:rPr>
        <w:t> </w:t>
      </w:r>
      <w:r>
        <w:rPr>
          <w:rFonts w:hint="eastAsia" w:ascii="方正楷体_GBK" w:hAnsi="仿宋_GB2312" w:eastAsia="方正楷体_GBK" w:cs="仿宋_GB2312"/>
          <w:sz w:val="32"/>
        </w:rPr>
        <w:t xml:space="preserve"> （三）单位构成</w:t>
      </w:r>
    </w:p>
    <w:p>
      <w:r>
        <w:rPr>
          <w:rStyle w:val="9"/>
          <w:rFonts w:hint="eastAsia"/>
          <w:sz w:val="27"/>
          <w:szCs w:val="27"/>
        </w:rPr>
        <w:t> </w:t>
      </w:r>
      <w:r>
        <w:rPr>
          <w:rFonts w:hint="eastAsia" w:ascii="仿宋_GB2312" w:hAnsi="仿宋_GB2312" w:eastAsia="仿宋_GB2312" w:cs="仿宋_GB2312"/>
          <w:sz w:val="32"/>
        </w:rPr>
        <w:t>本单位无下级预算单位。</w:t>
      </w:r>
    </w:p>
    <w:p>
      <w:pPr>
        <w:ind w:firstLine="321" w:firstLineChars="100"/>
        <w:rPr>
          <w:rFonts w:ascii="方正黑体_GBK" w:eastAsia="方正黑体_GBK"/>
          <w:sz w:val="32"/>
          <w:szCs w:val="32"/>
        </w:rPr>
      </w:pPr>
      <w:r>
        <w:rPr>
          <w:rFonts w:hint="eastAsia" w:ascii="方正黑体_GBK" w:eastAsia="方正黑体_GBK"/>
          <w:b/>
          <w:bCs/>
          <w:sz w:val="32"/>
          <w:szCs w:val="32"/>
        </w:rPr>
        <w:t>二、部门决算情况说明</w:t>
      </w:r>
    </w:p>
    <w:p>
      <w:pPr>
        <w:ind w:firstLine="321" w:firstLineChars="100"/>
        <w:rPr>
          <w:rFonts w:ascii="方正楷体_GBK" w:eastAsia="方正楷体_GBK"/>
          <w:sz w:val="32"/>
          <w:szCs w:val="32"/>
        </w:rPr>
      </w:pPr>
      <w:r>
        <w:rPr>
          <w:rFonts w:hint="eastAsia" w:ascii="方正楷体_GBK" w:eastAsia="方正楷体_GBK"/>
          <w:b/>
          <w:bCs/>
          <w:sz w:val="32"/>
          <w:szCs w:val="32"/>
        </w:rPr>
        <w:t>（一）收入支出决算总体情况说明</w:t>
      </w:r>
    </w:p>
    <w:p>
      <w:pPr>
        <w:ind w:firstLine="643" w:firstLineChars="200"/>
        <w:rPr>
          <w:rFonts w:ascii="方正仿宋_GBK" w:eastAsia="方正仿宋_GBK"/>
          <w:sz w:val="32"/>
          <w:szCs w:val="32"/>
        </w:rPr>
      </w:pPr>
      <w:r>
        <w:rPr>
          <w:rStyle w:val="9"/>
          <w:rFonts w:hint="eastAsia" w:ascii="方正仿宋_GBK" w:eastAsia="方正仿宋_GBK"/>
          <w:sz w:val="32"/>
          <w:szCs w:val="32"/>
        </w:rPr>
        <w:t>1.总体情况</w:t>
      </w:r>
      <w:r>
        <w:rPr>
          <w:rFonts w:hint="eastAsia" w:ascii="方正仿宋_GBK" w:eastAsia="方正仿宋_GBK"/>
          <w:sz w:val="32"/>
          <w:szCs w:val="32"/>
        </w:rPr>
        <w:t>。2020年度收入总计1,506.45万元，支出总计1,506.45万元。收支较上年决算数 增加688.79万元、 增长</w:t>
      </w:r>
      <w:r>
        <w:rPr>
          <w:rFonts w:hint="eastAsia" w:ascii="方正仿宋_GBK" w:eastAsia="方正仿宋_GBK"/>
          <w:vanish/>
          <w:sz w:val="32"/>
          <w:szCs w:val="32"/>
        </w:rPr>
        <w:t xml:space="preserve"> </w:t>
      </w:r>
      <w:r>
        <w:rPr>
          <w:rFonts w:hint="eastAsia" w:ascii="方正仿宋_GBK" w:eastAsia="方正仿宋_GBK"/>
          <w:sz w:val="32"/>
          <w:szCs w:val="32"/>
        </w:rPr>
        <w:t>84.2%，主要原因是</w:t>
      </w:r>
      <w:r>
        <w:rPr>
          <w:rFonts w:hint="eastAsia" w:ascii="方正仿宋_GBK" w:hAnsi="仿宋" w:eastAsia="方正仿宋_GBK"/>
          <w:sz w:val="32"/>
          <w:szCs w:val="32"/>
        </w:rPr>
        <w:t>本年一般财政预算拨款1307.46万元，事业收入0万元，年初结转和结余有198.99万元。</w:t>
      </w:r>
    </w:p>
    <w:p>
      <w:pPr>
        <w:ind w:firstLine="643" w:firstLineChars="200"/>
        <w:rPr>
          <w:rFonts w:ascii="方正仿宋_GBK" w:eastAsia="方正仿宋_GBK"/>
          <w:sz w:val="32"/>
          <w:szCs w:val="32"/>
        </w:rPr>
      </w:pPr>
      <w:r>
        <w:rPr>
          <w:rStyle w:val="9"/>
          <w:rFonts w:hint="eastAsia" w:ascii="方正仿宋_GBK" w:eastAsia="方正仿宋_GBK"/>
          <w:sz w:val="32"/>
          <w:szCs w:val="32"/>
        </w:rPr>
        <w:t>2.收入情况。</w:t>
      </w:r>
      <w:r>
        <w:rPr>
          <w:rFonts w:hint="eastAsia" w:ascii="方正仿宋_GBK" w:eastAsia="方正仿宋_GBK"/>
          <w:sz w:val="32"/>
          <w:szCs w:val="32"/>
        </w:rPr>
        <w:t>2020年度收入合计1,307.46万元，较上年决算数增加784.03万元，增长149.8%，主要原因 是</w:t>
      </w:r>
      <w:r>
        <w:rPr>
          <w:rFonts w:hint="eastAsia" w:ascii="方正仿宋_GBK" w:hAnsi="仿宋" w:eastAsia="方正仿宋_GBK"/>
          <w:sz w:val="32"/>
          <w:szCs w:val="32"/>
        </w:rPr>
        <w:t>人员类经费超额绩效调标及社保费增加、学生资助资金增加等</w:t>
      </w:r>
      <w:r>
        <w:rPr>
          <w:rFonts w:hint="eastAsia" w:ascii="方正仿宋_GBK" w:eastAsia="方正仿宋_GBK"/>
          <w:sz w:val="32"/>
          <w:szCs w:val="32"/>
        </w:rPr>
        <w:t>。其中：财政拨款收入1,307.46万元，占100%；事业收入0.00万元，占0%；经营收入0.00万元，占0%；其他收入0.00万元，占0%。此外，使用非财政拨款结余0.00万元，年初结转和结余198.99万元。</w:t>
      </w:r>
    </w:p>
    <w:p>
      <w:pPr>
        <w:ind w:firstLine="643" w:firstLineChars="200"/>
        <w:rPr>
          <w:rFonts w:ascii="方正仿宋_GBK" w:eastAsia="方正仿宋_GBK"/>
          <w:sz w:val="32"/>
          <w:szCs w:val="32"/>
        </w:rPr>
      </w:pPr>
      <w:r>
        <w:rPr>
          <w:rStyle w:val="9"/>
          <w:rFonts w:hint="eastAsia" w:ascii="方正仿宋_GBK" w:eastAsia="方正仿宋_GBK"/>
          <w:sz w:val="32"/>
          <w:szCs w:val="32"/>
        </w:rPr>
        <w:t>3.支出情况。</w:t>
      </w:r>
      <w:r>
        <w:rPr>
          <w:rFonts w:hint="eastAsia" w:ascii="方正仿宋_GBK" w:eastAsia="方正仿宋_GBK"/>
          <w:sz w:val="32"/>
          <w:szCs w:val="32"/>
        </w:rPr>
        <w:t>2020年度支出合计758.16万元，较上年决算数增加331.22万元，增长77.6%，主要原因是</w:t>
      </w:r>
      <w:r>
        <w:rPr>
          <w:rFonts w:hint="eastAsia" w:ascii="方正仿宋_GBK" w:hAnsi="仿宋" w:eastAsia="方正仿宋_GBK"/>
          <w:sz w:val="32"/>
          <w:szCs w:val="32"/>
        </w:rPr>
        <w:t>学生资助资金增加，人员经费增加</w:t>
      </w:r>
      <w:r>
        <w:rPr>
          <w:rFonts w:hint="eastAsia" w:ascii="方正仿宋_GBK" w:eastAsia="方正仿宋_GBK"/>
          <w:sz w:val="32"/>
          <w:szCs w:val="32"/>
        </w:rPr>
        <w:t>。其中：基本支出 123.35万元，占16.3%；项目支出634.81万元，占83.7%；经营支出0.00万元，占0%。此外，结余分配0.00万元。</w:t>
      </w:r>
    </w:p>
    <w:p>
      <w:pPr>
        <w:ind w:firstLine="643" w:firstLineChars="200"/>
        <w:rPr>
          <w:rFonts w:ascii="方正仿宋_GBK" w:eastAsia="方正仿宋_GBK"/>
          <w:sz w:val="32"/>
          <w:szCs w:val="32"/>
        </w:rPr>
      </w:pPr>
      <w:r>
        <w:rPr>
          <w:rStyle w:val="9"/>
          <w:rFonts w:hint="eastAsia" w:ascii="方正仿宋_GBK" w:eastAsia="方正仿宋_GBK"/>
          <w:sz w:val="32"/>
          <w:szCs w:val="32"/>
        </w:rPr>
        <w:t>4.结转结余情况。</w:t>
      </w:r>
      <w:r>
        <w:rPr>
          <w:rFonts w:hint="eastAsia" w:ascii="方正仿宋_GBK" w:eastAsia="方正仿宋_GBK"/>
          <w:sz w:val="32"/>
          <w:szCs w:val="32"/>
        </w:rPr>
        <w:t>2020年度年末结转和结余748.29万元，较上年决算数增加357.57万元，增长91.5%，主要原因是各类学生资助资金结余增加。</w:t>
      </w:r>
    </w:p>
    <w:p>
      <w:pPr>
        <w:ind w:firstLine="321" w:firstLineChars="100"/>
        <w:rPr>
          <w:rFonts w:ascii="方正楷体_GBK" w:eastAsia="方正楷体_GBK"/>
          <w:sz w:val="32"/>
          <w:szCs w:val="32"/>
        </w:rPr>
      </w:pPr>
      <w:r>
        <w:rPr>
          <w:rFonts w:hint="eastAsia" w:ascii="方正楷体_GBK" w:eastAsia="方正楷体_GBK"/>
          <w:b/>
          <w:bCs/>
          <w:sz w:val="32"/>
          <w:szCs w:val="32"/>
        </w:rPr>
        <w:t>（二）财政拨款收入支出决算总体情况说明</w:t>
      </w:r>
    </w:p>
    <w:p>
      <w:pPr>
        <w:rPr>
          <w:rStyle w:val="9"/>
          <w:rFonts w:ascii="方正仿宋_GBK" w:eastAsia="方正仿宋_GBK"/>
          <w:b w:val="0"/>
          <w:sz w:val="32"/>
          <w:szCs w:val="32"/>
        </w:rPr>
      </w:pPr>
      <w:r>
        <w:rPr>
          <w:rFonts w:hint="eastAsia"/>
          <w:sz w:val="27"/>
          <w:szCs w:val="27"/>
        </w:rPr>
        <w:t xml:space="preserve">  </w:t>
      </w:r>
      <w:r>
        <w:rPr>
          <w:rStyle w:val="9"/>
          <w:rFonts w:hint="eastAsia" w:ascii="方正仿宋_GBK" w:eastAsia="方正仿宋_GBK"/>
          <w:b w:val="0"/>
          <w:sz w:val="32"/>
          <w:szCs w:val="32"/>
        </w:rPr>
        <w:t>2020年度财政拨款收、支总计1,506.45万元。与2019年相比，财政拨款收、支总计各增加688.79万 元，增长84.2%。主要原因是各类学生资助资金增加。</w:t>
      </w:r>
    </w:p>
    <w:p>
      <w:pPr>
        <w:ind w:firstLine="321" w:firstLineChars="100"/>
        <w:rPr>
          <w:rFonts w:ascii="方正楷体_GBK" w:eastAsia="方正楷体_GBK"/>
          <w:sz w:val="32"/>
          <w:szCs w:val="32"/>
        </w:rPr>
      </w:pPr>
      <w:r>
        <w:rPr>
          <w:rFonts w:hint="eastAsia" w:ascii="方正楷体_GBK" w:eastAsia="方正楷体_GBK"/>
          <w:b/>
          <w:bCs/>
          <w:sz w:val="32"/>
          <w:szCs w:val="32"/>
        </w:rPr>
        <w:t>（三）一般公共预算财政拨款支出决算情况说明</w:t>
      </w:r>
    </w:p>
    <w:p>
      <w:pPr>
        <w:ind w:firstLine="640" w:firstLineChars="200"/>
        <w:rPr>
          <w:rStyle w:val="9"/>
          <w:rFonts w:ascii="方正仿宋_GBK" w:eastAsia="方正仿宋_GBK"/>
          <w:b w:val="0"/>
          <w:sz w:val="32"/>
          <w:szCs w:val="32"/>
        </w:rPr>
      </w:pPr>
      <w:r>
        <w:rPr>
          <w:rStyle w:val="9"/>
          <w:rFonts w:hint="eastAsia" w:ascii="方正仿宋_GBK" w:eastAsia="方正仿宋_GBK"/>
          <w:b w:val="0"/>
          <w:sz w:val="32"/>
          <w:szCs w:val="32"/>
        </w:rPr>
        <w:t>1.收入情况。2020年度一般公共预算财政拨款收入1,307.46万元，较上年决算数增加784.03万元，增长149.8%。主要原因是各资助资金增加。较年初预算数增加366.41万元，增长38.9%。主要原因是员类经费超额绩效调标及社保费增加、资助资金调整。此外，年初财政拨款结转和结余198.99万元。</w:t>
      </w:r>
    </w:p>
    <w:p>
      <w:pPr>
        <w:ind w:firstLine="640" w:firstLineChars="200"/>
        <w:rPr>
          <w:rFonts w:hint="eastAsia" w:ascii="方正仿宋_GBK" w:eastAsia="方正仿宋_GBK"/>
          <w:b/>
          <w:sz w:val="32"/>
          <w:szCs w:val="32"/>
        </w:rPr>
      </w:pPr>
      <w:r>
        <w:rPr>
          <w:rStyle w:val="9"/>
          <w:rFonts w:hint="eastAsia" w:ascii="方正仿宋_GBK" w:eastAsia="方正仿宋_GBK"/>
          <w:b w:val="0"/>
          <w:sz w:val="32"/>
          <w:szCs w:val="32"/>
        </w:rPr>
        <w:t>2.支出情况。2020年度一般公共预算财政拨款支出758.16万元，较上年决算数增加331.22万元，增长77.6%。主要原因是各类学生资助资金增加。较年初预算数 减少573.61万 元，下降43.1%。主要原因是各类学生资助资金调剂给各中小学。</w:t>
      </w:r>
    </w:p>
    <w:p>
      <w:pPr>
        <w:ind w:firstLine="640" w:firstLineChars="200"/>
        <w:rPr>
          <w:rStyle w:val="9"/>
          <w:rFonts w:hint="eastAsia" w:ascii="方正仿宋_GBK" w:eastAsia="方正仿宋_GBK"/>
          <w:b w:val="0"/>
          <w:sz w:val="32"/>
          <w:szCs w:val="32"/>
        </w:rPr>
      </w:pPr>
      <w:r>
        <w:rPr>
          <w:rStyle w:val="9"/>
          <w:rFonts w:hint="eastAsia" w:ascii="方正仿宋_GBK" w:eastAsia="方正仿宋_GBK"/>
          <w:b w:val="0"/>
          <w:sz w:val="32"/>
          <w:szCs w:val="32"/>
        </w:rPr>
        <w:t>3.结转结余情况。2020年度年末一般公共预算财政拨款结转和结余748.29万元，较上年决算数增加357.57万元，增长91.5%，主要原因是各类资助资金增加。</w:t>
      </w:r>
    </w:p>
    <w:p>
      <w:pPr>
        <w:ind w:firstLine="480" w:firstLineChars="150"/>
        <w:rPr>
          <w:rStyle w:val="9"/>
          <w:rFonts w:hint="eastAsia" w:ascii="方正仿宋_GBK" w:eastAsia="方正仿宋_GBK"/>
          <w:b w:val="0"/>
          <w:sz w:val="32"/>
          <w:szCs w:val="32"/>
        </w:rPr>
      </w:pPr>
      <w:r>
        <w:rPr>
          <w:rStyle w:val="9"/>
          <w:rFonts w:hint="eastAsia" w:ascii="方正仿宋_GBK" w:eastAsia="方正仿宋_GBK"/>
          <w:b w:val="0"/>
          <w:sz w:val="32"/>
          <w:szCs w:val="32"/>
        </w:rPr>
        <w:t>4.比较情况</w:t>
      </w:r>
      <w:r>
        <w:rPr>
          <w:rFonts w:hint="eastAsia" w:ascii="方正仿宋_GBK" w:eastAsia="方正仿宋_GBK"/>
          <w:b/>
          <w:sz w:val="32"/>
          <w:szCs w:val="32"/>
        </w:rPr>
        <w:t>。</w:t>
      </w:r>
      <w:r>
        <w:rPr>
          <w:rStyle w:val="9"/>
          <w:rFonts w:hint="eastAsia" w:ascii="方正仿宋_GBK" w:eastAsia="方正仿宋_GBK"/>
          <w:b w:val="0"/>
          <w:sz w:val="32"/>
          <w:szCs w:val="32"/>
        </w:rPr>
        <w:t xml:space="preserve">本部门2020年度一般公共预算财政拨款支出主要用于以下几个方面： </w:t>
      </w:r>
    </w:p>
    <w:p>
      <w:pPr>
        <w:ind w:firstLine="480" w:firstLineChars="150"/>
        <w:rPr>
          <w:rStyle w:val="9"/>
          <w:rFonts w:ascii="方正仿宋_GBK" w:eastAsia="方正仿宋_GBK"/>
          <w:b w:val="0"/>
          <w:sz w:val="32"/>
          <w:szCs w:val="32"/>
        </w:rPr>
      </w:pPr>
      <w:r>
        <w:rPr>
          <w:rStyle w:val="9"/>
          <w:rFonts w:hint="eastAsia" w:ascii="方正仿宋_GBK" w:eastAsia="方正仿宋_GBK"/>
          <w:b w:val="0"/>
          <w:sz w:val="32"/>
          <w:szCs w:val="32"/>
        </w:rPr>
        <w:t>（1）教育支出526.58万元，占69.5%，较年初预算数减少784.10万 元，下降59.8%，主要原因是各类资助资金调剂给各中小学。</w:t>
      </w:r>
    </w:p>
    <w:p>
      <w:pPr>
        <w:ind w:firstLine="480" w:firstLineChars="150"/>
        <w:rPr>
          <w:rStyle w:val="9"/>
          <w:rFonts w:ascii="方正仿宋_GBK" w:eastAsia="方正仿宋_GBK"/>
          <w:b w:val="0"/>
          <w:sz w:val="32"/>
          <w:szCs w:val="32"/>
        </w:rPr>
      </w:pPr>
      <w:r>
        <w:rPr>
          <w:rStyle w:val="9"/>
          <w:rFonts w:hint="eastAsia" w:ascii="方正仿宋_GBK" w:eastAsia="方正仿宋_GBK"/>
          <w:b w:val="0"/>
          <w:sz w:val="32"/>
          <w:szCs w:val="32"/>
        </w:rPr>
        <w:t>（2）社会保障与就业支出10.78万元，占1.4%，较年初预算数增加0.37万 元，增长3.6%，主要原是人员增加，调标。</w:t>
      </w:r>
    </w:p>
    <w:p>
      <w:pPr>
        <w:ind w:firstLine="640" w:firstLineChars="200"/>
        <w:rPr>
          <w:rStyle w:val="9"/>
          <w:rFonts w:ascii="方正仿宋_GBK" w:eastAsia="方正仿宋_GBK"/>
          <w:b w:val="0"/>
          <w:sz w:val="32"/>
          <w:szCs w:val="32"/>
        </w:rPr>
      </w:pPr>
      <w:r>
        <w:rPr>
          <w:rStyle w:val="9"/>
          <w:rFonts w:hint="eastAsia" w:ascii="方正仿宋_GBK" w:eastAsia="方正仿宋_GBK"/>
          <w:b w:val="0"/>
          <w:sz w:val="32"/>
          <w:szCs w:val="32"/>
        </w:rPr>
        <w:t>（3）卫生健康支出5.01万元，占0.7%，较年初预算数增加0.09万 元，增长1.8%，主要原因是人员增加，调</w:t>
      </w:r>
      <w:r>
        <w:rPr>
          <w:rStyle w:val="9"/>
          <w:rFonts w:hint="eastAsia" w:ascii="方正仿宋_GBK" w:eastAsia="方正仿宋_GBK"/>
          <w:b w:val="0"/>
          <w:sz w:val="32"/>
          <w:szCs w:val="32"/>
          <w:lang w:eastAsia="zh-CN"/>
        </w:rPr>
        <w:t>标</w:t>
      </w:r>
      <w:r>
        <w:rPr>
          <w:rStyle w:val="9"/>
          <w:rFonts w:hint="eastAsia" w:ascii="方正仿宋_GBK" w:eastAsia="方正仿宋_GBK"/>
          <w:b w:val="0"/>
          <w:sz w:val="32"/>
          <w:szCs w:val="32"/>
        </w:rPr>
        <w:t>。</w:t>
      </w:r>
    </w:p>
    <w:p>
      <w:pPr>
        <w:ind w:firstLine="480" w:firstLineChars="150"/>
        <w:rPr>
          <w:rStyle w:val="9"/>
          <w:rFonts w:ascii="方正仿宋_GBK" w:eastAsia="方正仿宋_GBK"/>
          <w:b w:val="0"/>
          <w:sz w:val="32"/>
          <w:szCs w:val="32"/>
        </w:rPr>
      </w:pPr>
      <w:r>
        <w:rPr>
          <w:rStyle w:val="9"/>
          <w:rFonts w:hint="eastAsia" w:ascii="方正仿宋_GBK" w:eastAsia="方正仿宋_GBK"/>
          <w:b w:val="0"/>
          <w:sz w:val="32"/>
          <w:szCs w:val="32"/>
        </w:rPr>
        <w:t>（4）农林水支出210.00万元，占27.7%，较年初预算数增加210.00万 元，增长%，主要原因是新增建档立卡贫困大学生学费资助金。</w:t>
      </w:r>
    </w:p>
    <w:p>
      <w:pPr>
        <w:ind w:firstLine="480" w:firstLineChars="150"/>
        <w:rPr>
          <w:sz w:val="27"/>
          <w:szCs w:val="27"/>
        </w:rPr>
      </w:pPr>
      <w:r>
        <w:rPr>
          <w:rStyle w:val="9"/>
          <w:rFonts w:hint="eastAsia" w:ascii="方正仿宋_GBK" w:eastAsia="方正仿宋_GBK"/>
          <w:b w:val="0"/>
          <w:sz w:val="32"/>
          <w:szCs w:val="32"/>
        </w:rPr>
        <w:t>（5）住房保障支出5.79万元，占0.8%，较年初预算数增加0.03万 元，增长0.5%，主要原</w:t>
      </w:r>
      <w:r>
        <w:rPr>
          <w:rStyle w:val="9"/>
          <w:rFonts w:hint="eastAsia" w:ascii="方正仿宋_GBK" w:eastAsia="方正仿宋_GBK"/>
          <w:b w:val="0"/>
          <w:sz w:val="32"/>
          <w:szCs w:val="32"/>
          <w:lang w:eastAsia="zh-CN"/>
        </w:rPr>
        <w:t>因</w:t>
      </w:r>
      <w:r>
        <w:rPr>
          <w:rStyle w:val="9"/>
          <w:rFonts w:hint="eastAsia" w:ascii="方正仿宋_GBK" w:eastAsia="方正仿宋_GBK"/>
          <w:b w:val="0"/>
          <w:sz w:val="32"/>
          <w:szCs w:val="32"/>
        </w:rPr>
        <w:t>是预算时包含了季度考核绩效，实际在缴纳时未纳入缴费基数。</w:t>
      </w:r>
    </w:p>
    <w:p>
      <w:pPr>
        <w:ind w:firstLine="321" w:firstLineChars="100"/>
        <w:rPr>
          <w:rFonts w:ascii="方正楷体_GBK" w:eastAsia="方正楷体_GBK"/>
          <w:sz w:val="32"/>
          <w:szCs w:val="32"/>
        </w:rPr>
      </w:pPr>
      <w:r>
        <w:rPr>
          <w:rFonts w:hint="eastAsia" w:ascii="方正楷体_GBK" w:eastAsia="方正楷体_GBK"/>
          <w:b/>
          <w:bCs/>
          <w:sz w:val="32"/>
          <w:szCs w:val="32"/>
        </w:rPr>
        <w:t>（四）一般公共预算财政拨款基本支出决算情况说明</w:t>
      </w:r>
    </w:p>
    <w:p>
      <w:pPr>
        <w:rPr>
          <w:rStyle w:val="9"/>
          <w:rFonts w:ascii="方正仿宋_GBK" w:eastAsia="方正仿宋_GBK"/>
          <w:b w:val="0"/>
          <w:sz w:val="32"/>
          <w:szCs w:val="32"/>
        </w:rPr>
      </w:pPr>
      <w:r>
        <w:rPr>
          <w:rFonts w:hint="eastAsia"/>
          <w:sz w:val="27"/>
          <w:szCs w:val="27"/>
        </w:rPr>
        <w:t> </w:t>
      </w:r>
      <w:r>
        <w:rPr>
          <w:rStyle w:val="9"/>
          <w:rFonts w:hint="eastAsia" w:ascii="方正仿宋_GBK" w:eastAsia="方正仿宋_GBK"/>
          <w:b w:val="0"/>
          <w:sz w:val="32"/>
          <w:szCs w:val="32"/>
        </w:rPr>
        <w:t xml:space="preserve">  2020年度一般公共财政拨款基本支出123.35万元。其中：人员经费103.57万元，较上年决算数增加10.05万 元，增长10.7%，主要原因是人员类经费超额绩效调标及社保费增加。人员经费用途主要包括工资福利，保障与就业支出，卫生健康支出，住房保障支出。公用经费19.79万元，较上年决算数增加1.57万元，增长8.6%，主要原因是人员增资调标等。公用经费用途主要包括办公，水费，差旅，劳务等。</w:t>
      </w:r>
    </w:p>
    <w:p>
      <w:pPr>
        <w:ind w:firstLine="321" w:firstLineChars="100"/>
        <w:rPr>
          <w:rFonts w:ascii="方正楷体_GBK" w:eastAsia="方正楷体_GBK"/>
          <w:sz w:val="32"/>
          <w:szCs w:val="32"/>
        </w:rPr>
      </w:pPr>
      <w:r>
        <w:rPr>
          <w:rFonts w:hint="eastAsia" w:ascii="方正楷体_GBK" w:eastAsia="方正楷体_GBK"/>
          <w:b/>
          <w:bCs/>
          <w:sz w:val="32"/>
          <w:szCs w:val="32"/>
        </w:rPr>
        <w:t>（五）政府性基金预算收支决算情况说明</w:t>
      </w:r>
    </w:p>
    <w:p>
      <w:pPr>
        <w:rPr>
          <w:rStyle w:val="9"/>
          <w:rFonts w:ascii="方正仿宋_GBK" w:eastAsia="方正仿宋_GBK"/>
          <w:b w:val="0"/>
          <w:sz w:val="32"/>
          <w:szCs w:val="32"/>
        </w:rPr>
      </w:pPr>
      <w:r>
        <w:rPr>
          <w:rFonts w:hint="eastAsia"/>
          <w:sz w:val="27"/>
          <w:szCs w:val="27"/>
        </w:rPr>
        <w:t xml:space="preserve">   </w:t>
      </w:r>
      <w:r>
        <w:rPr>
          <w:rStyle w:val="9"/>
          <w:rFonts w:hint="eastAsia" w:ascii="方正仿宋_GBK" w:eastAsia="方正仿宋_GBK"/>
          <w:b w:val="0"/>
          <w:sz w:val="32"/>
          <w:szCs w:val="32"/>
        </w:rPr>
        <w:t>2020年度政府性基金预算财政拨款年初结转结余0.00万元，年末结转结余0.00万元。本年收入0.00万元，较上年决算数增加0.00万元，增长%。本年支出0.00万元，较上年决算数增加0.00万元，增长%。</w:t>
      </w:r>
      <w:r>
        <w:rPr>
          <w:rStyle w:val="9"/>
          <w:rFonts w:ascii="方正仿宋_GBK" w:eastAsia="方正仿宋_GBK"/>
          <w:b w:val="0"/>
          <w:sz w:val="32"/>
          <w:szCs w:val="32"/>
        </w:rPr>
        <w:t xml:space="preserve"> </w:t>
      </w:r>
    </w:p>
    <w:p>
      <w:pPr>
        <w:ind w:firstLine="1"/>
        <w:rPr>
          <w:rFonts w:ascii="方正楷体_GBK" w:eastAsia="方正楷体_GBK"/>
          <w:b/>
          <w:bCs/>
          <w:sz w:val="32"/>
          <w:szCs w:val="32"/>
        </w:rPr>
      </w:pPr>
      <w:r>
        <w:rPr>
          <w:rFonts w:hint="eastAsia" w:ascii="方正楷体_GBK" w:eastAsia="方正楷体_GBK"/>
          <w:b/>
          <w:bCs/>
          <w:sz w:val="32"/>
          <w:szCs w:val="32"/>
        </w:rPr>
        <w:t>（六）国有资本经营预算财政拨款</w:t>
      </w:r>
      <w:r>
        <w:rPr>
          <w:rFonts w:hint="eastAsia" w:ascii="方正楷体_GBK" w:eastAsia="方正楷体_GBK"/>
          <w:b/>
          <w:bCs/>
          <w:sz w:val="32"/>
          <w:szCs w:val="32"/>
          <w:lang w:eastAsia="zh-CN"/>
        </w:rPr>
        <w:t>支出</w:t>
      </w:r>
      <w:r>
        <w:rPr>
          <w:rFonts w:hint="eastAsia" w:ascii="方正楷体_GBK" w:eastAsia="方正楷体_GBK"/>
          <w:b/>
          <w:bCs/>
          <w:sz w:val="32"/>
          <w:szCs w:val="32"/>
        </w:rPr>
        <w:t>决算情况说明。</w:t>
      </w:r>
    </w:p>
    <w:p>
      <w:pPr>
        <w:rPr>
          <w:rStyle w:val="9"/>
          <w:rFonts w:ascii="方正仿宋_GBK" w:eastAsia="方正仿宋_GBK"/>
          <w:sz w:val="32"/>
          <w:szCs w:val="32"/>
        </w:rPr>
      </w:pPr>
      <w:r>
        <w:rPr>
          <w:rStyle w:val="9"/>
          <w:rFonts w:hint="eastAsia" w:ascii="方正仿宋_GBK" w:eastAsia="方正仿宋_GBK"/>
          <w:sz w:val="32"/>
          <w:szCs w:val="32"/>
        </w:rPr>
        <w:t>本部门2020年度无国有资本经营预算财政拨款支出。</w:t>
      </w:r>
    </w:p>
    <w:p>
      <w:pPr>
        <w:ind w:firstLine="320" w:firstLineChars="100"/>
        <w:rPr>
          <w:rFonts w:ascii="方正黑体_GBK" w:eastAsia="方正黑体_GBK"/>
          <w:sz w:val="32"/>
          <w:szCs w:val="32"/>
        </w:rPr>
      </w:pPr>
      <w:r>
        <w:rPr>
          <w:rFonts w:hint="eastAsia" w:ascii="方正黑体_GBK" w:eastAsia="方正黑体_GBK"/>
          <w:sz w:val="32"/>
          <w:szCs w:val="32"/>
        </w:rPr>
        <w:t>三、“三公”经费情况说明</w:t>
      </w:r>
    </w:p>
    <w:p>
      <w:pPr>
        <w:ind w:firstLine="321" w:firstLineChars="100"/>
        <w:rPr>
          <w:rFonts w:ascii="方正楷体_GBK" w:eastAsia="方正楷体_GBK"/>
          <w:sz w:val="32"/>
          <w:szCs w:val="32"/>
        </w:rPr>
      </w:pPr>
      <w:r>
        <w:rPr>
          <w:rFonts w:hint="eastAsia" w:ascii="方正楷体_GBK" w:eastAsia="方正楷体_GBK"/>
          <w:b/>
          <w:bCs/>
          <w:sz w:val="32"/>
          <w:szCs w:val="32"/>
        </w:rPr>
        <w:t>（一）</w:t>
      </w:r>
      <w:r>
        <w:rPr>
          <w:rFonts w:hint="eastAsia" w:ascii="方正楷体_GBK" w:eastAsia="方正楷体_GBK"/>
          <w:sz w:val="32"/>
          <w:szCs w:val="32"/>
        </w:rPr>
        <w:t>“三公”</w:t>
      </w:r>
      <w:r>
        <w:rPr>
          <w:rFonts w:hint="eastAsia" w:ascii="方正楷体_GBK" w:eastAsia="方正楷体_GBK"/>
          <w:b/>
          <w:bCs/>
          <w:sz w:val="32"/>
          <w:szCs w:val="32"/>
        </w:rPr>
        <w:t>经费支出总体情况说明</w:t>
      </w:r>
    </w:p>
    <w:p>
      <w:pPr>
        <w:ind w:firstLine="480" w:firstLineChars="150"/>
        <w:rPr>
          <w:rStyle w:val="9"/>
          <w:rFonts w:ascii="方正仿宋_GBK" w:eastAsia="方正仿宋_GBK"/>
          <w:b w:val="0"/>
          <w:sz w:val="32"/>
          <w:szCs w:val="32"/>
        </w:rPr>
      </w:pPr>
      <w:r>
        <w:rPr>
          <w:rStyle w:val="9"/>
          <w:rFonts w:hint="eastAsia" w:ascii="方正仿宋_GBK" w:eastAsia="方正仿宋_GBK"/>
          <w:b w:val="0"/>
          <w:sz w:val="32"/>
          <w:szCs w:val="32"/>
        </w:rPr>
        <w:t>2020年度“三公”经费支出共计2.78万元，较年初预算数减少0.72万元，下降20.6%，主要原因</w:t>
      </w:r>
      <w:r>
        <w:rPr>
          <w:rStyle w:val="9"/>
          <w:rFonts w:hint="eastAsia" w:ascii="方正仿宋_GBK" w:eastAsia="方正仿宋_GBK"/>
          <w:b w:val="0"/>
          <w:sz w:val="32"/>
          <w:szCs w:val="32"/>
          <w:lang w:eastAsia="zh-CN"/>
        </w:rPr>
        <w:t>是</w:t>
      </w:r>
      <w:r>
        <w:rPr>
          <w:rStyle w:val="9"/>
          <w:rFonts w:hint="eastAsia" w:ascii="方正仿宋_GBK" w:eastAsia="方正仿宋_GBK"/>
          <w:b w:val="0"/>
          <w:sz w:val="32"/>
          <w:szCs w:val="32"/>
        </w:rPr>
        <w:t>严格执行公务用车管理制度，切实减少公务用车运行维护费，严格执行中央八项规定。 较上年支出数减少1.94万 元，下降41.1%，主要原因</w:t>
      </w:r>
      <w:r>
        <w:rPr>
          <w:rStyle w:val="9"/>
          <w:rFonts w:hint="eastAsia" w:ascii="方正仿宋_GBK" w:eastAsia="方正仿宋_GBK"/>
          <w:b w:val="0"/>
          <w:sz w:val="32"/>
          <w:szCs w:val="32"/>
          <w:lang w:eastAsia="zh-CN"/>
        </w:rPr>
        <w:t>是</w:t>
      </w:r>
      <w:r>
        <w:rPr>
          <w:rStyle w:val="9"/>
          <w:rFonts w:hint="eastAsia" w:ascii="方正仿宋_GBK" w:eastAsia="方正仿宋_GBK"/>
          <w:b w:val="0"/>
          <w:sz w:val="32"/>
          <w:szCs w:val="32"/>
        </w:rPr>
        <w:t>严格执行公务用车管理制度，切实减少公务用车运行维护费，严格执行中央八项规定。</w:t>
      </w:r>
    </w:p>
    <w:p>
      <w:pPr>
        <w:ind w:firstLine="321" w:firstLineChars="100"/>
        <w:rPr>
          <w:rFonts w:ascii="方正楷体_GBK" w:eastAsia="方正楷体_GBK"/>
          <w:sz w:val="32"/>
          <w:szCs w:val="32"/>
        </w:rPr>
      </w:pPr>
      <w:r>
        <w:rPr>
          <w:rFonts w:hint="eastAsia" w:ascii="方正楷体_GBK" w:eastAsia="方正楷体_GBK"/>
          <w:b/>
          <w:bCs/>
          <w:sz w:val="32"/>
          <w:szCs w:val="32"/>
        </w:rPr>
        <w:t>（二）“三公”经费分项支出情况</w:t>
      </w:r>
    </w:p>
    <w:p>
      <w:pPr>
        <w:ind w:firstLine="480" w:firstLineChars="150"/>
        <w:rPr>
          <w:rStyle w:val="9"/>
          <w:rFonts w:ascii="方正仿宋_GBK" w:eastAsia="方正仿宋_GBK"/>
          <w:b w:val="0"/>
          <w:sz w:val="32"/>
          <w:szCs w:val="32"/>
        </w:rPr>
      </w:pPr>
      <w:r>
        <w:rPr>
          <w:rStyle w:val="9"/>
          <w:rFonts w:hint="eastAsia" w:ascii="方正仿宋_GBK" w:eastAsia="方正仿宋_GBK"/>
          <w:b w:val="0"/>
          <w:sz w:val="32"/>
          <w:szCs w:val="32"/>
        </w:rPr>
        <w:t>2020年度本部门因公出国（境）费用0.00万元。费用支出较年初预算数增加0.00万元，增长%。较上年支出数增加0.00万元，增长%。</w:t>
      </w:r>
    </w:p>
    <w:p>
      <w:pPr>
        <w:rPr>
          <w:rStyle w:val="9"/>
          <w:rFonts w:ascii="方正仿宋_GBK" w:eastAsia="方正仿宋_GBK"/>
          <w:b w:val="0"/>
          <w:sz w:val="32"/>
          <w:szCs w:val="32"/>
        </w:rPr>
      </w:pPr>
      <w:r>
        <w:rPr>
          <w:rStyle w:val="9"/>
          <w:rFonts w:hint="eastAsia" w:ascii="方正仿宋_GBK" w:eastAsia="方正仿宋_GBK"/>
          <w:b w:val="0"/>
          <w:sz w:val="32"/>
          <w:szCs w:val="32"/>
        </w:rPr>
        <w:t>公务车购置费0.00万元。费用支出较年初预算数增加0.00万元，增长%。较上年支出数增加0.00万元，增长%。</w:t>
      </w:r>
    </w:p>
    <w:p>
      <w:pPr>
        <w:rPr>
          <w:rStyle w:val="9"/>
          <w:rFonts w:ascii="方正仿宋_GBK" w:eastAsia="方正仿宋_GBK"/>
          <w:b w:val="0"/>
          <w:sz w:val="32"/>
          <w:szCs w:val="32"/>
        </w:rPr>
      </w:pPr>
      <w:r>
        <w:rPr>
          <w:rStyle w:val="9"/>
          <w:rFonts w:hint="eastAsia" w:ascii="方正仿宋_GBK" w:eastAsia="方正仿宋_GBK"/>
          <w:b w:val="0"/>
          <w:sz w:val="32"/>
          <w:szCs w:val="32"/>
        </w:rPr>
        <w:t>公务车运行维护费2.78万元，主要用于. 严格执行公务用车管理制度，切实减少公务用车运行维护费。费用支出较年初预算数减少0.72万元，下降20.6%，主要原因是严格执行公务用车管理制度，切实减少公务用车运行维护费。较上年支出数减少1.94万元，下降41.1%，主要原因是严格执行公务用车管理制度，切实减少公务用车运行维护费。</w:t>
      </w:r>
    </w:p>
    <w:p>
      <w:pPr>
        <w:rPr>
          <w:rStyle w:val="9"/>
          <w:rFonts w:ascii="方正仿宋_GBK" w:eastAsia="方正仿宋_GBK"/>
          <w:b w:val="0"/>
          <w:sz w:val="32"/>
          <w:szCs w:val="32"/>
        </w:rPr>
      </w:pPr>
      <w:r>
        <w:rPr>
          <w:rStyle w:val="9"/>
          <w:rFonts w:hint="eastAsia" w:ascii="方正仿宋_GBK" w:eastAsia="方正仿宋_GBK"/>
          <w:b w:val="0"/>
          <w:sz w:val="32"/>
          <w:szCs w:val="32"/>
        </w:rPr>
        <w:t>公务接待费0.00万元。费用支出较年初预算数增加0.00万元，增长%。较上年支出数增加0.00万元，增长%。</w:t>
      </w:r>
    </w:p>
    <w:p>
      <w:pPr>
        <w:rPr>
          <w:rFonts w:ascii="方正楷体_GBK" w:eastAsia="方正楷体_GBK"/>
          <w:sz w:val="32"/>
          <w:szCs w:val="32"/>
        </w:rPr>
      </w:pPr>
      <w:r>
        <w:rPr>
          <w:rFonts w:hint="eastAsia" w:ascii="方正楷体_GBK" w:eastAsia="方正楷体_GBK"/>
          <w:b/>
          <w:bCs/>
          <w:sz w:val="32"/>
          <w:szCs w:val="32"/>
        </w:rPr>
        <w:t>（三）“三公”经费实物量情况</w:t>
      </w:r>
    </w:p>
    <w:p>
      <w:pPr>
        <w:ind w:firstLine="480" w:firstLineChars="150"/>
        <w:rPr>
          <w:rStyle w:val="9"/>
          <w:rFonts w:ascii="方正仿宋_GBK" w:eastAsia="方正仿宋_GBK"/>
          <w:b w:val="0"/>
          <w:sz w:val="32"/>
          <w:szCs w:val="32"/>
        </w:rPr>
      </w:pPr>
      <w:r>
        <w:rPr>
          <w:rStyle w:val="9"/>
          <w:rFonts w:hint="eastAsia" w:ascii="方正仿宋_GBK" w:eastAsia="方正仿宋_GBK"/>
          <w:b w:val="0"/>
          <w:sz w:val="32"/>
          <w:szCs w:val="32"/>
        </w:rPr>
        <w:t>2020年度本部门因公出国（境）共计0个团组，0人；公务用车购置0辆，公务车保有量为1辆；国内公务接待0批次0人，其中：国内外 事接待0批次，0人；国（境）外公务接待0批次，0人。2020年本部门人均接待费0.00元，车均购置费0.00万元，车均维护费2.78万元。</w:t>
      </w:r>
    </w:p>
    <w:p>
      <w:pPr>
        <w:ind w:firstLine="482" w:firstLineChars="150"/>
        <w:rPr>
          <w:rFonts w:ascii="方正黑体_GBK" w:eastAsia="方正黑体_GBK"/>
          <w:sz w:val="32"/>
          <w:szCs w:val="32"/>
        </w:rPr>
      </w:pPr>
      <w:r>
        <w:rPr>
          <w:rFonts w:hint="eastAsia" w:ascii="方正黑体_GBK" w:eastAsia="方正黑体_GBK"/>
          <w:b/>
          <w:bCs/>
          <w:sz w:val="32"/>
          <w:szCs w:val="32"/>
        </w:rPr>
        <w:t>四、其他需要说明的事项</w:t>
      </w:r>
    </w:p>
    <w:p>
      <w:pPr>
        <w:ind w:firstLine="482" w:firstLineChars="150"/>
        <w:rPr>
          <w:rFonts w:ascii="方正楷体_GBK" w:eastAsia="方正楷体_GBK"/>
          <w:sz w:val="32"/>
          <w:szCs w:val="32"/>
        </w:rPr>
      </w:pPr>
      <w:r>
        <w:rPr>
          <w:rFonts w:hint="eastAsia" w:ascii="方正楷体_GBK" w:eastAsia="方正楷体_GBK"/>
          <w:b/>
          <w:bCs/>
          <w:sz w:val="32"/>
          <w:szCs w:val="32"/>
        </w:rPr>
        <w:t>（一）机关运行经费情况说明</w:t>
      </w:r>
    </w:p>
    <w:p>
      <w:pPr>
        <w:rPr>
          <w:rFonts w:ascii="方正仿宋_GBK" w:eastAsia="方正仿宋_GBK"/>
          <w:sz w:val="32"/>
          <w:szCs w:val="32"/>
        </w:rPr>
      </w:pPr>
      <w:r>
        <w:rPr>
          <w:rFonts w:hint="eastAsia" w:ascii="方正仿宋_GBK" w:eastAsia="方正仿宋_GBK"/>
          <w:sz w:val="32"/>
          <w:szCs w:val="32"/>
        </w:rPr>
        <w:t>2020年度本部门机关运行经费支出0.00万元</w:t>
      </w:r>
      <w:r>
        <w:rPr>
          <w:rFonts w:hint="eastAsia" w:ascii="方正仿宋_GBK" w:eastAsia="方正仿宋_GBK"/>
          <w:sz w:val="32"/>
          <w:szCs w:val="32"/>
          <w:lang w:eastAsia="zh-CN"/>
        </w:rPr>
        <w:t>，</w:t>
      </w:r>
      <w:r>
        <w:rPr>
          <w:rFonts w:hint="eastAsia" w:ascii="方正仿宋_GBK" w:eastAsia="方正仿宋_GBK"/>
          <w:sz w:val="32"/>
          <w:szCs w:val="32"/>
        </w:rPr>
        <w:t xml:space="preserve"> 机关运行经费较上年决算数增加0.00万元，增长%。</w:t>
      </w:r>
    </w:p>
    <w:p>
      <w:pPr>
        <w:rPr>
          <w:rFonts w:ascii="方正仿宋_GBK" w:eastAsia="方正仿宋_GBK"/>
          <w:sz w:val="32"/>
          <w:szCs w:val="32"/>
        </w:rPr>
      </w:pPr>
      <w:r>
        <w:rPr>
          <w:rFonts w:hint="eastAsia" w:ascii="方正仿宋_GBK" w:eastAsia="方正仿宋_GBK"/>
          <w:sz w:val="32"/>
          <w:szCs w:val="32"/>
        </w:rPr>
        <w:t>本年度会议费支出0.08万元，较上年决算数减少0.38万元，下降82.6%，主要原因是严格执行中央八项规定</w:t>
      </w:r>
      <w:r>
        <w:rPr>
          <w:rFonts w:hint="eastAsia" w:ascii="方正仿宋_GBK" w:eastAsia="方正仿宋_GBK"/>
          <w:sz w:val="32"/>
          <w:szCs w:val="32"/>
          <w:lang w:eastAsia="zh-CN"/>
        </w:rPr>
        <w:t>，</w:t>
      </w:r>
      <w:r>
        <w:rPr>
          <w:rFonts w:hint="eastAsia" w:ascii="方正仿宋_GBK" w:eastAsia="方正仿宋_GBK"/>
          <w:sz w:val="32"/>
          <w:szCs w:val="32"/>
        </w:rPr>
        <w:t>节约开支。本年度培训费支出 0.00万元，较上年决算数减少0.88万元，下降100%，主要原因严格执行中央八项规定</w:t>
      </w:r>
      <w:r>
        <w:rPr>
          <w:rFonts w:hint="eastAsia" w:ascii="方正仿宋_GBK" w:eastAsia="方正仿宋_GBK"/>
          <w:sz w:val="32"/>
          <w:szCs w:val="32"/>
          <w:lang w:eastAsia="zh-CN"/>
        </w:rPr>
        <w:t>，</w:t>
      </w:r>
      <w:r>
        <w:rPr>
          <w:rFonts w:hint="eastAsia" w:ascii="方正仿宋_GBK" w:eastAsia="方正仿宋_GBK"/>
          <w:sz w:val="32"/>
          <w:szCs w:val="32"/>
        </w:rPr>
        <w:t>节约开支。</w:t>
      </w:r>
    </w:p>
    <w:p>
      <w:pPr>
        <w:ind w:firstLine="482" w:firstLineChars="150"/>
        <w:rPr>
          <w:rFonts w:ascii="方正楷体_GBK" w:eastAsia="方正楷体_GBK"/>
          <w:sz w:val="32"/>
          <w:szCs w:val="32"/>
        </w:rPr>
      </w:pPr>
      <w:r>
        <w:rPr>
          <w:rFonts w:hint="eastAsia" w:ascii="方正楷体_GBK" w:eastAsia="方正楷体_GBK"/>
          <w:b/>
          <w:bCs/>
          <w:sz w:val="32"/>
          <w:szCs w:val="32"/>
        </w:rPr>
        <w:t>（二）国有资产占用情况说明</w:t>
      </w:r>
    </w:p>
    <w:p>
      <w:pPr>
        <w:rPr>
          <w:rFonts w:ascii="方正仿宋_GBK" w:eastAsia="方正仿宋_GBK"/>
          <w:sz w:val="32"/>
          <w:szCs w:val="32"/>
        </w:rPr>
      </w:pPr>
      <w:r>
        <w:rPr>
          <w:rFonts w:hint="eastAsia" w:ascii="方正仿宋_GBK" w:eastAsia="方正仿宋_GBK"/>
          <w:sz w:val="32"/>
          <w:szCs w:val="32"/>
        </w:rPr>
        <w:t>截至2020年12月31日，本部门共有车辆1辆，其中，副部（省）级及以上领导用车0辆、主要领导干部用车0辆、机要通信用车0辆、应急保障用车1辆、执法执勤用车0辆，特种专业技术用车0辆，离退休干部用车0辆，其他用车0辆。单价50万元（含）以上通用设备0台（套），单价100万元（含）以上专用设备0台（套）。</w:t>
      </w:r>
    </w:p>
    <w:p>
      <w:pPr>
        <w:ind w:firstLine="643" w:firstLineChars="200"/>
        <w:rPr>
          <w:rFonts w:ascii="方正楷体_GBK" w:eastAsia="方正楷体_GBK"/>
          <w:sz w:val="32"/>
          <w:szCs w:val="32"/>
        </w:rPr>
      </w:pPr>
      <w:r>
        <w:rPr>
          <w:rFonts w:hint="eastAsia" w:ascii="方正楷体_GBK" w:eastAsia="方正楷体_GBK"/>
          <w:b/>
          <w:bCs/>
          <w:sz w:val="32"/>
          <w:szCs w:val="32"/>
        </w:rPr>
        <w:t>（三）政府采购支出情况说明</w:t>
      </w:r>
    </w:p>
    <w:p>
      <w:pPr>
        <w:rPr>
          <w:rFonts w:ascii="方正仿宋_GBK" w:eastAsia="方正仿宋_GBK"/>
          <w:sz w:val="32"/>
          <w:szCs w:val="32"/>
        </w:rPr>
      </w:pPr>
      <w:r>
        <w:rPr>
          <w:rFonts w:hint="eastAsia" w:ascii="方正仿宋_GBK" w:eastAsia="方正仿宋_GBK"/>
          <w:sz w:val="32"/>
          <w:szCs w:val="32"/>
        </w:rPr>
        <w:t>2020年度本部门政府采购支出总额2.97万元，其中：政府采购货物支出2.97万元、政府采购工程支出0.00万元、政府采购服务支出0.00万元。授予中小企业合同金额2.97万元，占政府采购支出总额的100%，其中：授予小微企业合同金额 2.97万元，占政府采购支出总额的100%。主要用于采购一体化复印机。</w:t>
      </w:r>
    </w:p>
    <w:p>
      <w:pPr>
        <w:ind w:firstLine="643" w:firstLineChars="200"/>
        <w:rPr>
          <w:rFonts w:ascii="方正黑体_GBK" w:eastAsia="方正黑体_GBK"/>
          <w:sz w:val="32"/>
          <w:szCs w:val="32"/>
        </w:rPr>
      </w:pPr>
      <w:r>
        <w:rPr>
          <w:rFonts w:hint="eastAsia" w:ascii="方正黑体_GBK" w:eastAsia="方正黑体_GBK"/>
          <w:b/>
          <w:bCs/>
          <w:sz w:val="32"/>
          <w:szCs w:val="32"/>
        </w:rPr>
        <w:t>五、预算绩效管理情况说明</w:t>
      </w:r>
    </w:p>
    <w:p>
      <w:pPr>
        <w:ind w:firstLine="482" w:firstLineChars="150"/>
        <w:rPr>
          <w:rFonts w:ascii="方正楷体_GBK" w:eastAsia="方正楷体_GBK"/>
          <w:sz w:val="32"/>
          <w:szCs w:val="32"/>
        </w:rPr>
      </w:pPr>
      <w:r>
        <w:rPr>
          <w:rFonts w:hint="eastAsia" w:ascii="方正楷体_GBK" w:eastAsia="方正楷体_GBK"/>
          <w:b/>
          <w:bCs/>
          <w:sz w:val="32"/>
          <w:szCs w:val="32"/>
        </w:rPr>
        <w:t>（一）预算绩效管理工作开展情况</w:t>
      </w:r>
    </w:p>
    <w:p>
      <w:pPr>
        <w:ind w:firstLine="640" w:firstLineChars="200"/>
        <w:rPr>
          <w:rFonts w:ascii="方正仿宋_GBK" w:eastAsia="方正仿宋_GBK"/>
          <w:sz w:val="32"/>
          <w:szCs w:val="32"/>
        </w:rPr>
      </w:pPr>
      <w:r>
        <w:rPr>
          <w:rFonts w:hint="eastAsia" w:ascii="方正仿宋_GBK" w:hAnsi="仿宋" w:eastAsia="方正仿宋_GBK"/>
          <w:sz w:val="32"/>
          <w:szCs w:val="32"/>
        </w:rPr>
        <w:t>根据预算绩效管理要求，本单位7个项目开展了绩效自评，涉及资金1236.5万元；无以委托第三方形式开展绩效自评。从评价情况来看，大部分项目实施较好，保障了学校的运行稳定，得到社会充分肯定。</w:t>
      </w:r>
    </w:p>
    <w:p>
      <w:pPr>
        <w:ind w:firstLine="482" w:firstLineChars="150"/>
        <w:rPr>
          <w:rFonts w:ascii="方正楷体_GBK" w:eastAsia="方正楷体_GBK"/>
          <w:sz w:val="32"/>
          <w:szCs w:val="32"/>
        </w:rPr>
      </w:pPr>
      <w:r>
        <w:rPr>
          <w:rFonts w:hint="eastAsia" w:ascii="方正楷体_GBK" w:eastAsia="方正楷体_GBK"/>
          <w:b/>
          <w:bCs/>
          <w:sz w:val="32"/>
          <w:szCs w:val="32"/>
        </w:rPr>
        <w:t>（二）绩效自评结果</w:t>
      </w:r>
    </w:p>
    <w:p>
      <w:pPr>
        <w:ind w:firstLine="678" w:firstLineChars="250"/>
      </w:pPr>
      <w:r>
        <w:rPr>
          <w:rStyle w:val="9"/>
          <w:rFonts w:hint="eastAsia"/>
          <w:sz w:val="27"/>
          <w:szCs w:val="27"/>
        </w:rPr>
        <w:t>1.绩效自评表</w:t>
      </w:r>
    </w:p>
    <w:tbl>
      <w:tblPr>
        <w:tblStyle w:val="7"/>
        <w:tblW w:w="9800" w:type="dxa"/>
        <w:tblInd w:w="93" w:type="dxa"/>
        <w:tblLayout w:type="autofit"/>
        <w:tblCellMar>
          <w:top w:w="0" w:type="dxa"/>
          <w:left w:w="108" w:type="dxa"/>
          <w:bottom w:w="0" w:type="dxa"/>
          <w:right w:w="108" w:type="dxa"/>
        </w:tblCellMar>
      </w:tblPr>
      <w:tblGrid>
        <w:gridCol w:w="940"/>
        <w:gridCol w:w="1940"/>
        <w:gridCol w:w="1300"/>
        <w:gridCol w:w="740"/>
        <w:gridCol w:w="1480"/>
        <w:gridCol w:w="1600"/>
        <w:gridCol w:w="1160"/>
        <w:gridCol w:w="716"/>
      </w:tblGrid>
      <w:tr>
        <w:tblPrEx>
          <w:tblCellMar>
            <w:top w:w="0" w:type="dxa"/>
            <w:left w:w="108" w:type="dxa"/>
            <w:bottom w:w="0" w:type="dxa"/>
            <w:right w:w="108" w:type="dxa"/>
          </w:tblCellMar>
        </w:tblPrEx>
        <w:trPr>
          <w:trHeight w:val="585" w:hRule="atLeast"/>
        </w:trPr>
        <w:tc>
          <w:tcPr>
            <w:tcW w:w="9800" w:type="dxa"/>
            <w:gridSpan w:val="8"/>
            <w:tcBorders>
              <w:top w:val="nil"/>
              <w:left w:val="nil"/>
              <w:bottom w:val="nil"/>
              <w:right w:val="nil"/>
            </w:tcBorders>
            <w:shd w:val="clear" w:color="auto" w:fill="auto"/>
            <w:vAlign w:val="center"/>
          </w:tcPr>
          <w:p>
            <w:pPr>
              <w:jc w:val="center"/>
              <w:rPr>
                <w:b/>
                <w:bCs/>
                <w:color w:val="000000"/>
                <w:sz w:val="32"/>
                <w:szCs w:val="32"/>
              </w:rPr>
            </w:pPr>
            <w:r>
              <w:rPr>
                <w:rFonts w:hint="eastAsia"/>
                <w:b/>
                <w:bCs/>
                <w:color w:val="000000"/>
                <w:sz w:val="32"/>
                <w:szCs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2880" w:type="dxa"/>
            <w:gridSpan w:val="2"/>
            <w:tcBorders>
              <w:top w:val="nil"/>
              <w:left w:val="nil"/>
              <w:bottom w:val="single" w:color="auto" w:sz="4" w:space="0"/>
              <w:right w:val="nil"/>
            </w:tcBorders>
            <w:shd w:val="clear" w:color="auto" w:fill="auto"/>
            <w:vAlign w:val="center"/>
          </w:tcPr>
          <w:p>
            <w:pPr>
              <w:rPr>
                <w:b/>
                <w:bCs/>
                <w:color w:val="000000"/>
                <w:sz w:val="20"/>
                <w:szCs w:val="20"/>
              </w:rPr>
            </w:pPr>
            <w:r>
              <w:rPr>
                <w:rFonts w:hint="eastAsia"/>
                <w:b/>
                <w:bCs/>
                <w:color w:val="000000"/>
                <w:sz w:val="20"/>
                <w:szCs w:val="20"/>
              </w:rPr>
              <w:t>填表单位（盖章）：资助中心</w:t>
            </w:r>
          </w:p>
        </w:tc>
        <w:tc>
          <w:tcPr>
            <w:tcW w:w="1300" w:type="dxa"/>
            <w:tcBorders>
              <w:top w:val="nil"/>
              <w:left w:val="nil"/>
              <w:bottom w:val="nil"/>
              <w:right w:val="nil"/>
            </w:tcBorders>
            <w:shd w:val="clear" w:color="auto" w:fill="auto"/>
            <w:vAlign w:val="center"/>
          </w:tcPr>
          <w:p>
            <w:pPr>
              <w:jc w:val="center"/>
              <w:rPr>
                <w:b/>
                <w:bCs/>
                <w:color w:val="000000"/>
                <w:sz w:val="32"/>
                <w:szCs w:val="32"/>
              </w:rPr>
            </w:pPr>
          </w:p>
        </w:tc>
        <w:tc>
          <w:tcPr>
            <w:tcW w:w="740" w:type="dxa"/>
            <w:tcBorders>
              <w:top w:val="nil"/>
              <w:left w:val="nil"/>
              <w:bottom w:val="nil"/>
              <w:right w:val="nil"/>
            </w:tcBorders>
            <w:shd w:val="clear" w:color="auto" w:fill="auto"/>
            <w:vAlign w:val="center"/>
          </w:tcPr>
          <w:p>
            <w:pPr>
              <w:jc w:val="center"/>
              <w:rPr>
                <w:b/>
                <w:bCs/>
                <w:color w:val="000000"/>
                <w:sz w:val="32"/>
                <w:szCs w:val="32"/>
              </w:rPr>
            </w:pPr>
          </w:p>
        </w:tc>
        <w:tc>
          <w:tcPr>
            <w:tcW w:w="1480" w:type="dxa"/>
            <w:tcBorders>
              <w:top w:val="nil"/>
              <w:left w:val="nil"/>
              <w:bottom w:val="nil"/>
              <w:right w:val="nil"/>
            </w:tcBorders>
            <w:shd w:val="clear" w:color="auto" w:fill="auto"/>
            <w:vAlign w:val="center"/>
          </w:tcPr>
          <w:p>
            <w:pPr>
              <w:jc w:val="center"/>
              <w:rPr>
                <w:b/>
                <w:bCs/>
                <w:color w:val="000000"/>
                <w:sz w:val="32"/>
                <w:szCs w:val="32"/>
              </w:rPr>
            </w:pPr>
          </w:p>
        </w:tc>
        <w:tc>
          <w:tcPr>
            <w:tcW w:w="1600" w:type="dxa"/>
            <w:tcBorders>
              <w:top w:val="nil"/>
              <w:left w:val="nil"/>
              <w:bottom w:val="nil"/>
              <w:right w:val="nil"/>
            </w:tcBorders>
            <w:shd w:val="clear" w:color="auto" w:fill="auto"/>
            <w:vAlign w:val="center"/>
          </w:tcPr>
          <w:p>
            <w:pPr>
              <w:jc w:val="center"/>
              <w:rPr>
                <w:b/>
                <w:bCs/>
                <w:color w:val="000000"/>
                <w:sz w:val="32"/>
                <w:szCs w:val="32"/>
              </w:rPr>
            </w:pPr>
          </w:p>
        </w:tc>
        <w:tc>
          <w:tcPr>
            <w:tcW w:w="1160" w:type="dxa"/>
            <w:tcBorders>
              <w:top w:val="nil"/>
              <w:left w:val="nil"/>
              <w:bottom w:val="nil"/>
              <w:right w:val="nil"/>
            </w:tcBorders>
            <w:shd w:val="clear" w:color="auto" w:fill="auto"/>
            <w:vAlign w:val="center"/>
          </w:tcPr>
          <w:p>
            <w:pPr>
              <w:jc w:val="center"/>
              <w:rPr>
                <w:b/>
                <w:bCs/>
                <w:color w:val="000000"/>
                <w:sz w:val="32"/>
                <w:szCs w:val="32"/>
              </w:rPr>
            </w:pPr>
          </w:p>
        </w:tc>
        <w:tc>
          <w:tcPr>
            <w:tcW w:w="640" w:type="dxa"/>
            <w:tcBorders>
              <w:top w:val="nil"/>
              <w:left w:val="nil"/>
              <w:bottom w:val="nil"/>
              <w:right w:val="nil"/>
            </w:tcBorders>
            <w:shd w:val="clear" w:color="auto" w:fill="auto"/>
            <w:vAlign w:val="center"/>
          </w:tcPr>
          <w:p>
            <w:pPr>
              <w:jc w:val="center"/>
              <w:rPr>
                <w:b/>
                <w:bCs/>
                <w:color w:val="000000"/>
                <w:sz w:val="32"/>
                <w:szCs w:val="32"/>
              </w:rPr>
            </w:pPr>
          </w:p>
        </w:tc>
      </w:tr>
      <w:tr>
        <w:tblPrEx>
          <w:tblCellMar>
            <w:top w:w="0" w:type="dxa"/>
            <w:left w:w="108" w:type="dxa"/>
            <w:bottom w:w="0" w:type="dxa"/>
            <w:right w:w="108" w:type="dxa"/>
          </w:tblCellMar>
        </w:tblPrEx>
        <w:trPr>
          <w:trHeight w:val="37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项目名称</w:t>
            </w:r>
          </w:p>
        </w:tc>
        <w:tc>
          <w:tcPr>
            <w:tcW w:w="39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建卡大学生学费补助</w:t>
            </w:r>
          </w:p>
        </w:tc>
        <w:tc>
          <w:tcPr>
            <w:tcW w:w="1480" w:type="dxa"/>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自评总分</w:t>
            </w:r>
            <w:r>
              <w:rPr>
                <w:rFonts w:hint="eastAsia"/>
                <w:color w:val="000000"/>
                <w:sz w:val="20"/>
                <w:szCs w:val="20"/>
              </w:rPr>
              <w:br w:type="textWrapping"/>
            </w:r>
            <w:r>
              <w:rPr>
                <w:rFonts w:hint="eastAsia"/>
                <w:color w:val="000000"/>
                <w:sz w:val="20"/>
                <w:szCs w:val="20"/>
              </w:rPr>
              <w:t>（分)</w:t>
            </w:r>
            <w:bookmarkStart w:id="0" w:name="_GoBack"/>
            <w:bookmarkEnd w:id="0"/>
          </w:p>
        </w:tc>
        <w:tc>
          <w:tcPr>
            <w:tcW w:w="34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97.9</w:t>
            </w:r>
          </w:p>
        </w:tc>
      </w:tr>
      <w:tr>
        <w:tblPrEx>
          <w:tblCellMar>
            <w:top w:w="0" w:type="dxa"/>
            <w:left w:w="108" w:type="dxa"/>
            <w:bottom w:w="0" w:type="dxa"/>
            <w:right w:w="108" w:type="dxa"/>
          </w:tblCellMar>
        </w:tblPrEx>
        <w:trPr>
          <w:trHeight w:val="52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业务主管部门</w:t>
            </w:r>
          </w:p>
        </w:tc>
        <w:tc>
          <w:tcPr>
            <w:tcW w:w="39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重庆市綦江区教育委员会</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联系人</w:t>
            </w:r>
            <w:r>
              <w:rPr>
                <w:rFonts w:hint="eastAsia"/>
                <w:color w:val="000000"/>
                <w:sz w:val="20"/>
                <w:szCs w:val="20"/>
              </w:rPr>
              <w:br w:type="textWrapping"/>
            </w:r>
            <w:r>
              <w:rPr>
                <w:rFonts w:hint="eastAsia"/>
                <w:color w:val="000000"/>
                <w:sz w:val="20"/>
                <w:szCs w:val="20"/>
              </w:rPr>
              <w:t>及电话</w:t>
            </w:r>
          </w:p>
        </w:tc>
        <w:tc>
          <w:tcPr>
            <w:tcW w:w="340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48666727</w:t>
            </w:r>
          </w:p>
        </w:tc>
      </w:tr>
      <w:tr>
        <w:tblPrEx>
          <w:tblCellMar>
            <w:top w:w="0" w:type="dxa"/>
            <w:left w:w="108" w:type="dxa"/>
            <w:bottom w:w="0" w:type="dxa"/>
            <w:right w:w="108" w:type="dxa"/>
          </w:tblCellMar>
        </w:tblPrEx>
        <w:trPr>
          <w:trHeight w:val="360" w:hRule="atLeast"/>
        </w:trPr>
        <w:tc>
          <w:tcPr>
            <w:tcW w:w="94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项目资金（万元）</w:t>
            </w:r>
          </w:p>
        </w:tc>
        <w:tc>
          <w:tcPr>
            <w:tcW w:w="1940" w:type="dxa"/>
            <w:tcBorders>
              <w:top w:val="nil"/>
              <w:left w:val="nil"/>
              <w:bottom w:val="single" w:color="auto" w:sz="4" w:space="0"/>
              <w:right w:val="nil"/>
            </w:tcBorders>
            <w:shd w:val="clear" w:color="auto" w:fill="auto"/>
            <w:vAlign w:val="center"/>
          </w:tcPr>
          <w:p>
            <w:pPr>
              <w:rPr>
                <w:color w:val="000000"/>
                <w:sz w:val="20"/>
                <w:szCs w:val="20"/>
              </w:rPr>
            </w:pPr>
            <w:r>
              <w:rPr>
                <w:rFonts w:hint="eastAsia"/>
                <w:color w:val="000000"/>
                <w:sz w:val="20"/>
                <w:szCs w:val="20"/>
              </w:rPr>
              <w:t>　</w:t>
            </w:r>
          </w:p>
        </w:tc>
        <w:tc>
          <w:tcPr>
            <w:tcW w:w="2040" w:type="dxa"/>
            <w:gridSpan w:val="2"/>
            <w:tcBorders>
              <w:top w:val="single" w:color="auto" w:sz="4" w:space="0"/>
              <w:left w:val="single" w:color="auto" w:sz="4" w:space="0"/>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全年预算数（A）</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全年执行数（B）</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执行率%（B/A）</w:t>
            </w:r>
          </w:p>
        </w:tc>
        <w:tc>
          <w:tcPr>
            <w:tcW w:w="180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执行率得分（分）</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年度资金总额：</w:t>
            </w:r>
          </w:p>
        </w:tc>
        <w:tc>
          <w:tcPr>
            <w:tcW w:w="204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448.5</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445.44</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99.3</w:t>
            </w:r>
          </w:p>
        </w:tc>
        <w:tc>
          <w:tcPr>
            <w:tcW w:w="180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9.9</w:t>
            </w:r>
          </w:p>
        </w:tc>
      </w:tr>
      <w:tr>
        <w:tblPrEx>
          <w:tblCellMar>
            <w:top w:w="0" w:type="dxa"/>
            <w:left w:w="108" w:type="dxa"/>
            <w:bottom w:w="0" w:type="dxa"/>
            <w:right w:w="108" w:type="dxa"/>
          </w:tblCellMar>
        </w:tblPrEx>
        <w:trPr>
          <w:trHeight w:val="36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其中：中央补助</w:t>
            </w:r>
          </w:p>
        </w:tc>
        <w:tc>
          <w:tcPr>
            <w:tcW w:w="204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80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75"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市级补助</w:t>
            </w:r>
          </w:p>
        </w:tc>
        <w:tc>
          <w:tcPr>
            <w:tcW w:w="204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210</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210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80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42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区级资金</w:t>
            </w:r>
          </w:p>
        </w:tc>
        <w:tc>
          <w:tcPr>
            <w:tcW w:w="204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238.5</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235.44</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98.7</w:t>
            </w:r>
          </w:p>
        </w:tc>
        <w:tc>
          <w:tcPr>
            <w:tcW w:w="180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30" w:hRule="atLeast"/>
        </w:trPr>
        <w:tc>
          <w:tcPr>
            <w:tcW w:w="940"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其他资金</w:t>
            </w:r>
          </w:p>
        </w:tc>
        <w:tc>
          <w:tcPr>
            <w:tcW w:w="2040" w:type="dxa"/>
            <w:gridSpan w:val="2"/>
            <w:tcBorders>
              <w:top w:val="single" w:color="auto" w:sz="4" w:space="0"/>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　</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800"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CellMar>
            <w:top w:w="0" w:type="dxa"/>
            <w:left w:w="108" w:type="dxa"/>
            <w:bottom w:w="0" w:type="dxa"/>
            <w:right w:w="108" w:type="dxa"/>
          </w:tblCellMar>
        </w:tblPrEx>
        <w:trPr>
          <w:trHeight w:val="345" w:hRule="atLeast"/>
        </w:trPr>
        <w:tc>
          <w:tcPr>
            <w:tcW w:w="940"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年度总体目标</w:t>
            </w:r>
          </w:p>
        </w:tc>
        <w:tc>
          <w:tcPr>
            <w:tcW w:w="39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年初设定目标</w:t>
            </w:r>
          </w:p>
        </w:tc>
        <w:tc>
          <w:tcPr>
            <w:tcW w:w="488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全年目标实际完成情况</w:t>
            </w:r>
          </w:p>
        </w:tc>
      </w:tr>
      <w:tr>
        <w:tblPrEx>
          <w:tblCellMar>
            <w:top w:w="0" w:type="dxa"/>
            <w:left w:w="108" w:type="dxa"/>
            <w:bottom w:w="0" w:type="dxa"/>
            <w:right w:w="108" w:type="dxa"/>
          </w:tblCellMar>
        </w:tblPrEx>
        <w:trPr>
          <w:trHeight w:val="1560"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3980" w:type="dxa"/>
            <w:gridSpan w:val="3"/>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开展建档大学生学费补助，确保所有符合条件的重庆籍建档立卡贫困大学生都能享受规定政策，及时足额得到精准资助，标准在8000元以内的全额补助，超过8000元的定额补助8000元。确保每一名学生不因家庭经济困难而失学。</w:t>
            </w:r>
          </w:p>
        </w:tc>
        <w:tc>
          <w:tcPr>
            <w:tcW w:w="4880"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开展建档大学生学费补助，确保所有符合条件的重庆籍建档立卡贫困大学生都能享受规定政策，及时足额得到精准资助，标准在8000元以内的全额补助，超过8000元的定额补助8000元。确保每一名学生不因家庭经济困难而失学。</w:t>
            </w:r>
          </w:p>
        </w:tc>
      </w:tr>
      <w:tr>
        <w:tblPrEx>
          <w:tblCellMar>
            <w:top w:w="0" w:type="dxa"/>
            <w:left w:w="108" w:type="dxa"/>
            <w:bottom w:w="0" w:type="dxa"/>
            <w:right w:w="108" w:type="dxa"/>
          </w:tblCellMar>
        </w:tblPrEx>
        <w:trPr>
          <w:trHeight w:val="645" w:hRule="atLeast"/>
        </w:trPr>
        <w:tc>
          <w:tcPr>
            <w:tcW w:w="940"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color w:val="000000"/>
                <w:sz w:val="20"/>
                <w:szCs w:val="20"/>
              </w:rPr>
            </w:pPr>
            <w:r>
              <w:rPr>
                <w:rFonts w:hint="eastAsia"/>
                <w:color w:val="000000"/>
                <w:sz w:val="20"/>
                <w:szCs w:val="20"/>
              </w:rPr>
              <w:t>绩效指标</w:t>
            </w: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指标名称</w:t>
            </w:r>
            <w:r>
              <w:rPr>
                <w:rFonts w:hint="eastAsia"/>
                <w:color w:val="000000"/>
                <w:sz w:val="20"/>
                <w:szCs w:val="20"/>
              </w:rPr>
              <w:br w:type="textWrapping"/>
            </w:r>
            <w:r>
              <w:rPr>
                <w:rFonts w:hint="eastAsia"/>
                <w:color w:val="000000"/>
                <w:sz w:val="20"/>
                <w:szCs w:val="20"/>
              </w:rPr>
              <w:t>（三级指标）</w:t>
            </w:r>
          </w:p>
        </w:tc>
        <w:tc>
          <w:tcPr>
            <w:tcW w:w="130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计量单位</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指标权重</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指标值</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全年完成值</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得分系数（%）</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指标得分</w:t>
            </w:r>
            <w:r>
              <w:rPr>
                <w:rFonts w:hint="eastAsia"/>
                <w:color w:val="000000"/>
                <w:sz w:val="20"/>
                <w:szCs w:val="20"/>
              </w:rPr>
              <w:br w:type="textWrapping"/>
            </w:r>
            <w:r>
              <w:rPr>
                <w:rFonts w:hint="eastAsia"/>
                <w:color w:val="000000"/>
                <w:sz w:val="20"/>
                <w:szCs w:val="20"/>
              </w:rPr>
              <w:t>（分)</w:t>
            </w:r>
          </w:p>
        </w:tc>
      </w:tr>
      <w:tr>
        <w:tblPrEx>
          <w:tblCellMar>
            <w:top w:w="0" w:type="dxa"/>
            <w:left w:w="108" w:type="dxa"/>
            <w:bottom w:w="0" w:type="dxa"/>
            <w:right w:w="108" w:type="dxa"/>
          </w:tblCellMar>
        </w:tblPrEx>
        <w:trPr>
          <w:trHeight w:val="40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资助人次</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人次</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20</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900</w:t>
            </w:r>
          </w:p>
        </w:tc>
        <w:tc>
          <w:tcPr>
            <w:tcW w:w="16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929</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20</w:t>
            </w:r>
          </w:p>
        </w:tc>
      </w:tr>
      <w:tr>
        <w:tblPrEx>
          <w:tblCellMar>
            <w:top w:w="0" w:type="dxa"/>
            <w:left w:w="108" w:type="dxa"/>
            <w:bottom w:w="0" w:type="dxa"/>
            <w:right w:w="108" w:type="dxa"/>
          </w:tblCellMar>
        </w:tblPrEx>
        <w:trPr>
          <w:trHeight w:val="40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补助标准</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元/年</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10</w:t>
            </w:r>
          </w:p>
        </w:tc>
        <w:tc>
          <w:tcPr>
            <w:tcW w:w="1480" w:type="dxa"/>
            <w:tcBorders>
              <w:top w:val="nil"/>
              <w:left w:val="nil"/>
              <w:bottom w:val="single" w:color="auto" w:sz="4" w:space="0"/>
              <w:right w:val="single" w:color="auto" w:sz="4" w:space="0"/>
            </w:tcBorders>
            <w:shd w:val="clear" w:color="auto" w:fill="auto"/>
            <w:noWrap/>
            <w:vAlign w:val="center"/>
          </w:tcPr>
          <w:p>
            <w:pPr>
              <w:jc w:val="center"/>
              <w:rPr>
                <w:color w:val="000000"/>
                <w:sz w:val="20"/>
                <w:szCs w:val="20"/>
              </w:rPr>
            </w:pPr>
            <w:r>
              <w:rPr>
                <w:rFonts w:hint="eastAsia"/>
                <w:color w:val="000000"/>
                <w:sz w:val="20"/>
                <w:szCs w:val="20"/>
              </w:rPr>
              <w:t>8000</w:t>
            </w:r>
          </w:p>
        </w:tc>
        <w:tc>
          <w:tcPr>
            <w:tcW w:w="16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8000</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40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资助发放精准度</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10</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160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w:t>
            </w:r>
          </w:p>
        </w:tc>
      </w:tr>
      <w:tr>
        <w:tblPrEx>
          <w:tblCellMar>
            <w:top w:w="0" w:type="dxa"/>
            <w:left w:w="108" w:type="dxa"/>
            <w:bottom w:w="0" w:type="dxa"/>
            <w:right w:w="108" w:type="dxa"/>
          </w:tblCellMar>
        </w:tblPrEx>
        <w:trPr>
          <w:trHeight w:val="40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资金到位准时度</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10</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8</w:t>
            </w:r>
          </w:p>
        </w:tc>
      </w:tr>
      <w:tr>
        <w:tblPrEx>
          <w:tblCellMar>
            <w:top w:w="0" w:type="dxa"/>
            <w:left w:w="108" w:type="dxa"/>
            <w:bottom w:w="0" w:type="dxa"/>
            <w:right w:w="108" w:type="dxa"/>
          </w:tblCellMar>
        </w:tblPrEx>
        <w:trPr>
          <w:trHeight w:val="40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保障贫困学生入学率</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30</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30</w:t>
            </w:r>
          </w:p>
        </w:tc>
      </w:tr>
      <w:tr>
        <w:tblPrEx>
          <w:tblCellMar>
            <w:top w:w="0" w:type="dxa"/>
            <w:left w:w="108" w:type="dxa"/>
            <w:bottom w:w="0" w:type="dxa"/>
            <w:right w:w="108" w:type="dxa"/>
          </w:tblCellMar>
        </w:tblPrEx>
        <w:trPr>
          <w:trHeight w:val="40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家长学校满意度</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405" w:hRule="atLeast"/>
        </w:trPr>
        <w:tc>
          <w:tcPr>
            <w:tcW w:w="940"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19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社会公众满意度</w:t>
            </w:r>
          </w:p>
        </w:tc>
        <w:tc>
          <w:tcPr>
            <w:tcW w:w="13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c>
          <w:tcPr>
            <w:tcW w:w="740" w:type="dxa"/>
            <w:tcBorders>
              <w:top w:val="nil"/>
              <w:left w:val="nil"/>
              <w:bottom w:val="single" w:color="auto" w:sz="4" w:space="0"/>
              <w:right w:val="nil"/>
            </w:tcBorders>
            <w:shd w:val="clear" w:color="auto" w:fill="auto"/>
            <w:vAlign w:val="center"/>
          </w:tcPr>
          <w:p>
            <w:pPr>
              <w:jc w:val="center"/>
              <w:rPr>
                <w:color w:val="000000"/>
                <w:sz w:val="20"/>
                <w:szCs w:val="20"/>
              </w:rPr>
            </w:pPr>
            <w:r>
              <w:rPr>
                <w:rFonts w:hint="eastAsia"/>
                <w:color w:val="000000"/>
                <w:sz w:val="20"/>
                <w:szCs w:val="20"/>
              </w:rPr>
              <w:t>5</w:t>
            </w:r>
          </w:p>
        </w:tc>
        <w:tc>
          <w:tcPr>
            <w:tcW w:w="148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160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98%</w:t>
            </w:r>
          </w:p>
        </w:tc>
        <w:tc>
          <w:tcPr>
            <w:tcW w:w="116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640"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w:t>
            </w:r>
          </w:p>
        </w:tc>
      </w:tr>
      <w:tr>
        <w:tblPrEx>
          <w:tblCellMar>
            <w:top w:w="0" w:type="dxa"/>
            <w:left w:w="108" w:type="dxa"/>
            <w:bottom w:w="0" w:type="dxa"/>
            <w:right w:w="108" w:type="dxa"/>
          </w:tblCellMar>
        </w:tblPrEx>
        <w:trPr>
          <w:trHeight w:val="1455" w:hRule="atLeast"/>
        </w:trPr>
        <w:tc>
          <w:tcPr>
            <w:tcW w:w="940"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未完成绩效目标或偏离较多的原因、改进措施及其他说明</w:t>
            </w:r>
          </w:p>
        </w:tc>
        <w:tc>
          <w:tcPr>
            <w:tcW w:w="8860" w:type="dxa"/>
            <w:gridSpan w:val="7"/>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r>
        <w:tblPrEx>
          <w:tblCellMar>
            <w:top w:w="0" w:type="dxa"/>
            <w:left w:w="108" w:type="dxa"/>
            <w:bottom w:w="0" w:type="dxa"/>
            <w:right w:w="108" w:type="dxa"/>
          </w:tblCellMar>
        </w:tblPrEx>
        <w:trPr>
          <w:trHeight w:val="270" w:hRule="atLeast"/>
        </w:trPr>
        <w:tc>
          <w:tcPr>
            <w:tcW w:w="940" w:type="dxa"/>
            <w:tcBorders>
              <w:top w:val="nil"/>
              <w:left w:val="nil"/>
              <w:bottom w:val="nil"/>
              <w:right w:val="nil"/>
            </w:tcBorders>
            <w:shd w:val="clear" w:color="auto" w:fill="auto"/>
            <w:noWrap/>
            <w:vAlign w:val="center"/>
          </w:tcPr>
          <w:p>
            <w:pPr>
              <w:rPr>
                <w:color w:val="000000"/>
                <w:sz w:val="22"/>
                <w:szCs w:val="22"/>
              </w:rPr>
            </w:pPr>
          </w:p>
        </w:tc>
        <w:tc>
          <w:tcPr>
            <w:tcW w:w="1940" w:type="dxa"/>
            <w:tcBorders>
              <w:top w:val="nil"/>
              <w:left w:val="nil"/>
              <w:bottom w:val="nil"/>
              <w:right w:val="nil"/>
            </w:tcBorders>
            <w:shd w:val="clear" w:color="auto" w:fill="auto"/>
            <w:noWrap/>
            <w:vAlign w:val="center"/>
          </w:tcPr>
          <w:p>
            <w:pPr>
              <w:rPr>
                <w:color w:val="000000"/>
                <w:sz w:val="22"/>
                <w:szCs w:val="22"/>
              </w:rPr>
            </w:pPr>
          </w:p>
        </w:tc>
        <w:tc>
          <w:tcPr>
            <w:tcW w:w="1300" w:type="dxa"/>
            <w:tcBorders>
              <w:top w:val="nil"/>
              <w:left w:val="nil"/>
              <w:bottom w:val="nil"/>
              <w:right w:val="nil"/>
            </w:tcBorders>
            <w:shd w:val="clear" w:color="auto" w:fill="auto"/>
            <w:noWrap/>
            <w:vAlign w:val="center"/>
          </w:tcPr>
          <w:p>
            <w:pPr>
              <w:rPr>
                <w:color w:val="000000"/>
                <w:sz w:val="22"/>
                <w:szCs w:val="22"/>
              </w:rPr>
            </w:pPr>
          </w:p>
        </w:tc>
        <w:tc>
          <w:tcPr>
            <w:tcW w:w="740" w:type="dxa"/>
            <w:tcBorders>
              <w:top w:val="nil"/>
              <w:left w:val="nil"/>
              <w:bottom w:val="nil"/>
              <w:right w:val="nil"/>
            </w:tcBorders>
            <w:shd w:val="clear" w:color="auto" w:fill="auto"/>
            <w:noWrap/>
            <w:vAlign w:val="center"/>
          </w:tcPr>
          <w:p>
            <w:pPr>
              <w:rPr>
                <w:color w:val="000000"/>
                <w:sz w:val="22"/>
                <w:szCs w:val="22"/>
              </w:rPr>
            </w:pPr>
          </w:p>
        </w:tc>
        <w:tc>
          <w:tcPr>
            <w:tcW w:w="1480" w:type="dxa"/>
            <w:tcBorders>
              <w:top w:val="nil"/>
              <w:left w:val="nil"/>
              <w:bottom w:val="nil"/>
              <w:right w:val="nil"/>
            </w:tcBorders>
            <w:shd w:val="clear" w:color="auto" w:fill="auto"/>
            <w:noWrap/>
            <w:vAlign w:val="center"/>
          </w:tcPr>
          <w:p>
            <w:pPr>
              <w:rPr>
                <w:color w:val="000000"/>
                <w:sz w:val="22"/>
                <w:szCs w:val="22"/>
              </w:rPr>
            </w:pPr>
          </w:p>
        </w:tc>
        <w:tc>
          <w:tcPr>
            <w:tcW w:w="1600" w:type="dxa"/>
            <w:tcBorders>
              <w:top w:val="nil"/>
              <w:left w:val="nil"/>
              <w:bottom w:val="nil"/>
              <w:right w:val="nil"/>
            </w:tcBorders>
            <w:shd w:val="clear" w:color="auto" w:fill="auto"/>
            <w:noWrap/>
            <w:vAlign w:val="center"/>
          </w:tcPr>
          <w:p>
            <w:pPr>
              <w:rPr>
                <w:color w:val="000000"/>
                <w:sz w:val="22"/>
                <w:szCs w:val="22"/>
              </w:rPr>
            </w:pPr>
          </w:p>
        </w:tc>
        <w:tc>
          <w:tcPr>
            <w:tcW w:w="1160" w:type="dxa"/>
            <w:tcBorders>
              <w:top w:val="nil"/>
              <w:left w:val="nil"/>
              <w:bottom w:val="nil"/>
              <w:right w:val="nil"/>
            </w:tcBorders>
            <w:shd w:val="clear" w:color="auto" w:fill="auto"/>
            <w:noWrap/>
            <w:vAlign w:val="center"/>
          </w:tcPr>
          <w:p>
            <w:pPr>
              <w:rPr>
                <w:color w:val="000000"/>
                <w:sz w:val="22"/>
                <w:szCs w:val="22"/>
              </w:rPr>
            </w:pPr>
          </w:p>
        </w:tc>
        <w:tc>
          <w:tcPr>
            <w:tcW w:w="640" w:type="dxa"/>
            <w:tcBorders>
              <w:top w:val="nil"/>
              <w:left w:val="nil"/>
              <w:bottom w:val="nil"/>
              <w:right w:val="nil"/>
            </w:tcBorders>
            <w:shd w:val="clear" w:color="auto" w:fill="auto"/>
            <w:noWrap/>
            <w:vAlign w:val="center"/>
          </w:tcPr>
          <w:p>
            <w:pPr>
              <w:rPr>
                <w:color w:val="000000"/>
                <w:sz w:val="22"/>
                <w:szCs w:val="22"/>
              </w:rPr>
            </w:pPr>
          </w:p>
        </w:tc>
      </w:tr>
      <w:tr>
        <w:tblPrEx>
          <w:tblCellMar>
            <w:top w:w="0" w:type="dxa"/>
            <w:left w:w="108" w:type="dxa"/>
            <w:bottom w:w="0" w:type="dxa"/>
            <w:right w:w="108" w:type="dxa"/>
          </w:tblCellMar>
        </w:tblPrEx>
        <w:trPr>
          <w:trHeight w:val="420" w:hRule="atLeast"/>
        </w:trPr>
        <w:tc>
          <w:tcPr>
            <w:tcW w:w="940" w:type="dxa"/>
            <w:tcBorders>
              <w:top w:val="nil"/>
              <w:left w:val="nil"/>
              <w:bottom w:val="nil"/>
              <w:right w:val="nil"/>
            </w:tcBorders>
            <w:shd w:val="clear" w:color="auto" w:fill="auto"/>
            <w:vAlign w:val="center"/>
          </w:tcPr>
          <w:p>
            <w:pPr>
              <w:rPr>
                <w:sz w:val="20"/>
                <w:szCs w:val="20"/>
              </w:rPr>
            </w:pPr>
            <w:r>
              <w:rPr>
                <w:rFonts w:hint="eastAsia"/>
                <w:sz w:val="20"/>
                <w:szCs w:val="20"/>
              </w:rPr>
              <w:t xml:space="preserve"> 预算单位主要领导：          </w:t>
            </w:r>
          </w:p>
        </w:tc>
        <w:tc>
          <w:tcPr>
            <w:tcW w:w="1940" w:type="dxa"/>
            <w:tcBorders>
              <w:top w:val="nil"/>
              <w:left w:val="nil"/>
              <w:bottom w:val="nil"/>
              <w:right w:val="nil"/>
            </w:tcBorders>
            <w:shd w:val="clear" w:color="auto" w:fill="auto"/>
            <w:vAlign w:val="center"/>
          </w:tcPr>
          <w:p>
            <w:pPr>
              <w:rPr>
                <w:sz w:val="20"/>
                <w:szCs w:val="20"/>
              </w:rPr>
            </w:pPr>
            <w:r>
              <w:rPr>
                <w:rFonts w:hint="eastAsia"/>
                <w:sz w:val="20"/>
                <w:szCs w:val="20"/>
              </w:rPr>
              <w:t>周庆</w:t>
            </w:r>
          </w:p>
        </w:tc>
        <w:tc>
          <w:tcPr>
            <w:tcW w:w="1300" w:type="dxa"/>
            <w:tcBorders>
              <w:top w:val="nil"/>
              <w:left w:val="nil"/>
              <w:bottom w:val="nil"/>
              <w:right w:val="nil"/>
            </w:tcBorders>
            <w:shd w:val="clear" w:color="auto" w:fill="auto"/>
            <w:vAlign w:val="center"/>
          </w:tcPr>
          <w:p>
            <w:pPr>
              <w:rPr>
                <w:sz w:val="20"/>
                <w:szCs w:val="20"/>
              </w:rPr>
            </w:pPr>
            <w:r>
              <w:rPr>
                <w:rFonts w:hint="eastAsia"/>
                <w:sz w:val="20"/>
                <w:szCs w:val="20"/>
              </w:rPr>
              <w:t>绩效评价负责人：</w:t>
            </w:r>
          </w:p>
        </w:tc>
        <w:tc>
          <w:tcPr>
            <w:tcW w:w="740" w:type="dxa"/>
            <w:tcBorders>
              <w:top w:val="nil"/>
              <w:left w:val="nil"/>
              <w:bottom w:val="nil"/>
              <w:right w:val="nil"/>
            </w:tcBorders>
            <w:shd w:val="clear" w:color="auto" w:fill="auto"/>
            <w:vAlign w:val="center"/>
          </w:tcPr>
          <w:p>
            <w:pPr>
              <w:rPr>
                <w:sz w:val="20"/>
                <w:szCs w:val="20"/>
              </w:rPr>
            </w:pPr>
            <w:r>
              <w:rPr>
                <w:rFonts w:hint="eastAsia"/>
                <w:sz w:val="20"/>
                <w:szCs w:val="20"/>
              </w:rPr>
              <w:t>周庆</w:t>
            </w:r>
          </w:p>
        </w:tc>
        <w:tc>
          <w:tcPr>
            <w:tcW w:w="3080" w:type="dxa"/>
            <w:gridSpan w:val="2"/>
            <w:tcBorders>
              <w:top w:val="nil"/>
              <w:left w:val="nil"/>
              <w:bottom w:val="nil"/>
              <w:right w:val="nil"/>
            </w:tcBorders>
            <w:shd w:val="clear" w:color="auto" w:fill="auto"/>
            <w:vAlign w:val="center"/>
          </w:tcPr>
          <w:p>
            <w:pPr>
              <w:jc w:val="right"/>
              <w:rPr>
                <w:sz w:val="20"/>
                <w:szCs w:val="20"/>
              </w:rPr>
            </w:pPr>
            <w:r>
              <w:rPr>
                <w:rFonts w:hint="eastAsia"/>
                <w:sz w:val="20"/>
                <w:szCs w:val="20"/>
              </w:rPr>
              <w:t>经办人：</w:t>
            </w:r>
          </w:p>
        </w:tc>
        <w:tc>
          <w:tcPr>
            <w:tcW w:w="1160" w:type="dxa"/>
            <w:tcBorders>
              <w:top w:val="nil"/>
              <w:left w:val="nil"/>
              <w:bottom w:val="nil"/>
              <w:right w:val="nil"/>
            </w:tcBorders>
            <w:shd w:val="clear" w:color="auto" w:fill="auto"/>
            <w:vAlign w:val="center"/>
          </w:tcPr>
          <w:p>
            <w:pPr>
              <w:jc w:val="right"/>
              <w:rPr>
                <w:sz w:val="20"/>
                <w:szCs w:val="20"/>
              </w:rPr>
            </w:pPr>
            <w:r>
              <w:rPr>
                <w:rFonts w:hint="eastAsia"/>
                <w:sz w:val="20"/>
                <w:szCs w:val="20"/>
              </w:rPr>
              <w:t>凌崇友</w:t>
            </w:r>
          </w:p>
        </w:tc>
        <w:tc>
          <w:tcPr>
            <w:tcW w:w="640" w:type="dxa"/>
            <w:tcBorders>
              <w:top w:val="nil"/>
              <w:left w:val="nil"/>
              <w:bottom w:val="nil"/>
              <w:right w:val="nil"/>
            </w:tcBorders>
            <w:shd w:val="clear" w:color="auto" w:fill="auto"/>
            <w:noWrap/>
            <w:vAlign w:val="center"/>
          </w:tcPr>
          <w:p>
            <w:pPr>
              <w:rPr>
                <w:color w:val="000000"/>
                <w:sz w:val="22"/>
                <w:szCs w:val="22"/>
              </w:rPr>
            </w:pPr>
          </w:p>
        </w:tc>
      </w:tr>
    </w:tbl>
    <w:p/>
    <w:p>
      <w:pPr>
        <w:ind w:firstLine="542" w:firstLineChars="200"/>
      </w:pPr>
      <w:r>
        <w:rPr>
          <w:rStyle w:val="9"/>
          <w:rFonts w:hint="eastAsia"/>
          <w:sz w:val="27"/>
          <w:szCs w:val="27"/>
        </w:rPr>
        <w:t>2.绩效自评报告或案例</w:t>
      </w:r>
    </w:p>
    <w:p>
      <w:pPr>
        <w:ind w:firstLine="640" w:firstLineChars="200"/>
      </w:pPr>
      <w:r>
        <w:rPr>
          <w:rFonts w:hint="eastAsia" w:ascii="方正仿宋_GBK" w:hAnsi="仿宋" w:eastAsia="方正仿宋_GBK"/>
          <w:sz w:val="32"/>
          <w:szCs w:val="32"/>
        </w:rPr>
        <w:t>无</w:t>
      </w:r>
      <w:r>
        <w:rPr>
          <w:rFonts w:hint="eastAsia" w:ascii="方正仿宋_GBK" w:eastAsia="方正仿宋_GBK"/>
          <w:sz w:val="32"/>
          <w:szCs w:val="32"/>
        </w:rPr>
        <w:t>委托</w:t>
      </w:r>
      <w:r>
        <w:rPr>
          <w:rFonts w:hint="eastAsia" w:ascii="方正仿宋_GBK" w:hAnsi="仿宋" w:eastAsia="方正仿宋_GBK"/>
          <w:sz w:val="32"/>
          <w:szCs w:val="32"/>
        </w:rPr>
        <w:t>第三方开展绩效自评</w:t>
      </w:r>
      <w:r>
        <w:rPr>
          <w:rFonts w:hint="eastAsia" w:ascii="仿宋" w:hAnsi="仿宋" w:eastAsia="仿宋"/>
          <w:sz w:val="30"/>
          <w:szCs w:val="30"/>
        </w:rPr>
        <w:t>。</w:t>
      </w:r>
    </w:p>
    <w:p>
      <w:pPr>
        <w:ind w:firstLine="482" w:firstLineChars="150"/>
        <w:rPr>
          <w:rFonts w:ascii="方正楷体_GBK" w:eastAsia="方正楷体_GBK"/>
          <w:sz w:val="32"/>
          <w:szCs w:val="32"/>
        </w:rPr>
      </w:pPr>
      <w:r>
        <w:rPr>
          <w:rFonts w:hint="eastAsia" w:ascii="方正楷体_GBK" w:eastAsia="方正楷体_GBK"/>
          <w:b/>
          <w:bCs/>
          <w:sz w:val="32"/>
          <w:szCs w:val="32"/>
        </w:rPr>
        <w:t>（三）重点绩效评价结果</w:t>
      </w:r>
    </w:p>
    <w:p>
      <w:pPr>
        <w:ind w:firstLine="480" w:firstLineChars="150"/>
        <w:rPr>
          <w:rFonts w:ascii="方正仿宋_GBK" w:eastAsia="方正仿宋_GBK"/>
          <w:sz w:val="32"/>
          <w:szCs w:val="32"/>
        </w:rPr>
      </w:pPr>
      <w:r>
        <w:rPr>
          <w:rFonts w:hint="eastAsia" w:ascii="方正仿宋_GBK" w:eastAsia="方正仿宋_GBK"/>
          <w:sz w:val="32"/>
          <w:szCs w:val="32"/>
        </w:rPr>
        <w:t>无委托第三方对部门政策或项目开展重点绩效评价</w:t>
      </w:r>
    </w:p>
    <w:p>
      <w:pPr>
        <w:ind w:firstLine="643" w:firstLineChars="200"/>
        <w:rPr>
          <w:rFonts w:ascii="方正黑体_GBK" w:eastAsia="方正黑体_GBK"/>
          <w:sz w:val="32"/>
          <w:szCs w:val="32"/>
        </w:rPr>
      </w:pPr>
      <w:r>
        <w:rPr>
          <w:rFonts w:hint="eastAsia" w:ascii="方正黑体_GBK" w:eastAsia="方正黑体_GBK"/>
          <w:b/>
          <w:bCs/>
          <w:sz w:val="32"/>
          <w:szCs w:val="32"/>
        </w:rPr>
        <w:t>六、专业名词解释</w:t>
      </w:r>
    </w:p>
    <w:p>
      <w:pPr>
        <w:ind w:firstLine="482" w:firstLineChars="150"/>
        <w:rPr>
          <w:rFonts w:ascii="方正仿宋_GBK" w:eastAsia="方正仿宋_GBK"/>
          <w:sz w:val="32"/>
          <w:szCs w:val="32"/>
        </w:rPr>
      </w:pPr>
      <w:r>
        <w:rPr>
          <w:rStyle w:val="9"/>
          <w:rFonts w:hint="eastAsia" w:ascii="方正仿宋_GBK" w:eastAsia="方正仿宋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ind w:firstLine="482" w:firstLineChars="150"/>
        <w:rPr>
          <w:rFonts w:ascii="方正仿宋_GBK" w:eastAsia="方正仿宋_GBK"/>
          <w:sz w:val="32"/>
          <w:szCs w:val="32"/>
        </w:rPr>
      </w:pPr>
      <w:r>
        <w:rPr>
          <w:rStyle w:val="9"/>
          <w:rFonts w:hint="eastAsia" w:ascii="方正仿宋_GBK" w:eastAsia="方正仿宋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ind w:firstLine="482" w:firstLineChars="150"/>
        <w:rPr>
          <w:rFonts w:ascii="方正仿宋_GBK" w:eastAsia="方正仿宋_GBK"/>
          <w:sz w:val="32"/>
          <w:szCs w:val="32"/>
        </w:rPr>
      </w:pPr>
      <w:r>
        <w:rPr>
          <w:rStyle w:val="9"/>
          <w:rFonts w:hint="eastAsia" w:ascii="方正仿宋_GBK" w:eastAsia="方正仿宋_GBK"/>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pPr>
        <w:ind w:firstLine="643" w:firstLineChars="200"/>
        <w:rPr>
          <w:rFonts w:ascii="方正仿宋_GBK" w:eastAsia="方正仿宋_GBK"/>
          <w:sz w:val="32"/>
          <w:szCs w:val="32"/>
        </w:rPr>
      </w:pPr>
      <w:r>
        <w:rPr>
          <w:rStyle w:val="9"/>
          <w:rFonts w:hint="eastAsia" w:ascii="方正仿宋_GBK" w:eastAsia="方正仿宋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ind w:firstLine="643" w:firstLineChars="200"/>
        <w:rPr>
          <w:rFonts w:ascii="方正仿宋_GBK" w:eastAsia="方正仿宋_GBK"/>
          <w:sz w:val="32"/>
          <w:szCs w:val="32"/>
        </w:rPr>
      </w:pPr>
      <w:r>
        <w:rPr>
          <w:rStyle w:val="9"/>
          <w:rFonts w:hint="eastAsia" w:ascii="方正仿宋_GBK" w:eastAsia="方正仿宋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ind w:firstLine="643" w:firstLineChars="200"/>
        <w:rPr>
          <w:rFonts w:ascii="方正仿宋_GBK" w:eastAsia="方正仿宋_GBK"/>
          <w:sz w:val="32"/>
          <w:szCs w:val="32"/>
        </w:rPr>
      </w:pPr>
      <w:r>
        <w:rPr>
          <w:rStyle w:val="9"/>
          <w:rFonts w:hint="eastAsia" w:ascii="方正仿宋_GBK" w:eastAsia="方正仿宋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ind w:firstLine="643" w:firstLineChars="200"/>
        <w:rPr>
          <w:rFonts w:ascii="方正仿宋_GBK" w:eastAsia="方正仿宋_GBK"/>
          <w:sz w:val="32"/>
          <w:szCs w:val="32"/>
        </w:rPr>
      </w:pPr>
      <w:r>
        <w:rPr>
          <w:rStyle w:val="9"/>
          <w:rFonts w:hint="eastAsia" w:ascii="方正仿宋_GBK" w:eastAsia="方正仿宋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ind w:firstLine="482" w:firstLineChars="150"/>
        <w:rPr>
          <w:rFonts w:ascii="方正仿宋_GBK" w:eastAsia="方正仿宋_GBK"/>
          <w:sz w:val="32"/>
          <w:szCs w:val="32"/>
        </w:rPr>
      </w:pPr>
      <w:r>
        <w:rPr>
          <w:rStyle w:val="9"/>
          <w:rFonts w:hint="eastAsia" w:ascii="方正仿宋_GBK" w:eastAsia="方正仿宋_GBK"/>
          <w:sz w:val="32"/>
          <w:szCs w:val="32"/>
        </w:rPr>
        <w:t>（八）年末结转和结余</w:t>
      </w:r>
      <w:r>
        <w:rPr>
          <w:rFonts w:hint="eastAsia" w:ascii="方正仿宋_GBK" w:eastAsia="方正仿宋_GBK"/>
          <w:sz w:val="32"/>
          <w:szCs w:val="32"/>
        </w:rPr>
        <w:t>：指单位结转下年的基本支出结转、项目支出结转和结余、经营结余。</w:t>
      </w:r>
    </w:p>
    <w:p>
      <w:pPr>
        <w:ind w:firstLine="482" w:firstLineChars="150"/>
        <w:rPr>
          <w:rFonts w:ascii="方正仿宋_GBK" w:eastAsia="方正仿宋_GBK"/>
          <w:sz w:val="32"/>
          <w:szCs w:val="32"/>
        </w:rPr>
      </w:pPr>
      <w:r>
        <w:rPr>
          <w:rStyle w:val="9"/>
          <w:rFonts w:hint="eastAsia" w:ascii="方正仿宋_GBK" w:eastAsia="方正仿宋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ind w:firstLine="482" w:firstLineChars="150"/>
        <w:rPr>
          <w:rFonts w:ascii="方正仿宋_GBK" w:eastAsia="方正仿宋_GBK"/>
          <w:sz w:val="32"/>
          <w:szCs w:val="32"/>
        </w:rPr>
      </w:pPr>
      <w:r>
        <w:rPr>
          <w:rStyle w:val="9"/>
          <w:rFonts w:hint="eastAsia" w:ascii="方正仿宋_GBK" w:eastAsia="方正仿宋_GBK"/>
          <w:sz w:val="32"/>
          <w:szCs w:val="32"/>
        </w:rPr>
        <w:t>（十）项目支出</w:t>
      </w:r>
      <w:r>
        <w:rPr>
          <w:rFonts w:hint="eastAsia" w:ascii="方正仿宋_GBK" w:eastAsia="方正仿宋_GBK"/>
          <w:sz w:val="32"/>
          <w:szCs w:val="32"/>
        </w:rPr>
        <w:t>：指在基本支出之外为完成特定行政任务和事业发展目标所发生的支出。</w:t>
      </w:r>
    </w:p>
    <w:p>
      <w:pPr>
        <w:ind w:firstLine="482" w:firstLineChars="150"/>
        <w:rPr>
          <w:rFonts w:ascii="方正仿宋_GBK" w:eastAsia="方正仿宋_GBK"/>
          <w:sz w:val="32"/>
          <w:szCs w:val="32"/>
        </w:rPr>
      </w:pPr>
      <w:r>
        <w:rPr>
          <w:rStyle w:val="9"/>
          <w:rFonts w:hint="eastAsia" w:ascii="方正仿宋_GBK" w:eastAsia="方正仿宋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ind w:firstLine="643" w:firstLineChars="200"/>
        <w:rPr>
          <w:rFonts w:ascii="方正仿宋_GBK" w:eastAsia="方正仿宋_GBK"/>
          <w:sz w:val="32"/>
          <w:szCs w:val="32"/>
        </w:rPr>
      </w:pPr>
      <w:r>
        <w:rPr>
          <w:rStyle w:val="9"/>
          <w:rFonts w:hint="eastAsia" w:ascii="方正仿宋_GBK" w:eastAsia="方正仿宋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ind w:firstLine="482" w:firstLineChars="150"/>
        <w:rPr>
          <w:rFonts w:ascii="方正仿宋_GBK" w:eastAsia="方正仿宋_GBK"/>
          <w:sz w:val="32"/>
          <w:szCs w:val="32"/>
        </w:rPr>
      </w:pPr>
      <w:r>
        <w:rPr>
          <w:rStyle w:val="9"/>
          <w:rFonts w:hint="eastAsia" w:ascii="方正仿宋_GBK" w:eastAsia="方正仿宋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ind w:firstLine="482" w:firstLineChars="150"/>
        <w:rPr>
          <w:rFonts w:ascii="方正仿宋_GBK" w:eastAsia="方正仿宋_GBK"/>
          <w:sz w:val="32"/>
          <w:szCs w:val="32"/>
        </w:rPr>
      </w:pPr>
      <w:r>
        <w:rPr>
          <w:rStyle w:val="9"/>
          <w:rFonts w:hint="eastAsia" w:ascii="方正仿宋_GBK" w:eastAsia="方正仿宋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ind w:firstLine="643" w:firstLineChars="200"/>
        <w:rPr>
          <w:rFonts w:ascii="方正仿宋_GBK" w:eastAsia="方正仿宋_GBK"/>
          <w:sz w:val="32"/>
          <w:szCs w:val="32"/>
        </w:rPr>
      </w:pPr>
      <w:r>
        <w:rPr>
          <w:rStyle w:val="9"/>
          <w:rFonts w:hint="eastAsia" w:ascii="方正仿宋_GBK" w:eastAsia="方正仿宋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ind w:firstLine="643" w:firstLineChars="200"/>
        <w:rPr>
          <w:rFonts w:ascii="方正仿宋_GBK" w:eastAsia="方正仿宋_GBK"/>
          <w:sz w:val="32"/>
          <w:szCs w:val="32"/>
        </w:rPr>
      </w:pPr>
      <w:r>
        <w:rPr>
          <w:rStyle w:val="9"/>
          <w:rFonts w:hint="eastAsia" w:ascii="方正仿宋_GBK" w:eastAsia="方正仿宋_GBK"/>
          <w:sz w:val="32"/>
          <w:szCs w:val="32"/>
        </w:rPr>
        <w:t>（十六）对个人和家庭的补助（支出经济分类科目类级）</w:t>
      </w:r>
      <w:r>
        <w:rPr>
          <w:rFonts w:hint="eastAsia" w:ascii="方正仿宋_GBK" w:eastAsia="方正仿宋_GBK"/>
          <w:sz w:val="32"/>
          <w:szCs w:val="32"/>
        </w:rPr>
        <w:t>：反映用于对个人和家庭的补助支出。</w:t>
      </w:r>
    </w:p>
    <w:p>
      <w:pPr>
        <w:ind w:firstLine="643" w:firstLineChars="200"/>
        <w:rPr>
          <w:rFonts w:ascii="方正仿宋_GBK" w:eastAsia="方正仿宋_GBK"/>
          <w:sz w:val="32"/>
          <w:szCs w:val="32"/>
        </w:rPr>
      </w:pPr>
      <w:r>
        <w:rPr>
          <w:rStyle w:val="9"/>
          <w:rFonts w:hint="eastAsia" w:ascii="方正仿宋_GBK" w:eastAsia="方正仿宋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ind w:firstLine="482" w:firstLineChars="150"/>
        <w:rPr>
          <w:rFonts w:ascii="方正黑体_GBK" w:eastAsia="方正黑体_GBK"/>
          <w:sz w:val="32"/>
          <w:szCs w:val="32"/>
        </w:rPr>
      </w:pPr>
      <w:r>
        <w:rPr>
          <w:rFonts w:hint="eastAsia" w:ascii="方正黑体_GBK" w:eastAsia="方正黑体_GBK"/>
          <w:b/>
          <w:bCs/>
          <w:sz w:val="32"/>
          <w:szCs w:val="32"/>
        </w:rPr>
        <w:t>七、决算公开联系方式及信息反馈渠道</w:t>
      </w:r>
    </w:p>
    <w:p>
      <w:pPr>
        <w:ind w:firstLine="540" w:firstLineChars="200"/>
        <w:rPr>
          <w:sz w:val="27"/>
          <w:szCs w:val="27"/>
        </w:rPr>
      </w:pPr>
      <w:r>
        <w:rPr>
          <w:rFonts w:hint="eastAsia"/>
          <w:sz w:val="27"/>
          <w:szCs w:val="27"/>
        </w:rPr>
        <w:t>本单位决算公开信息反馈和联系方式</w:t>
      </w:r>
    </w:p>
    <w:p>
      <w:pPr>
        <w:ind w:firstLine="540" w:firstLineChars="200"/>
        <w:rPr>
          <w:sz w:val="27"/>
          <w:szCs w:val="27"/>
        </w:rPr>
      </w:pPr>
      <w:r>
        <w:rPr>
          <w:rFonts w:hint="eastAsia"/>
          <w:sz w:val="27"/>
          <w:szCs w:val="27"/>
        </w:rPr>
        <w:t xml:space="preserve">联系人：凌崇友 </w:t>
      </w:r>
      <w:r>
        <w:rPr>
          <w:sz w:val="27"/>
          <w:szCs w:val="27"/>
        </w:rPr>
        <w:t xml:space="preserve">  电话</w:t>
      </w:r>
      <w:r>
        <w:rPr>
          <w:rFonts w:hint="eastAsia"/>
          <w:sz w:val="27"/>
          <w:szCs w:val="27"/>
        </w:rPr>
        <w:t>：48666727</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4"/>
  </w:compat>
  <w:docVars>
    <w:docVar w:name="commondata" w:val="eyJoZGlkIjoiNmEzYWYxYTY4NzQ3ZjAxZTg4Njg0OTUxNTYxM2Y5ZGQifQ=="/>
  </w:docVars>
  <w:rsids>
    <w:rsidRoot w:val="00A06F27"/>
    <w:rsid w:val="00102601"/>
    <w:rsid w:val="0016202D"/>
    <w:rsid w:val="0050256A"/>
    <w:rsid w:val="005C616F"/>
    <w:rsid w:val="006B7FE8"/>
    <w:rsid w:val="006F1D7A"/>
    <w:rsid w:val="008253C5"/>
    <w:rsid w:val="009F101A"/>
    <w:rsid w:val="00A06F27"/>
    <w:rsid w:val="00A46B54"/>
    <w:rsid w:val="00B05E90"/>
    <w:rsid w:val="00BA69AC"/>
    <w:rsid w:val="00C47CD1"/>
    <w:rsid w:val="00F54300"/>
    <w:rsid w:val="62140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uiPriority w:val="0"/>
    <w:pPr>
      <w:widowControl w:val="0"/>
      <w:tabs>
        <w:tab w:val="center" w:pos="4153"/>
        <w:tab w:val="right" w:pos="8306"/>
      </w:tabs>
      <w:snapToGrid w:val="0"/>
    </w:pPr>
    <w:rPr>
      <w:rFonts w:ascii="Times New Roman" w:hAnsi="Times New Roman" w:cs="Times New Roman" w:eastAsiaTheme="minorEastAsia"/>
      <w:kern w:val="2"/>
      <w:sz w:val="18"/>
      <w:szCs w:val="18"/>
    </w:rPr>
  </w:style>
  <w:style w:type="paragraph" w:styleId="4">
    <w:name w:val="HTML Preformatted"/>
    <w:basedOn w:val="1"/>
    <w:link w:val="13"/>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cs="Times New Roman"/>
    </w:rPr>
  </w:style>
  <w:style w:type="paragraph" w:styleId="5">
    <w:name w:val="Normal (Web)"/>
    <w:basedOn w:val="1"/>
    <w:unhideWhenUsed/>
    <w:qFormat/>
    <w:uiPriority w:val="99"/>
    <w:pPr>
      <w:spacing w:before="100" w:beforeAutospacing="1" w:after="100" w:afterAutospacing="1"/>
    </w:pPr>
  </w:style>
  <w:style w:type="paragraph" w:styleId="6">
    <w:name w:val="Title"/>
    <w:basedOn w:val="1"/>
    <w:next w:val="1"/>
    <w:link w:val="14"/>
    <w:qFormat/>
    <w:uiPriority w:val="10"/>
    <w:pPr>
      <w:spacing w:before="240" w:after="60"/>
      <w:jc w:val="center"/>
      <w:outlineLvl w:val="0"/>
    </w:pPr>
    <w:rPr>
      <w:rFonts w:asciiTheme="majorHAnsi" w:hAnsiTheme="majorHAnsi" w:cstheme="majorBidi"/>
      <w:b/>
      <w:bCs/>
      <w:sz w:val="32"/>
      <w:szCs w:val="32"/>
    </w:rPr>
  </w:style>
  <w:style w:type="character" w:styleId="9">
    <w:name w:val="Strong"/>
    <w:basedOn w:val="8"/>
    <w:qFormat/>
    <w:uiPriority w:val="22"/>
    <w:rPr>
      <w:b/>
      <w:bCs/>
    </w:rPr>
  </w:style>
  <w:style w:type="character" w:customStyle="1" w:styleId="10">
    <w:name w:val="页脚 Char"/>
    <w:link w:val="3"/>
    <w:uiPriority w:val="0"/>
    <w:rPr>
      <w:kern w:val="2"/>
      <w:sz w:val="18"/>
      <w:szCs w:val="18"/>
    </w:rPr>
  </w:style>
  <w:style w:type="character" w:customStyle="1" w:styleId="11">
    <w:name w:val="页脚 Char1"/>
    <w:basedOn w:val="8"/>
    <w:semiHidden/>
    <w:uiPriority w:val="99"/>
    <w:rPr>
      <w:rFonts w:ascii="宋体" w:hAnsi="宋体" w:eastAsia="宋体" w:cs="宋体"/>
      <w:sz w:val="18"/>
      <w:szCs w:val="18"/>
    </w:rPr>
  </w:style>
  <w:style w:type="character" w:customStyle="1" w:styleId="12">
    <w:name w:val="批注框文本 Char"/>
    <w:basedOn w:val="8"/>
    <w:link w:val="2"/>
    <w:semiHidden/>
    <w:uiPriority w:val="99"/>
    <w:rPr>
      <w:rFonts w:ascii="宋体" w:hAnsi="宋体" w:eastAsia="宋体" w:cs="宋体"/>
      <w:sz w:val="18"/>
      <w:szCs w:val="18"/>
    </w:rPr>
  </w:style>
  <w:style w:type="character" w:customStyle="1" w:styleId="13">
    <w:name w:val="HTML 预设格式 Char"/>
    <w:basedOn w:val="8"/>
    <w:link w:val="4"/>
    <w:uiPriority w:val="0"/>
    <w:rPr>
      <w:rFonts w:ascii="宋体" w:hAnsi="宋体" w:eastAsia="宋体"/>
      <w:sz w:val="24"/>
      <w:szCs w:val="24"/>
    </w:rPr>
  </w:style>
  <w:style w:type="character" w:customStyle="1" w:styleId="14">
    <w:name w:val="标题 Char"/>
    <w:basedOn w:val="8"/>
    <w:link w:val="6"/>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12</Pages>
  <Words>5071</Words>
  <Characters>5751</Characters>
  <Lines>43</Lines>
  <Paragraphs>12</Paragraphs>
  <TotalTime>77</TotalTime>
  <ScaleCrop>false</ScaleCrop>
  <LinksUpToDate>false</LinksUpToDate>
  <CharactersWithSpaces>5837</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2022-08-29T06:33:00Z</dcterms:created>
  <dc:creator>Administrator</dc:creator>
  <cp:lastModifiedBy>陈列</cp:lastModifiedBy>
  <dcterms:modified xsi:type="dcterms:W3CDTF">2022-09-01T15:07:33Z</dcterms:modified>
  <dc:title>公开报告模板</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1F1822623AB342B495C7E4709185BAA7</vt:lpwstr>
  </property>
</Properties>
</file>