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jc w:val="center"/>
        <w:rPr>
          <w:rFonts w:hint="eastAsia" w:ascii="方正小标宋_GBK" w:eastAsia="方正小标宋_GBK"/>
          <w:sz w:val="44"/>
          <w:szCs w:val="44"/>
        </w:rPr>
      </w:pPr>
      <w:r>
        <w:rPr>
          <w:rFonts w:hint="eastAsia" w:ascii="方正小标宋_GBK" w:eastAsia="方正小标宋_GBK"/>
          <w:sz w:val="44"/>
          <w:szCs w:val="44"/>
        </w:rPr>
        <w:t>重庆市綦江区万兴小学</w:t>
      </w:r>
    </w:p>
    <w:p>
      <w:pPr>
        <w:pStyle w:val="4"/>
        <w:shd w:val="clear" w:color="auto" w:fill="FFFFFF"/>
        <w:jc w:val="center"/>
        <w:rPr>
          <w:rFonts w:hint="eastAsia" w:ascii="方正小标宋_GBK" w:eastAsia="方正小标宋_GBK"/>
          <w:sz w:val="44"/>
          <w:szCs w:val="44"/>
        </w:rPr>
      </w:pPr>
      <w:r>
        <w:rPr>
          <w:rFonts w:hint="eastAsia" w:ascii="方正小标宋_GBK" w:eastAsia="方正小标宋_GBK"/>
          <w:sz w:val="44"/>
          <w:szCs w:val="44"/>
        </w:rPr>
        <w:t>2020年度部门决算情况说明</w:t>
      </w:r>
    </w:p>
    <w:p>
      <w:pPr>
        <w:pStyle w:val="4"/>
        <w:shd w:val="clear" w:color="auto" w:fill="FFFFFF"/>
        <w:rPr>
          <w:rFonts w:hint="eastAsia" w:ascii="方正黑体_GBK" w:eastAsia="方正黑体_GBK"/>
          <w:sz w:val="32"/>
          <w:szCs w:val="32"/>
        </w:rPr>
      </w:pPr>
      <w:r>
        <w:rPr>
          <w:rFonts w:hint="eastAsia" w:ascii="方正仿宋_GBK" w:eastAsia="方正仿宋_GBK"/>
          <w:sz w:val="32"/>
          <w:szCs w:val="32"/>
        </w:rPr>
        <w:t> </w:t>
      </w:r>
      <w:r>
        <w:rPr>
          <w:rStyle w:val="7"/>
          <w:rFonts w:hint="eastAsia" w:ascii="方正黑体_GBK" w:eastAsia="方正黑体_GBK"/>
          <w:b w:val="0"/>
          <w:bCs w:val="0"/>
          <w:sz w:val="32"/>
          <w:szCs w:val="32"/>
        </w:rPr>
        <w:t>一、部门基本情况</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rPr>
        <w:t xml:space="preserve">  </w:t>
      </w:r>
      <w:r>
        <w:rPr>
          <w:rStyle w:val="7"/>
          <w:rFonts w:hint="eastAsia" w:ascii="方正仿宋_GBK" w:eastAsia="方正仿宋_GBK"/>
          <w:b w:val="0"/>
          <w:bCs w:val="0"/>
          <w:sz w:val="32"/>
          <w:szCs w:val="32"/>
        </w:rPr>
        <w:t>（一）职能职责</w:t>
      </w:r>
    </w:p>
    <w:p>
      <w:pPr>
        <w:pStyle w:val="4"/>
        <w:shd w:val="clear" w:color="auto" w:fill="FFFFFF"/>
        <w:rPr>
          <w:rStyle w:val="7"/>
          <w:rFonts w:hint="eastAsia" w:ascii="方正仿宋_GBK" w:eastAsia="方正仿宋_GBK"/>
          <w:b w:val="0"/>
          <w:bCs w:val="0"/>
          <w:sz w:val="32"/>
          <w:szCs w:val="32"/>
        </w:rPr>
      </w:pPr>
      <w:r>
        <w:rPr>
          <w:rStyle w:val="7"/>
          <w:rFonts w:hint="eastAsia" w:ascii="方正仿宋_GBK" w:eastAsia="方正仿宋_GBK"/>
          <w:b w:val="0"/>
          <w:bCs w:val="0"/>
          <w:sz w:val="32"/>
          <w:szCs w:val="32"/>
        </w:rPr>
        <w:t xml:space="preserve"> 本单位属义务教育阶段小学，主要职能职责是：实施小学义务教育，促进基础教育发展。小学学历教育。 </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rPr>
        <w:t xml:space="preserve">  </w:t>
      </w:r>
      <w:r>
        <w:rPr>
          <w:rStyle w:val="7"/>
          <w:rFonts w:hint="eastAsia" w:ascii="方正仿宋_GBK" w:eastAsia="方正仿宋_GBK"/>
          <w:b w:val="0"/>
          <w:bCs w:val="0"/>
          <w:sz w:val="32"/>
          <w:szCs w:val="32"/>
        </w:rPr>
        <w:t>（二）机构设置</w:t>
      </w:r>
    </w:p>
    <w:p>
      <w:pPr>
        <w:pStyle w:val="4"/>
        <w:shd w:val="clear" w:color="auto" w:fill="FFFFFF"/>
        <w:rPr>
          <w:rFonts w:hint="eastAsia" w:ascii="方正仿宋_GBK" w:hAnsi="仿宋_GB2312" w:eastAsia="方正仿宋_GBK" w:cs="仿宋_GB2312"/>
          <w:sz w:val="32"/>
          <w:szCs w:val="32"/>
        </w:rPr>
      </w:pPr>
      <w:r>
        <w:rPr>
          <w:rStyle w:val="7"/>
          <w:rFonts w:hint="eastAsia" w:ascii="方正仿宋_GBK" w:hAnsi="Times New Roman" w:eastAsia="方正仿宋_GBK" w:cs="Times New Roman"/>
          <w:b w:val="0"/>
          <w:bCs w:val="0"/>
          <w:sz w:val="32"/>
          <w:szCs w:val="32"/>
        </w:rPr>
        <w:t>按照《重庆市綦江区机构编制委员会关于调整教育系统各学校校级领导职数和内设机构设置的通知》（綦编〔2013〕187号）文件，本单位内设机构2个，分别为政教处和总务处。</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rPr>
        <w:t xml:space="preserve">  </w:t>
      </w:r>
      <w:r>
        <w:rPr>
          <w:rStyle w:val="7"/>
          <w:rFonts w:hint="eastAsia" w:ascii="方正仿宋_GBK" w:eastAsia="方正仿宋_GBK"/>
          <w:b w:val="0"/>
          <w:bCs w:val="0"/>
          <w:sz w:val="32"/>
          <w:szCs w:val="32"/>
        </w:rPr>
        <w:t>（三）单位构成</w:t>
      </w:r>
    </w:p>
    <w:p>
      <w:pPr>
        <w:pStyle w:val="4"/>
        <w:shd w:val="clear" w:color="auto" w:fill="FFFFFF"/>
        <w:rPr>
          <w:rStyle w:val="7"/>
          <w:rFonts w:hint="eastAsia" w:ascii="方正仿宋_GBK" w:eastAsia="方正仿宋_GBK"/>
          <w:b w:val="0"/>
          <w:bCs w:val="0"/>
          <w:sz w:val="32"/>
          <w:szCs w:val="32"/>
        </w:rPr>
      </w:pPr>
      <w:r>
        <w:rPr>
          <w:rStyle w:val="7"/>
          <w:rFonts w:hint="eastAsia" w:ascii="方正仿宋_GBK" w:eastAsia="方正仿宋_GBK"/>
          <w:b w:val="0"/>
          <w:bCs w:val="0"/>
          <w:sz w:val="32"/>
          <w:szCs w:val="32"/>
        </w:rPr>
        <w:t>  本单位为乡科级二级预算单位。本单位无下级预算单位。</w:t>
      </w:r>
    </w:p>
    <w:p>
      <w:pPr>
        <w:pStyle w:val="4"/>
        <w:shd w:val="clear" w:color="auto" w:fill="FFFFFF"/>
        <w:rPr>
          <w:rFonts w:hint="eastAsia" w:ascii="方正黑体_GBK" w:eastAsia="方正黑体_GBK"/>
          <w:sz w:val="32"/>
          <w:szCs w:val="32"/>
        </w:rPr>
      </w:pPr>
      <w:r>
        <w:rPr>
          <w:rStyle w:val="7"/>
          <w:rFonts w:hint="eastAsia" w:ascii="方正黑体_GBK" w:eastAsia="方正黑体_GBK"/>
          <w:b w:val="0"/>
          <w:bCs w:val="0"/>
          <w:sz w:val="32"/>
          <w:szCs w:val="32"/>
        </w:rPr>
        <w:t>二、部门决算情况说明</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（一）收入支出决算总体情况说明</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1.总体情况</w:t>
      </w:r>
      <w:r>
        <w:rPr>
          <w:rFonts w:hint="eastAsia" w:ascii="方正仿宋_GBK" w:eastAsia="方正仿宋_GBK"/>
          <w:sz w:val="32"/>
          <w:szCs w:val="32"/>
        </w:rPr>
        <w:t>。2020年度收入总计1,014.69万元，支出总计1,014.69万元。收支较上年决算数 增加27.17万元、 增长</w:t>
      </w:r>
      <w:r>
        <w:rPr>
          <w:rFonts w:hint="eastAsia" w:ascii="方正仿宋_GBK" w:eastAsia="方正仿宋_GBK"/>
          <w:vanish/>
          <w:sz w:val="32"/>
          <w:szCs w:val="32"/>
        </w:rPr>
        <w:t xml:space="preserve"> </w:t>
      </w:r>
      <w:r>
        <w:rPr>
          <w:rFonts w:hint="eastAsia" w:ascii="方正仿宋_GBK" w:eastAsia="方正仿宋_GBK"/>
          <w:sz w:val="32"/>
          <w:szCs w:val="32"/>
        </w:rPr>
        <w:t>2.8%，主要原因是主要是2020年支付了中心校和春灯村小屋顶漏水处理、防雷设施改造、教学线路改造等工程款。</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2.收入情况。</w:t>
      </w:r>
      <w:r>
        <w:rPr>
          <w:rFonts w:hint="eastAsia" w:ascii="方正仿宋_GBK" w:eastAsia="方正仿宋_GBK"/>
          <w:sz w:val="32"/>
          <w:szCs w:val="32"/>
        </w:rPr>
        <w:t>2020年度收入合计837.29万元，较上年决算数减少33.61万元，下降3.9%，主要原因是2020秋期学生减少，人员经费收入减少。其中：财政拨款收入834.42万元，占99.7%；事业收入2.88万元，占0.3%；经营收入0.00万元，占0%；其他收入0.00万元，占0%。此外，使用非财政拨款结余0.00万元，年初结转和结余177.40万元。</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3.支出情况。</w:t>
      </w:r>
      <w:r>
        <w:rPr>
          <w:rFonts w:hint="eastAsia" w:ascii="方正仿宋_GBK" w:eastAsia="方正仿宋_GBK"/>
          <w:sz w:val="32"/>
          <w:szCs w:val="32"/>
        </w:rPr>
        <w:t>2020年度支出合计980.01万元，较上年决算数增加60.29万元，增长6.6%，主要原因是主要是2020年支付了中心校和春灯村小屋顶漏水处理、防雷设施改造、教学线路改造等工程款。其中：基本支出 939.26万元，占95.8%；项目支出40.76万元，占4.2%；经营支出0.00万元，占0%。此外，结余分配0.00万元。</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4.结转结余情况。</w:t>
      </w:r>
      <w:r>
        <w:rPr>
          <w:rFonts w:hint="eastAsia" w:ascii="方正仿宋_GBK" w:eastAsia="方正仿宋_GBK"/>
          <w:sz w:val="32"/>
          <w:szCs w:val="32"/>
        </w:rPr>
        <w:t>2020年度年末结转和结余34.68万元，较上年决算数减少33.12万元，下降48.8%，主要原因是财政应返还额度减少。</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（二）财政拨款收入支出决算总体情况说明</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rPr>
        <w:t>  2020年度财政拨款收、支总计1,011.82万元。与2019年相比，财政拨款收、支总计各增加32.91万 元，增长3.4%。主要原因是2020年支付了中心校和春灯村小屋顶漏水处理、防雷设施改造、教学线路改造等工程款。</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（三）一般公共预算财政拨款支出决算情况说明</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1.收入情况。</w:t>
      </w:r>
      <w:r>
        <w:rPr>
          <w:rFonts w:hint="eastAsia" w:ascii="方正仿宋_GBK" w:eastAsia="方正仿宋_GBK"/>
          <w:sz w:val="32"/>
          <w:szCs w:val="32"/>
        </w:rPr>
        <w:t>2020年度一般公共预算财政拨款收入834.42万元，较上年决算数减少27.87万元，下降3.2%。主要原因是2020秋期学生减少，人员经费收入减少。较年初预算数增加44.37万元，增长5.6%。主要原因是2020年支付了中心校和春灯村小屋顶漏水处理、防雷设施改造、教学线路改造等工程款。此外，年初财政拨款结转和结余177.40万元。</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2.支出情况。</w:t>
      </w:r>
      <w:r>
        <w:rPr>
          <w:rFonts w:hint="eastAsia" w:ascii="方正仿宋_GBK" w:eastAsia="方正仿宋_GBK"/>
          <w:sz w:val="32"/>
          <w:szCs w:val="32"/>
        </w:rPr>
        <w:t>2020年度一般公共预算财政拨款支出977.14万元，较上年决算数增加66.03万元，增长7.2%。主要原因是2020年支付了中心校和春灯村小屋顶漏水处理、防雷设施改造、教学线路改造等工程款。较年初预算数增加119.29万 元，增长13.9%。主要原因是2020年支付了中心校和春灯村小屋顶漏水处理、防雷设施改造、教学线路改造等工程款。</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3.结转结余情况。</w:t>
      </w:r>
      <w:r>
        <w:rPr>
          <w:rFonts w:hint="eastAsia" w:ascii="方正仿宋_GBK" w:eastAsia="方正仿宋_GBK"/>
          <w:sz w:val="32"/>
          <w:szCs w:val="32"/>
        </w:rPr>
        <w:t>2020年度年末一般公共预算财政拨款结转和结余34.68万元，较上年决算数减少33.12万元，下降48.8%，主要原因是财政应返还额度减少。</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4.比较情况</w:t>
      </w:r>
      <w:r>
        <w:rPr>
          <w:rFonts w:hint="eastAsia" w:ascii="方正仿宋_GBK" w:eastAsia="方正仿宋_GBK"/>
          <w:sz w:val="32"/>
          <w:szCs w:val="32"/>
        </w:rPr>
        <w:t>。本部门2020年度一般公共预算财政拨款支出主要用于以下几个方面：</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rPr>
        <w:t>（1）教育支出619.12万元，占63.4%，较年初预算数增加46.27万 元，增长8.1%，主要原因是2020年支付了中心校和春灯村小屋顶漏水处理、防雷设施改造、教学线路改造等工程款。</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rPr>
        <w:t>（2）社会保障与就业支出270.94万元，占27.7%，较年初预算数增加80.74万 元，增长42.5%，主要原因是退休教师增加。</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rPr>
        <w:t>（3）卫生健康支出49.33万元，占5%，较年初预算数减少5.34万 元，下降9.8%，主要原因是2020秋期教师调出4人。</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rPr>
        <w:t>（4）住房保障支出37.74万元，占3.9%，较年初预算数减少2.39万 元，下降6%，主要原因是2020秋期教师调出4人。</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（四）一般公共预算财政拨款基本支出决算情况说明</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rPr>
        <w:t>  2020年度一般公共财政拨款基本支出939.26万元。其中：人员经费901.85万元，较上年决算数增加64.35万 元，增长7.7%，主要原因是教师工资调资。人员经费用途主要包括工资福利支出和对个人和家庭的补助。公用经费37.41万元，较上年决算数减少5.14万元，下降12.1%，主要原因是学生减少，公用经费减少。公用经费用途主要包括商品和服务支出，学校办公费、电费、劳务费、培训费等等。</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（五）政府性基金预算收支决算情况说明</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rPr>
        <w:t> 本部门2020年度无政府性基金预算财政拨款收支。</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（六）国有资本经营预算财政拨</w:t>
      </w:r>
      <w:r>
        <w:rPr>
          <w:rStyle w:val="7"/>
          <w:rFonts w:hint="eastAsia" w:ascii="方正仿宋_GBK" w:eastAsia="方正仿宋_GBK"/>
          <w:b w:val="0"/>
          <w:bCs w:val="0"/>
          <w:sz w:val="32"/>
          <w:szCs w:val="32"/>
          <w:lang w:eastAsia="zh-CN"/>
        </w:rPr>
        <w:t>款</w:t>
      </w:r>
      <w:r>
        <w:rPr>
          <w:rStyle w:val="7"/>
          <w:rFonts w:hint="eastAsia" w:ascii="方正仿宋_GBK" w:eastAsia="方正仿宋_GBK"/>
          <w:b w:val="0"/>
          <w:bCs w:val="0"/>
          <w:sz w:val="32"/>
          <w:szCs w:val="32"/>
        </w:rPr>
        <w:t>支</w:t>
      </w:r>
      <w:r>
        <w:rPr>
          <w:rStyle w:val="7"/>
          <w:rFonts w:hint="eastAsia" w:ascii="方正仿宋_GBK" w:eastAsia="方正仿宋_GBK"/>
          <w:b w:val="0"/>
          <w:bCs w:val="0"/>
          <w:sz w:val="32"/>
          <w:szCs w:val="32"/>
          <w:lang w:eastAsia="zh-CN"/>
        </w:rPr>
        <w:t>出</w:t>
      </w:r>
      <w:r>
        <w:rPr>
          <w:rStyle w:val="7"/>
          <w:rFonts w:hint="eastAsia" w:ascii="方正仿宋_GBK" w:eastAsia="方正仿宋_GBK"/>
          <w:b w:val="0"/>
          <w:bCs w:val="0"/>
          <w:sz w:val="32"/>
          <w:szCs w:val="32"/>
        </w:rPr>
        <w:t>决算情况说明。</w:t>
      </w:r>
      <w:r>
        <w:rPr>
          <w:rFonts w:hint="eastAsia" w:ascii="方正仿宋_GBK" w:eastAsia="方正仿宋_GBK"/>
          <w:sz w:val="32"/>
          <w:szCs w:val="32"/>
        </w:rPr>
        <w:br w:type="textWrapping"/>
      </w:r>
      <w:r>
        <w:rPr>
          <w:rFonts w:hint="eastAsia" w:ascii="方正仿宋_GBK" w:eastAsia="方正仿宋_GBK"/>
          <w:sz w:val="32"/>
          <w:szCs w:val="32"/>
        </w:rPr>
        <w:t> 本部门2020年度无国有资本经营预算财政拨款支出。</w:t>
      </w:r>
    </w:p>
    <w:p>
      <w:pPr>
        <w:pStyle w:val="4"/>
        <w:shd w:val="clear" w:color="auto" w:fill="FFFFFF"/>
        <w:rPr>
          <w:rFonts w:hint="eastAsia" w:ascii="方正黑体_GBK" w:eastAsia="方正黑体_GBK"/>
          <w:sz w:val="32"/>
          <w:szCs w:val="32"/>
        </w:rPr>
      </w:pPr>
      <w:r>
        <w:rPr>
          <w:rStyle w:val="7"/>
          <w:rFonts w:hint="eastAsia" w:ascii="方正黑体_GBK" w:eastAsia="方正黑体_GBK"/>
          <w:b w:val="0"/>
          <w:bCs w:val="0"/>
          <w:sz w:val="32"/>
          <w:szCs w:val="32"/>
        </w:rPr>
        <w:t>三、“三公”经费情况说明</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（一）“三公”经费支出总体情况说明</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rPr>
        <w:t>2020年度“三公”经费支出共计0.00万元，较年初预算数增加0.00万元。 较上年支出数增加0.00万 元。</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（二）“三公”经费分项支出情况</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rPr>
        <w:t>2020年度本部门因公出国（境）费用0.00万元。费用支出较年初预算数增加0.00万元。较上年支出数增加0.00万元。</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rPr>
        <w:t>公务车购置费0.00万元。费用支出较年初预算数增加0.00万元。较上年支出数增加0.00万元。</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rPr>
        <w:t>公务车运行维护费0.00万元。费用支出较年初预算数增加0.00万元。较上年支出数增加0.00万元。</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rPr>
        <w:t>公务接待费0.00万元。费用支出较年初预算数增加0.00万元。较上年支出数增加0.00万元。</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（三）“三公”经费实物量情况</w:t>
      </w:r>
    </w:p>
    <w:p>
      <w:pPr>
        <w:pStyle w:val="4"/>
        <w:shd w:val="clear" w:color="auto" w:fill="FFFFFF"/>
        <w:ind w:firstLine="640" w:firstLineChars="200"/>
        <w:rPr>
          <w:rFonts w:hint="eastAsia" w:ascii="方正仿宋_GBK" w:eastAsia="方正仿宋_GBK"/>
          <w:sz w:val="32"/>
          <w:szCs w:val="32"/>
        </w:rPr>
      </w:pPr>
      <w:r>
        <w:rPr>
          <w:rFonts w:hint="eastAsia" w:ascii="方正仿宋_GBK" w:eastAsia="方正仿宋_GBK"/>
          <w:sz w:val="32"/>
          <w:szCs w:val="32"/>
        </w:rPr>
        <w:t>2020年度本部门因公出国（境）共计0个团组，0人；公务用车购置0辆，公务车保有量为0辆；国内公务接待0批次0人，其中：国内外 事接待0批次，0人；国（境）外公务接待0批次，0人。2020年本部门人均接待费0.00元，车均购置费0.00万元，车均维护费0.00万元。</w:t>
      </w:r>
    </w:p>
    <w:p>
      <w:pPr>
        <w:pStyle w:val="4"/>
        <w:shd w:val="clear" w:color="auto" w:fill="FFFFFF"/>
        <w:rPr>
          <w:rFonts w:hint="eastAsia" w:ascii="方正黑体_GBK" w:eastAsia="方正黑体_GBK"/>
          <w:sz w:val="32"/>
          <w:szCs w:val="32"/>
        </w:rPr>
      </w:pPr>
      <w:r>
        <w:rPr>
          <w:rStyle w:val="7"/>
          <w:rFonts w:hint="eastAsia" w:ascii="方正黑体_GBK" w:eastAsia="方正黑体_GBK"/>
          <w:b w:val="0"/>
          <w:bCs w:val="0"/>
          <w:sz w:val="32"/>
          <w:szCs w:val="32"/>
        </w:rPr>
        <w:t>四、其他需要说明的事项</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（一）机关运行经费情况说明</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rPr>
        <w:t>按照部门决算列报口径，我单位不在机关运行经费统计范围之内。</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rPr>
        <w:t>本年度会议费支出1.15万元，较上年决算数减少0.26万元，下降18.4%，主要原因是学校厉行节约，减少开支。本年度培训费支出 1.40万元，较上年决算数减少3.23万元，下降69.8%，主要原因是为教材教参费及</w:t>
      </w:r>
      <w:r>
        <w:rPr>
          <w:rFonts w:hint="eastAsia" w:ascii="方正仿宋_GBK" w:eastAsia="方正仿宋_GBK"/>
          <w:sz w:val="32"/>
          <w:szCs w:val="32"/>
          <w:lang w:eastAsia="zh-CN"/>
        </w:rPr>
        <w:t>报纸杂志费</w:t>
      </w:r>
      <w:r>
        <w:rPr>
          <w:rFonts w:hint="eastAsia" w:ascii="方正仿宋_GBK" w:eastAsia="方正仿宋_GBK"/>
          <w:sz w:val="32"/>
          <w:szCs w:val="32"/>
        </w:rPr>
        <w:t>、测查试卷费改入办公费，未入培训费，另培训活动相对减少。</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（二）国有资产占用情况说明</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rPr>
        <w:t>截至2020年12月31日，本部门共有车辆0辆，其中，副部（省）级及以上领导用车0辆、主要领导干部用车0辆、机要通信用车0辆、应急保障用车0辆、执法执勤用车0辆，特种专业技术用车0辆，离退休干部用车0辆，其他用车0辆</w:t>
      </w:r>
      <w:r>
        <w:rPr>
          <w:rFonts w:hint="eastAsia" w:ascii="方正仿宋_GBK" w:eastAsia="方正仿宋_GBK"/>
          <w:sz w:val="32"/>
          <w:szCs w:val="32"/>
          <w:lang w:eastAsia="zh-CN"/>
        </w:rPr>
        <w:t>，</w:t>
      </w:r>
      <w:r>
        <w:rPr>
          <w:rFonts w:hint="eastAsia" w:ascii="方正仿宋_GBK" w:eastAsia="方正仿宋_GBK"/>
          <w:sz w:val="32"/>
          <w:szCs w:val="32"/>
        </w:rPr>
        <w:t>单价50万元（含）以上通用设备0台（套），单价100万元（含）以上专用设备0台（套）。</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（三）政府采购支出情况说明</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rPr>
        <w:t>2020年度我单位未发生政府采购事项，无相关经费支出。</w:t>
      </w:r>
    </w:p>
    <w:p>
      <w:pPr>
        <w:pStyle w:val="4"/>
        <w:shd w:val="clear" w:color="auto" w:fill="FFFFFF"/>
        <w:rPr>
          <w:rFonts w:hint="eastAsia" w:ascii="方正黑体_GBK" w:eastAsia="方正黑体_GBK"/>
          <w:sz w:val="32"/>
          <w:szCs w:val="32"/>
        </w:rPr>
      </w:pPr>
      <w:r>
        <w:rPr>
          <w:rStyle w:val="7"/>
          <w:rFonts w:hint="eastAsia" w:ascii="方正黑体_GBK" w:eastAsia="方正黑体_GBK"/>
          <w:b w:val="0"/>
          <w:bCs w:val="0"/>
          <w:sz w:val="32"/>
          <w:szCs w:val="32"/>
        </w:rPr>
        <w:t>五、预算绩效管理情况说明</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（一）预算绩效管理工作开展情况</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shd w:val="clear" w:color="auto" w:fill="FFFFFF"/>
        </w:rPr>
        <w:t>根据预算绩效管理要求，本部门对8个项目开展了绩效自评，其中，以填报目标自评表形式开展自评6项，涉及资金33.534万元；从评价情况来看，本部门绩效完成情况为优秀，均完成绩效目标。</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（二）绩效自评结果</w:t>
      </w:r>
    </w:p>
    <w:p>
      <w:pPr>
        <w:pStyle w:val="4"/>
        <w:shd w:val="clear" w:color="auto" w:fill="FFFFFF"/>
        <w:rPr>
          <w:rStyle w:val="7"/>
          <w:rFonts w:hint="eastAsia" w:ascii="方正仿宋_GBK" w:eastAsia="方正仿宋_GBK"/>
          <w:b w:val="0"/>
          <w:bCs w:val="0"/>
          <w:sz w:val="32"/>
          <w:szCs w:val="32"/>
        </w:rPr>
      </w:pPr>
      <w:r>
        <w:rPr>
          <w:rStyle w:val="7"/>
          <w:rFonts w:hint="eastAsia" w:ascii="方正仿宋_GBK" w:eastAsia="方正仿宋_GBK"/>
          <w:b w:val="0"/>
          <w:bCs w:val="0"/>
          <w:sz w:val="32"/>
          <w:szCs w:val="32"/>
        </w:rPr>
        <w:t>1.绩效自评表</w:t>
      </w:r>
    </w:p>
    <w:p>
      <w:pPr>
        <w:pStyle w:val="4"/>
        <w:shd w:val="clear" w:color="auto" w:fill="FFFFFF"/>
        <w:rPr>
          <w:rStyle w:val="7"/>
          <w:rFonts w:hint="eastAsia" w:ascii="方正仿宋_GBK" w:eastAsia="方正仿宋_GBK"/>
          <w:b w:val="0"/>
          <w:bCs w:val="0"/>
          <w:sz w:val="32"/>
          <w:szCs w:val="32"/>
          <w:lang w:val="en-US" w:eastAsia="zh-CN"/>
        </w:rPr>
      </w:pPr>
      <w:r>
        <w:rPr>
          <w:rStyle w:val="7"/>
          <w:rFonts w:hint="eastAsia" w:ascii="方正仿宋_GBK" w:eastAsia="方正仿宋_GBK"/>
          <w:b w:val="0"/>
          <w:bCs w:val="0"/>
          <w:sz w:val="32"/>
          <w:szCs w:val="32"/>
          <w:lang w:val="en-US" w:eastAsia="zh-CN"/>
        </w:rPr>
        <w:t>（见下页）</w:t>
      </w:r>
    </w:p>
    <w:p>
      <w:pPr>
        <w:pStyle w:val="4"/>
        <w:shd w:val="clear" w:color="auto" w:fill="FFFFFF"/>
        <w:rPr>
          <w:rStyle w:val="7"/>
          <w:rFonts w:hint="eastAsia" w:ascii="方正仿宋_GBK" w:eastAsia="方正仿宋_GBK"/>
          <w:b w:val="0"/>
          <w:bCs w:val="0"/>
          <w:sz w:val="32"/>
          <w:szCs w:val="32"/>
          <w:lang w:val="en-US" w:eastAsia="zh-CN"/>
        </w:rPr>
      </w:pPr>
    </w:p>
    <w:p>
      <w:pPr>
        <w:pStyle w:val="4"/>
        <w:shd w:val="clear" w:color="auto" w:fill="FFFFFF"/>
        <w:rPr>
          <w:rStyle w:val="7"/>
          <w:rFonts w:hint="eastAsia" w:ascii="方正仿宋_GBK" w:eastAsia="方正仿宋_GBK"/>
          <w:b w:val="0"/>
          <w:bCs w:val="0"/>
          <w:sz w:val="32"/>
          <w:szCs w:val="32"/>
          <w:lang w:val="en-US" w:eastAsia="zh-CN"/>
        </w:rPr>
      </w:pPr>
    </w:p>
    <w:p>
      <w:pPr>
        <w:pStyle w:val="4"/>
        <w:shd w:val="clear" w:color="auto" w:fill="FFFFFF"/>
        <w:rPr>
          <w:rStyle w:val="7"/>
          <w:rFonts w:hint="eastAsia" w:ascii="方正仿宋_GBK" w:eastAsia="方正仿宋_GBK"/>
          <w:b w:val="0"/>
          <w:bCs w:val="0"/>
          <w:sz w:val="32"/>
          <w:szCs w:val="32"/>
          <w:lang w:val="en-US" w:eastAsia="zh-CN"/>
        </w:rPr>
      </w:pPr>
    </w:p>
    <w:p>
      <w:pPr>
        <w:pStyle w:val="4"/>
        <w:shd w:val="clear" w:color="auto" w:fill="FFFFFF"/>
        <w:rPr>
          <w:rStyle w:val="7"/>
          <w:rFonts w:hint="eastAsia" w:ascii="方正仿宋_GBK" w:eastAsia="方正仿宋_GBK"/>
          <w:b w:val="0"/>
          <w:bCs w:val="0"/>
          <w:sz w:val="32"/>
          <w:szCs w:val="32"/>
          <w:lang w:val="en-US" w:eastAsia="zh-CN"/>
        </w:rPr>
      </w:pPr>
    </w:p>
    <w:p>
      <w:pPr>
        <w:pStyle w:val="4"/>
        <w:shd w:val="clear" w:color="auto" w:fill="FFFFFF"/>
        <w:rPr>
          <w:rStyle w:val="7"/>
          <w:rFonts w:hint="eastAsia" w:ascii="方正仿宋_GBK" w:eastAsia="方正仿宋_GBK"/>
          <w:b w:val="0"/>
          <w:bCs w:val="0"/>
          <w:sz w:val="32"/>
          <w:szCs w:val="32"/>
          <w:lang w:val="en-US" w:eastAsia="zh-CN"/>
        </w:rPr>
      </w:pPr>
    </w:p>
    <w:p>
      <w:pPr>
        <w:pStyle w:val="4"/>
        <w:shd w:val="clear" w:color="auto" w:fill="FFFFFF"/>
        <w:rPr>
          <w:rStyle w:val="7"/>
          <w:rFonts w:hint="eastAsia" w:ascii="方正仿宋_GBK" w:eastAsia="方正仿宋_GBK"/>
          <w:b w:val="0"/>
          <w:bCs w:val="0"/>
          <w:sz w:val="32"/>
          <w:szCs w:val="32"/>
          <w:lang w:val="en-US" w:eastAsia="zh-CN"/>
        </w:rPr>
      </w:pPr>
    </w:p>
    <w:p>
      <w:pPr>
        <w:pStyle w:val="4"/>
        <w:shd w:val="clear" w:color="auto" w:fill="FFFFFF"/>
        <w:rPr>
          <w:rStyle w:val="7"/>
          <w:rFonts w:hint="eastAsia" w:ascii="方正仿宋_GBK" w:eastAsia="方正仿宋_GBK"/>
          <w:b w:val="0"/>
          <w:bCs w:val="0"/>
          <w:sz w:val="32"/>
          <w:szCs w:val="32"/>
          <w:lang w:val="en-US" w:eastAsia="zh-CN"/>
        </w:rPr>
      </w:pPr>
    </w:p>
    <w:p>
      <w:pPr>
        <w:pStyle w:val="4"/>
        <w:shd w:val="clear" w:color="auto" w:fill="FFFFFF"/>
        <w:rPr>
          <w:rStyle w:val="7"/>
          <w:rFonts w:hint="eastAsia" w:ascii="方正仿宋_GBK" w:eastAsia="方正仿宋_GBK"/>
          <w:b w:val="0"/>
          <w:bCs w:val="0"/>
          <w:sz w:val="32"/>
          <w:szCs w:val="32"/>
          <w:lang w:val="en-US" w:eastAsia="zh-CN"/>
        </w:rPr>
      </w:pPr>
    </w:p>
    <w:p>
      <w:pPr>
        <w:pStyle w:val="4"/>
        <w:shd w:val="clear" w:color="auto" w:fill="FFFFFF"/>
        <w:rPr>
          <w:rStyle w:val="7"/>
          <w:rFonts w:hint="default" w:ascii="方正仿宋_GBK" w:eastAsia="方正仿宋_GBK"/>
          <w:b w:val="0"/>
          <w:bCs w:val="0"/>
          <w:sz w:val="32"/>
          <w:szCs w:val="32"/>
          <w:lang w:val="en-US" w:eastAsia="zh-CN"/>
        </w:rPr>
      </w:pPr>
    </w:p>
    <w:tbl>
      <w:tblPr>
        <w:tblStyle w:val="5"/>
        <w:tblW w:w="9570" w:type="dxa"/>
        <w:tblInd w:w="0" w:type="dxa"/>
        <w:shd w:val="clear" w:color="auto" w:fill="auto"/>
        <w:tblLayout w:type="autofit"/>
        <w:tblCellMar>
          <w:top w:w="0" w:type="dxa"/>
          <w:left w:w="0" w:type="dxa"/>
          <w:bottom w:w="0" w:type="dxa"/>
          <w:right w:w="0" w:type="dxa"/>
        </w:tblCellMar>
      </w:tblPr>
      <w:tblGrid>
        <w:gridCol w:w="945"/>
        <w:gridCol w:w="1545"/>
        <w:gridCol w:w="1125"/>
        <w:gridCol w:w="1065"/>
        <w:gridCol w:w="1425"/>
        <w:gridCol w:w="1320"/>
        <w:gridCol w:w="1140"/>
        <w:gridCol w:w="1005"/>
      </w:tblGrid>
      <w:tr>
        <w:tblPrEx>
          <w:shd w:val="clear" w:color="auto" w:fill="auto"/>
          <w:tblCellMar>
            <w:top w:w="0" w:type="dxa"/>
            <w:left w:w="0" w:type="dxa"/>
            <w:bottom w:w="0" w:type="dxa"/>
            <w:right w:w="0" w:type="dxa"/>
          </w:tblCellMar>
        </w:tblPrEx>
        <w:trPr>
          <w:trHeight w:val="585" w:hRule="atLeast"/>
        </w:trPr>
        <w:tc>
          <w:tcPr>
            <w:tcW w:w="9570" w:type="dxa"/>
            <w:gridSpan w:val="8"/>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 xml:space="preserve">2020年度区级预算单位项目支出绩效自评表  </w:t>
            </w:r>
          </w:p>
        </w:tc>
      </w:tr>
      <w:tr>
        <w:tblPrEx>
          <w:shd w:val="clear" w:color="auto" w:fill="auto"/>
          <w:tblCellMar>
            <w:top w:w="0" w:type="dxa"/>
            <w:left w:w="0" w:type="dxa"/>
            <w:bottom w:w="0" w:type="dxa"/>
            <w:right w:w="0" w:type="dxa"/>
          </w:tblCellMar>
        </w:tblPrEx>
        <w:trPr>
          <w:trHeight w:val="585" w:hRule="atLeast"/>
        </w:trPr>
        <w:tc>
          <w:tcPr>
            <w:tcW w:w="4680" w:type="dxa"/>
            <w:gridSpan w:val="4"/>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填表单位（盖章）：重庆市綦江区万兴小学</w:t>
            </w:r>
          </w:p>
        </w:tc>
        <w:tc>
          <w:tcPr>
            <w:tcW w:w="1425" w:type="dxa"/>
            <w:tcBorders>
              <w:top w:val="nil"/>
              <w:left w:val="nil"/>
              <w:bottom w:val="nil"/>
              <w:right w:val="nil"/>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32"/>
                <w:szCs w:val="32"/>
                <w:u w:val="none"/>
              </w:rPr>
            </w:pPr>
          </w:p>
        </w:tc>
        <w:tc>
          <w:tcPr>
            <w:tcW w:w="1320" w:type="dxa"/>
            <w:tcBorders>
              <w:top w:val="nil"/>
              <w:left w:val="nil"/>
              <w:bottom w:val="nil"/>
              <w:right w:val="nil"/>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32"/>
                <w:szCs w:val="32"/>
                <w:u w:val="none"/>
              </w:rPr>
            </w:pPr>
          </w:p>
        </w:tc>
        <w:tc>
          <w:tcPr>
            <w:tcW w:w="1140" w:type="dxa"/>
            <w:tcBorders>
              <w:top w:val="nil"/>
              <w:left w:val="nil"/>
              <w:bottom w:val="nil"/>
              <w:right w:val="nil"/>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32"/>
                <w:szCs w:val="32"/>
                <w:u w:val="none"/>
              </w:rPr>
            </w:pPr>
          </w:p>
        </w:tc>
        <w:tc>
          <w:tcPr>
            <w:tcW w:w="1005" w:type="dxa"/>
            <w:tcBorders>
              <w:top w:val="nil"/>
              <w:left w:val="nil"/>
              <w:bottom w:val="nil"/>
              <w:right w:val="nil"/>
            </w:tcBorders>
            <w:shd w:val="clear" w:color="auto" w:fill="auto"/>
            <w:tcMar>
              <w:top w:w="15" w:type="dxa"/>
              <w:left w:w="15" w:type="dxa"/>
              <w:right w:w="15" w:type="dxa"/>
            </w:tcMar>
            <w:vAlign w:val="center"/>
          </w:tcPr>
          <w:p>
            <w:pPr>
              <w:jc w:val="center"/>
              <w:rPr>
                <w:rFonts w:hint="eastAsia" w:ascii="宋体" w:hAnsi="宋体" w:eastAsia="宋体" w:cs="宋体"/>
                <w:b/>
                <w:i w:val="0"/>
                <w:color w:val="000000"/>
                <w:sz w:val="32"/>
                <w:szCs w:val="32"/>
                <w:u w:val="none"/>
              </w:rPr>
            </w:pPr>
          </w:p>
        </w:tc>
      </w:tr>
      <w:tr>
        <w:tblPrEx>
          <w:shd w:val="clear" w:color="auto" w:fill="auto"/>
          <w:tblCellMar>
            <w:top w:w="0" w:type="dxa"/>
            <w:left w:w="0" w:type="dxa"/>
            <w:bottom w:w="0" w:type="dxa"/>
            <w:right w:w="0" w:type="dxa"/>
          </w:tblCellMar>
        </w:tblPrEx>
        <w:trPr>
          <w:trHeight w:val="645" w:hRule="atLeast"/>
        </w:trPr>
        <w:tc>
          <w:tcPr>
            <w:tcW w:w="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3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学生助学金</w:t>
            </w: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自评总分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（分</w:t>
            </w:r>
            <w:r>
              <w:rPr>
                <w:rFonts w:hint="eastAsia" w:cs="宋体"/>
                <w:i w:val="0"/>
                <w:color w:val="000000"/>
                <w:kern w:val="0"/>
                <w:sz w:val="20"/>
                <w:szCs w:val="20"/>
                <w:u w:val="none"/>
                <w:lang w:val="en-US" w:eastAsia="zh-CN" w:bidi="ar"/>
              </w:rPr>
              <w:t>）</w:t>
            </w:r>
          </w:p>
        </w:tc>
        <w:tc>
          <w:tcPr>
            <w:tcW w:w="346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r>
      <w:tr>
        <w:tblPrEx>
          <w:shd w:val="clear" w:color="auto" w:fill="auto"/>
          <w:tblCellMar>
            <w:top w:w="0" w:type="dxa"/>
            <w:left w:w="0" w:type="dxa"/>
            <w:bottom w:w="0" w:type="dxa"/>
            <w:right w:w="0" w:type="dxa"/>
          </w:tblCellMar>
        </w:tblPrEx>
        <w:trPr>
          <w:trHeight w:val="645" w:hRule="atLeast"/>
        </w:trPr>
        <w:tc>
          <w:tcPr>
            <w:tcW w:w="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业务主管部门</w:t>
            </w:r>
          </w:p>
        </w:tc>
        <w:tc>
          <w:tcPr>
            <w:tcW w:w="3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重庆市綦江区教育委员会</w:t>
            </w: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联系人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及电话</w:t>
            </w:r>
          </w:p>
        </w:tc>
        <w:tc>
          <w:tcPr>
            <w:tcW w:w="346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张基群13618243188</w:t>
            </w:r>
          </w:p>
        </w:tc>
      </w:tr>
      <w:tr>
        <w:tblPrEx>
          <w:shd w:val="clear" w:color="auto" w:fill="auto"/>
          <w:tblCellMar>
            <w:top w:w="0" w:type="dxa"/>
            <w:left w:w="0" w:type="dxa"/>
            <w:bottom w:w="0" w:type="dxa"/>
            <w:right w:w="0" w:type="dxa"/>
          </w:tblCellMar>
        </w:tblPrEx>
        <w:trPr>
          <w:trHeight w:val="360" w:hRule="atLeast"/>
        </w:trPr>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项目资金（万元）</w:t>
            </w:r>
          </w:p>
        </w:tc>
        <w:tc>
          <w:tcPr>
            <w:tcW w:w="154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20"/>
                <w:szCs w:val="20"/>
                <w:u w:val="none"/>
              </w:rPr>
            </w:pPr>
          </w:p>
        </w:tc>
        <w:tc>
          <w:tcPr>
            <w:tcW w:w="2190"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全年预算数（A）</w:t>
            </w: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全年执行数（B）</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执行率%（B/A）</w:t>
            </w: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执行率得分（分）</w:t>
            </w:r>
          </w:p>
        </w:tc>
      </w:tr>
      <w:tr>
        <w:tblPrEx>
          <w:shd w:val="clear" w:color="auto" w:fill="auto"/>
          <w:tblCellMar>
            <w:top w:w="0" w:type="dxa"/>
            <w:left w:w="0" w:type="dxa"/>
            <w:bottom w:w="0" w:type="dxa"/>
            <w:right w:w="0" w:type="dxa"/>
          </w:tblCellMar>
        </w:tblPrEx>
        <w:trPr>
          <w:trHeight w:val="36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2190"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4.858</w:t>
            </w:r>
          </w:p>
        </w:tc>
        <w:tc>
          <w:tcPr>
            <w:tcW w:w="14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4.858</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r>
      <w:tr>
        <w:tblPrEx>
          <w:shd w:val="clear" w:color="auto" w:fill="auto"/>
          <w:tblCellMar>
            <w:top w:w="0" w:type="dxa"/>
            <w:left w:w="0" w:type="dxa"/>
            <w:bottom w:w="0" w:type="dxa"/>
            <w:right w:w="0" w:type="dxa"/>
          </w:tblCellMar>
        </w:tblPrEx>
        <w:trPr>
          <w:trHeight w:val="36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其中：中央补助</w:t>
            </w:r>
          </w:p>
        </w:tc>
        <w:tc>
          <w:tcPr>
            <w:tcW w:w="2190"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1.898</w:t>
            </w:r>
          </w:p>
        </w:tc>
        <w:tc>
          <w:tcPr>
            <w:tcW w:w="14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1.898</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shd w:val="clear" w:color="auto" w:fill="auto"/>
          <w:tblCellMar>
            <w:top w:w="0" w:type="dxa"/>
            <w:left w:w="0" w:type="dxa"/>
            <w:bottom w:w="0" w:type="dxa"/>
            <w:right w:w="0" w:type="dxa"/>
          </w:tblCellMar>
        </w:tblPrEx>
        <w:trPr>
          <w:trHeight w:val="375"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市级补助</w:t>
            </w:r>
          </w:p>
        </w:tc>
        <w:tc>
          <w:tcPr>
            <w:tcW w:w="2190"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4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shd w:val="clear" w:color="auto" w:fill="auto"/>
          <w:tblCellMar>
            <w:top w:w="0" w:type="dxa"/>
            <w:left w:w="0" w:type="dxa"/>
            <w:bottom w:w="0" w:type="dxa"/>
            <w:right w:w="0" w:type="dxa"/>
          </w:tblCellMar>
        </w:tblPrEx>
        <w:trPr>
          <w:trHeight w:val="42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区级资金</w:t>
            </w:r>
          </w:p>
        </w:tc>
        <w:tc>
          <w:tcPr>
            <w:tcW w:w="2190"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1.86</w:t>
            </w:r>
          </w:p>
        </w:tc>
        <w:tc>
          <w:tcPr>
            <w:tcW w:w="142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1.86</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shd w:val="clear" w:color="auto" w:fill="auto"/>
          <w:tblCellMar>
            <w:top w:w="0" w:type="dxa"/>
            <w:left w:w="0" w:type="dxa"/>
            <w:bottom w:w="0" w:type="dxa"/>
            <w:right w:w="0" w:type="dxa"/>
          </w:tblCellMar>
        </w:tblPrEx>
        <w:trPr>
          <w:trHeight w:val="33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其他资金</w:t>
            </w:r>
          </w:p>
        </w:tc>
        <w:tc>
          <w:tcPr>
            <w:tcW w:w="2190"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shd w:val="clear" w:color="auto" w:fill="auto"/>
          <w:tblCellMar>
            <w:top w:w="0" w:type="dxa"/>
            <w:left w:w="0" w:type="dxa"/>
            <w:bottom w:w="0" w:type="dxa"/>
            <w:right w:w="0" w:type="dxa"/>
          </w:tblCellMar>
        </w:tblPrEx>
        <w:trPr>
          <w:trHeight w:val="510" w:hRule="atLeast"/>
        </w:trPr>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3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年初设定目标</w:t>
            </w:r>
          </w:p>
        </w:tc>
        <w:tc>
          <w:tcPr>
            <w:tcW w:w="489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全年目标实际完成情况</w:t>
            </w:r>
          </w:p>
        </w:tc>
      </w:tr>
      <w:tr>
        <w:tblPrEx>
          <w:shd w:val="clear" w:color="auto" w:fill="auto"/>
          <w:tblCellMar>
            <w:top w:w="0" w:type="dxa"/>
            <w:left w:w="0" w:type="dxa"/>
            <w:bottom w:w="0" w:type="dxa"/>
            <w:right w:w="0" w:type="dxa"/>
          </w:tblCellMar>
        </w:tblPrEx>
        <w:trPr>
          <w:trHeight w:val="116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373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准备解决学校76名学生的48580元费用，每人每月约64元，促进教育公平和社会和谐，保证贫困学生不能因贫失学。</w:t>
            </w:r>
          </w:p>
        </w:tc>
        <w:tc>
          <w:tcPr>
            <w:tcW w:w="489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已资助贫困学生76人，金额共计48580元，保证了贫困学生不因贫失学，促进了教育公平和社会和谐。</w:t>
            </w:r>
          </w:p>
        </w:tc>
      </w:tr>
      <w:tr>
        <w:tblPrEx>
          <w:shd w:val="clear" w:color="auto" w:fill="auto"/>
          <w:tblCellMar>
            <w:top w:w="0" w:type="dxa"/>
            <w:left w:w="0" w:type="dxa"/>
            <w:bottom w:w="0" w:type="dxa"/>
            <w:right w:w="0" w:type="dxa"/>
          </w:tblCellMar>
        </w:tblPrEx>
        <w:trPr>
          <w:trHeight w:val="645" w:hRule="atLeast"/>
        </w:trPr>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绩效指标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指标名称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计量单位</w:t>
            </w:r>
          </w:p>
        </w:tc>
        <w:tc>
          <w:tcPr>
            <w:tcW w:w="106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指标权重</w:t>
            </w: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指标值</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全年完成值</w:t>
            </w:r>
          </w:p>
        </w:tc>
        <w:tc>
          <w:tcPr>
            <w:tcW w:w="1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得分系数（%）</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指标得分</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（分</w:t>
            </w:r>
            <w:r>
              <w:rPr>
                <w:rFonts w:hint="eastAsia" w:cs="宋体"/>
                <w:i w:val="0"/>
                <w:color w:val="000000"/>
                <w:kern w:val="0"/>
                <w:sz w:val="20"/>
                <w:szCs w:val="20"/>
                <w:u w:val="none"/>
                <w:lang w:val="en-US" w:eastAsia="zh-CN" w:bidi="ar"/>
              </w:rPr>
              <w:t>）</w:t>
            </w:r>
          </w:p>
        </w:tc>
      </w:tr>
      <w:tr>
        <w:tblPrEx>
          <w:shd w:val="clear" w:color="auto" w:fill="auto"/>
          <w:tblCellMar>
            <w:top w:w="0" w:type="dxa"/>
            <w:left w:w="0" w:type="dxa"/>
            <w:bottom w:w="0" w:type="dxa"/>
            <w:right w:w="0" w:type="dxa"/>
          </w:tblCellMar>
        </w:tblPrEx>
        <w:trPr>
          <w:trHeight w:val="465"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i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资助人次</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人次</w:t>
            </w:r>
          </w:p>
        </w:tc>
        <w:tc>
          <w:tcPr>
            <w:tcW w:w="106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w:t>
            </w: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7600%</w:t>
            </w:r>
          </w:p>
        </w:tc>
        <w:tc>
          <w:tcPr>
            <w:tcW w:w="1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w:t>
            </w:r>
          </w:p>
        </w:tc>
      </w:tr>
      <w:tr>
        <w:tblPrEx>
          <w:shd w:val="clear" w:color="auto" w:fill="auto"/>
          <w:tblCellMar>
            <w:top w:w="0" w:type="dxa"/>
            <w:left w:w="0" w:type="dxa"/>
            <w:bottom w:w="0" w:type="dxa"/>
            <w:right w:w="0" w:type="dxa"/>
          </w:tblCellMar>
        </w:tblPrEx>
        <w:trPr>
          <w:trHeight w:val="465"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i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补助标准</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元/月（天）</w:t>
            </w:r>
          </w:p>
        </w:tc>
        <w:tc>
          <w:tcPr>
            <w:tcW w:w="106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8600%</w:t>
            </w:r>
          </w:p>
        </w:tc>
        <w:tc>
          <w:tcPr>
            <w:tcW w:w="1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CellMar>
            <w:top w:w="0" w:type="dxa"/>
            <w:left w:w="0" w:type="dxa"/>
            <w:bottom w:w="0" w:type="dxa"/>
            <w:right w:w="0" w:type="dxa"/>
          </w:tblCellMar>
        </w:tblPrEx>
        <w:trPr>
          <w:trHeight w:val="465"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i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资助发放精准度</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bookmarkStart w:id="0" w:name="_GoBack"/>
            <w:bookmarkEnd w:id="0"/>
          </w:p>
        </w:tc>
        <w:tc>
          <w:tcPr>
            <w:tcW w:w="106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10000%</w:t>
            </w:r>
          </w:p>
        </w:tc>
        <w:tc>
          <w:tcPr>
            <w:tcW w:w="1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CellMar>
            <w:top w:w="0" w:type="dxa"/>
            <w:left w:w="0" w:type="dxa"/>
            <w:bottom w:w="0" w:type="dxa"/>
            <w:right w:w="0" w:type="dxa"/>
          </w:tblCellMar>
        </w:tblPrEx>
        <w:trPr>
          <w:trHeight w:val="465"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i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资金到位准时度</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06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0" w:type="auto"/>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CellMar>
            <w:top w:w="0" w:type="dxa"/>
            <w:left w:w="0" w:type="dxa"/>
            <w:bottom w:w="0" w:type="dxa"/>
            <w:right w:w="0" w:type="dxa"/>
          </w:tblCellMar>
        </w:tblPrEx>
        <w:trPr>
          <w:trHeight w:val="465"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i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保障贫困学生入学率</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06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30</w:t>
            </w:r>
          </w:p>
        </w:tc>
      </w:tr>
      <w:tr>
        <w:tblPrEx>
          <w:tblCellMar>
            <w:top w:w="0" w:type="dxa"/>
            <w:left w:w="0" w:type="dxa"/>
            <w:bottom w:w="0" w:type="dxa"/>
            <w:right w:w="0" w:type="dxa"/>
          </w:tblCellMar>
        </w:tblPrEx>
        <w:trPr>
          <w:trHeight w:val="465"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i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家长学校满意度</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06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CellMar>
            <w:top w:w="0" w:type="dxa"/>
            <w:left w:w="0" w:type="dxa"/>
            <w:bottom w:w="0" w:type="dxa"/>
            <w:right w:w="0" w:type="dxa"/>
          </w:tblCellMar>
        </w:tblPrEx>
        <w:trPr>
          <w:trHeight w:val="465"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tbRlV"/>
            <w:vAlign w:val="center"/>
          </w:tcPr>
          <w:p>
            <w:pPr>
              <w:jc w:val="center"/>
              <w:rPr>
                <w:rFonts w:hint="eastAsia" w:ascii="宋体" w:hAnsi="宋体" w:eastAsia="宋体" w:cs="宋体"/>
                <w:i w:val="0"/>
                <w:color w:val="000000"/>
                <w:sz w:val="20"/>
                <w:szCs w:val="20"/>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社会公众满意度</w:t>
            </w:r>
          </w:p>
        </w:tc>
        <w:tc>
          <w:tcPr>
            <w:tcW w:w="11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06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4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3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CellMar>
            <w:top w:w="0" w:type="dxa"/>
            <w:left w:w="0" w:type="dxa"/>
            <w:bottom w:w="0" w:type="dxa"/>
            <w:right w:w="0" w:type="dxa"/>
          </w:tblCellMar>
        </w:tblPrEx>
        <w:trPr>
          <w:trHeight w:val="2145" w:hRule="atLeast"/>
        </w:trPr>
        <w:tc>
          <w:tcPr>
            <w:tcW w:w="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未完成绩效目标或偏离较多的原因、改进措施及其他说明</w:t>
            </w:r>
          </w:p>
        </w:tc>
        <w:tc>
          <w:tcPr>
            <w:tcW w:w="8625"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CellMar>
            <w:top w:w="0" w:type="dxa"/>
            <w:left w:w="0" w:type="dxa"/>
            <w:bottom w:w="0" w:type="dxa"/>
            <w:right w:w="0" w:type="dxa"/>
          </w:tblCellMar>
        </w:tblPrEx>
        <w:trPr>
          <w:trHeight w:val="270" w:hRule="atLeast"/>
        </w:trPr>
        <w:tc>
          <w:tcPr>
            <w:tcW w:w="0" w:type="auto"/>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0" w:type="auto"/>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0" w:type="auto"/>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0" w:type="auto"/>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0" w:type="auto"/>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0" w:type="auto"/>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0" w:type="auto"/>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0" w:type="auto"/>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CellMar>
            <w:top w:w="0" w:type="dxa"/>
            <w:left w:w="0" w:type="dxa"/>
            <w:bottom w:w="0" w:type="dxa"/>
            <w:right w:w="0" w:type="dxa"/>
          </w:tblCellMar>
        </w:tblPrEx>
        <w:trPr>
          <w:trHeight w:val="270" w:hRule="atLeast"/>
        </w:trPr>
        <w:tc>
          <w:tcPr>
            <w:tcW w:w="2490"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预算单位主要领导： 程钢        </w:t>
            </w:r>
          </w:p>
        </w:tc>
        <w:tc>
          <w:tcPr>
            <w:tcW w:w="2190"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绩效评价负责人：</w:t>
            </w:r>
          </w:p>
        </w:tc>
        <w:tc>
          <w:tcPr>
            <w:tcW w:w="2745"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李正洪           经办人：</w:t>
            </w:r>
          </w:p>
        </w:tc>
        <w:tc>
          <w:tcPr>
            <w:tcW w:w="114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张基群</w:t>
            </w:r>
          </w:p>
        </w:tc>
        <w:tc>
          <w:tcPr>
            <w:tcW w:w="0" w:type="auto"/>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bl>
    <w:p>
      <w:pPr>
        <w:pStyle w:val="4"/>
        <w:shd w:val="clear" w:color="auto" w:fill="FFFFFF"/>
        <w:rPr>
          <w:rStyle w:val="7"/>
          <w:rFonts w:hint="eastAsia" w:ascii="方正仿宋_GBK" w:eastAsia="方正仿宋_GBK"/>
          <w:b w:val="0"/>
          <w:bCs w:val="0"/>
          <w:sz w:val="32"/>
          <w:szCs w:val="32"/>
        </w:rPr>
      </w:pP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2.绩效自评报告或案例</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rPr>
        <w:t>（略）</w:t>
      </w:r>
    </w:p>
    <w:p>
      <w:pPr>
        <w:pStyle w:val="4"/>
        <w:numPr>
          <w:ilvl w:val="0"/>
          <w:numId w:val="1"/>
        </w:numPr>
        <w:shd w:val="clear" w:color="auto" w:fill="FFFFFF"/>
        <w:rPr>
          <w:rStyle w:val="7"/>
          <w:rFonts w:hint="eastAsia" w:ascii="方正仿宋_GBK" w:eastAsia="方正仿宋_GBK"/>
          <w:b w:val="0"/>
          <w:bCs w:val="0"/>
          <w:sz w:val="32"/>
          <w:szCs w:val="32"/>
        </w:rPr>
      </w:pPr>
      <w:r>
        <w:rPr>
          <w:rStyle w:val="7"/>
          <w:rFonts w:hint="eastAsia" w:ascii="方正仿宋_GBK" w:eastAsia="方正仿宋_GBK"/>
          <w:b w:val="0"/>
          <w:bCs w:val="0"/>
          <w:sz w:val="32"/>
          <w:szCs w:val="32"/>
        </w:rPr>
        <w:t>重点绩效评价结果</w:t>
      </w:r>
    </w:p>
    <w:p>
      <w:pPr>
        <w:pStyle w:val="4"/>
        <w:shd w:val="clear" w:color="auto" w:fill="FFFFFF"/>
        <w:rPr>
          <w:rStyle w:val="7"/>
          <w:rFonts w:hint="eastAsia" w:ascii="方正仿宋_GBK" w:eastAsia="方正仿宋_GBK"/>
          <w:b w:val="0"/>
          <w:bCs w:val="0"/>
          <w:sz w:val="32"/>
          <w:szCs w:val="32"/>
        </w:rPr>
      </w:pPr>
      <w:r>
        <w:rPr>
          <w:rFonts w:hint="eastAsia" w:ascii="方正仿宋_GBK" w:eastAsia="方正仿宋_GBK"/>
          <w:sz w:val="32"/>
          <w:szCs w:val="32"/>
        </w:rPr>
        <w:t>（略）</w:t>
      </w:r>
    </w:p>
    <w:p>
      <w:pPr>
        <w:pStyle w:val="4"/>
        <w:shd w:val="clear" w:color="auto" w:fill="FFFFFF"/>
        <w:rPr>
          <w:rFonts w:hint="eastAsia" w:ascii="方正黑体_GBK" w:eastAsia="方正黑体_GBK"/>
          <w:sz w:val="32"/>
          <w:szCs w:val="32"/>
        </w:rPr>
      </w:pPr>
      <w:r>
        <w:rPr>
          <w:rStyle w:val="7"/>
          <w:rFonts w:hint="eastAsia" w:ascii="方正黑体_GBK" w:eastAsia="方正黑体_GBK"/>
          <w:b w:val="0"/>
          <w:bCs w:val="0"/>
          <w:sz w:val="32"/>
          <w:szCs w:val="32"/>
        </w:rPr>
        <w:t>六、专业名词解释</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（一）财政拨款收入</w:t>
      </w:r>
      <w:r>
        <w:rPr>
          <w:rFonts w:hint="eastAsia" w:ascii="方正仿宋_GBK" w:eastAsia="方正仿宋_GBK"/>
          <w:sz w:val="32"/>
          <w:szCs w:val="32"/>
        </w:rPr>
        <w:t>：指本年度从本级财政部门取得的财政拨款，包括一般公共预算财政拨款和政府性基金预算财政拨款。</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（二）事业收入</w:t>
      </w:r>
      <w:r>
        <w:rPr>
          <w:rFonts w:hint="eastAsia" w:ascii="方正仿宋_GBK" w:eastAsia="方正仿宋_GBK"/>
          <w:sz w:val="32"/>
          <w:szCs w:val="32"/>
        </w:rPr>
        <w:t>：指事业单位开展专业业务活动及其辅助活动取得的现金流入；事业单位收到的财政专户实际核拨的教育收费等资金在此反映。</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（三）经营收入</w:t>
      </w:r>
      <w:r>
        <w:rPr>
          <w:rFonts w:hint="eastAsia" w:ascii="方正仿宋_GBK" w:eastAsia="方正仿宋_GBK"/>
          <w:sz w:val="32"/>
          <w:szCs w:val="32"/>
        </w:rPr>
        <w:t>：指事业单位在专业业务活动及其辅助活动之外开展非独立核算经营活动取得的现金流入。</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（四）其他收入</w:t>
      </w:r>
      <w:r>
        <w:rPr>
          <w:rFonts w:hint="eastAsia" w:ascii="方正仿宋_GBK" w:eastAsia="方正仿宋_GBK"/>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（五）使用非财政拨款结余</w:t>
      </w:r>
      <w:r>
        <w:rPr>
          <w:rFonts w:hint="eastAsia" w:ascii="方正仿宋_GBK" w:eastAsia="方正仿宋_GBK"/>
          <w:sz w:val="32"/>
          <w:szCs w:val="32"/>
        </w:rPr>
        <w:t>：指单位在当年的“财政拨款收入”、“事业收入”、“经营收入”、“其他收入”等不足以安排当年支出的情况下，使用以前年度积累的非财政拨款结余弥补本年度收支缺口的资金。</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（六）年初结转和结余</w:t>
      </w:r>
      <w:r>
        <w:rPr>
          <w:rFonts w:hint="eastAsia" w:ascii="方正仿宋_GBK" w:eastAsia="方正仿宋_GBK"/>
          <w:sz w:val="32"/>
          <w:szCs w:val="32"/>
        </w:rPr>
        <w:t>：指单位上年结转本年使用的基本支出结转、项目支出结转和结余、经营结余。</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（七）结余分配</w:t>
      </w:r>
      <w:r>
        <w:rPr>
          <w:rFonts w:hint="eastAsia" w:ascii="方正仿宋_GBK" w:eastAsia="方正仿宋_GBK"/>
          <w:sz w:val="32"/>
          <w:szCs w:val="32"/>
        </w:rPr>
        <w:t>：指单位按照国家有关规定，缴纳所得税、提取专用基金、转入非财政拨款结余等当年结余的分配情况。</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（八）年末结转和结余</w:t>
      </w:r>
      <w:r>
        <w:rPr>
          <w:rFonts w:hint="eastAsia" w:ascii="方正仿宋_GBK" w:eastAsia="方正仿宋_GBK"/>
          <w:sz w:val="32"/>
          <w:szCs w:val="32"/>
        </w:rPr>
        <w:t>：指单位结转下年的基本支出结转、项目支出结转和结余、经营结余。</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（九）基本支出</w:t>
      </w:r>
      <w:r>
        <w:rPr>
          <w:rFonts w:hint="eastAsia" w:ascii="方正仿宋_GBK" w:eastAsia="方正仿宋_GBK"/>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（十）项目支出</w:t>
      </w:r>
      <w:r>
        <w:rPr>
          <w:rFonts w:hint="eastAsia" w:ascii="方正仿宋_GBK" w:eastAsia="方正仿宋_GBK"/>
          <w:sz w:val="32"/>
          <w:szCs w:val="32"/>
        </w:rPr>
        <w:t>：指在基本支出之外为完成特定行政任务和事业发展目标所发生的支出。</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（十一）经营支出</w:t>
      </w:r>
      <w:r>
        <w:rPr>
          <w:rFonts w:hint="eastAsia" w:ascii="方正仿宋_GBK" w:eastAsia="方正仿宋_GBK"/>
          <w:sz w:val="32"/>
          <w:szCs w:val="32"/>
        </w:rPr>
        <w:t>：指事业单位在专业业务活动及其辅助活动之外开展非独立核算经营活动发生的支出。</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（十二）“三公”经费</w:t>
      </w:r>
      <w:r>
        <w:rPr>
          <w:rFonts w:hint="eastAsia" w:ascii="方正仿宋_GBK" w:eastAsia="方正仿宋_GBK"/>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（十三）机关运行经费</w:t>
      </w:r>
      <w:r>
        <w:rPr>
          <w:rFonts w:hint="eastAsia" w:ascii="方正仿宋_GBK" w:eastAsia="方正仿宋_GBK"/>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（十四）工资福利支出（支出经济分类科目类级）</w:t>
      </w:r>
      <w:r>
        <w:rPr>
          <w:rFonts w:hint="eastAsia" w:ascii="方正仿宋_GBK" w:eastAsia="方正仿宋_GBK"/>
          <w:sz w:val="32"/>
          <w:szCs w:val="32"/>
        </w:rPr>
        <w:t>：反映单位开支的在职职工和编制外长期聘用人员的各类劳动报酬，以及为上述人员缴纳的各项社会保险费等。</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（十五）商品和服务支出（支出经济分类科目类级）</w:t>
      </w:r>
      <w:r>
        <w:rPr>
          <w:rFonts w:hint="eastAsia" w:ascii="方正仿宋_GBK" w:eastAsia="方正仿宋_GBK"/>
          <w:sz w:val="32"/>
          <w:szCs w:val="32"/>
        </w:rPr>
        <w:t>：反映单位购买商品和服务的支出（不包括用于购置固定资产的支出、战略性和应急储备支出）。</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（十六）对个人和家庭的补助（支出经济分类科目类级）</w:t>
      </w:r>
      <w:r>
        <w:rPr>
          <w:rFonts w:hint="eastAsia" w:ascii="方正仿宋_GBK" w:eastAsia="方正仿宋_GBK"/>
          <w:sz w:val="32"/>
          <w:szCs w:val="32"/>
        </w:rPr>
        <w:t>：反映用于对个人和家庭的补助支出。</w:t>
      </w:r>
    </w:p>
    <w:p>
      <w:pPr>
        <w:pStyle w:val="4"/>
        <w:shd w:val="clear" w:color="auto" w:fill="FFFFFF"/>
        <w:rPr>
          <w:rFonts w:hint="eastAsia" w:ascii="方正仿宋_GBK" w:eastAsia="方正仿宋_GBK"/>
          <w:sz w:val="32"/>
          <w:szCs w:val="32"/>
        </w:rPr>
      </w:pPr>
      <w:r>
        <w:rPr>
          <w:rStyle w:val="7"/>
          <w:rFonts w:hint="eastAsia" w:ascii="方正仿宋_GBK" w:eastAsia="方正仿宋_GBK"/>
          <w:b w:val="0"/>
          <w:bCs w:val="0"/>
          <w:sz w:val="32"/>
          <w:szCs w:val="32"/>
        </w:rPr>
        <w:t>（十七）其他资本性支出（支出经济分类科目类级）</w:t>
      </w:r>
      <w:r>
        <w:rPr>
          <w:rFonts w:hint="eastAsia" w:ascii="方正仿宋_GBK" w:eastAsia="方正仿宋_GBK"/>
          <w:sz w:val="32"/>
          <w:szCs w:val="32"/>
        </w:rPr>
        <w:t>：反映非各级发展与改革部门集中安排的用于购置固定资产、战略性和应急性储备、土地和无形资产，以及构建基础设施、大型修缮和财政支持企业更新改造所发生的支出。</w:t>
      </w:r>
    </w:p>
    <w:p>
      <w:pPr>
        <w:pStyle w:val="4"/>
        <w:shd w:val="clear" w:color="auto" w:fill="FFFFFF"/>
        <w:rPr>
          <w:rFonts w:hint="eastAsia" w:ascii="方正黑体_GBK" w:eastAsia="方正黑体_GBK"/>
          <w:sz w:val="32"/>
          <w:szCs w:val="32"/>
        </w:rPr>
      </w:pPr>
      <w:r>
        <w:rPr>
          <w:rStyle w:val="7"/>
          <w:rFonts w:hint="eastAsia" w:ascii="方正黑体_GBK" w:eastAsia="方正黑体_GBK"/>
          <w:b w:val="0"/>
          <w:bCs w:val="0"/>
          <w:sz w:val="32"/>
          <w:szCs w:val="32"/>
        </w:rPr>
        <w:t>七、决算公开联系方式及信息反馈渠道</w:t>
      </w:r>
    </w:p>
    <w:p>
      <w:pPr>
        <w:pStyle w:val="4"/>
        <w:shd w:val="clear" w:color="auto" w:fill="FFFFFF"/>
        <w:rPr>
          <w:rFonts w:hint="eastAsia" w:ascii="方正仿宋_GBK" w:eastAsia="方正仿宋_GBK"/>
          <w:sz w:val="32"/>
          <w:szCs w:val="32"/>
        </w:rPr>
      </w:pPr>
      <w:r>
        <w:rPr>
          <w:rFonts w:hint="eastAsia" w:ascii="方正仿宋_GBK" w:eastAsia="方正仿宋_GBK"/>
          <w:sz w:val="32"/>
          <w:szCs w:val="32"/>
        </w:rPr>
        <w:t>本单位决算公开信息反馈和联系方式：023-48603926</w:t>
      </w:r>
    </w:p>
    <w:sectPr>
      <w:pgSz w:w="11907"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92D16E"/>
    <w:multiLevelType w:val="singleLevel"/>
    <w:tmpl w:val="6692D16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SnapToGridInCell/>
    <w:doNotWrapTextWithPunct/>
    <w:doNotUseEastAsianBreakRules/>
    <w:growAutofit/>
    <w:useFELayout/>
    <w:doNotUseIndentAsNumberingTabStop/>
    <w:useAltKinsokuLineBreakRules/>
    <w:compatSetting w:name="compatibilityMode" w:uri="http://schemas.microsoft.com/office/word" w:val="14"/>
  </w:compat>
  <w:docVars>
    <w:docVar w:name="commondata" w:val="eyJoZGlkIjoiNmEzYWYxYTY4NzQ3ZjAxZTg4Njg0OTUxNTYxM2Y5ZGQifQ=="/>
  </w:docVars>
  <w:rsids>
    <w:rsidRoot w:val="001958D0"/>
    <w:rsid w:val="001958D0"/>
    <w:rsid w:val="00550A58"/>
    <w:rsid w:val="006D16B0"/>
    <w:rsid w:val="00720C4C"/>
    <w:rsid w:val="008242F0"/>
    <w:rsid w:val="223771D2"/>
    <w:rsid w:val="2C2552E2"/>
    <w:rsid w:val="30FD381E"/>
    <w:rsid w:val="3F2A5A1C"/>
    <w:rsid w:val="424123FD"/>
    <w:rsid w:val="484413D0"/>
    <w:rsid w:val="54560219"/>
    <w:rsid w:val="58F271B2"/>
    <w:rsid w:val="597F2B4F"/>
    <w:rsid w:val="663012BB"/>
    <w:rsid w:val="6B6D5F87"/>
    <w:rsid w:val="75743F7C"/>
    <w:rsid w:val="79185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100" w:beforeAutospacing="1" w:after="100" w:afterAutospacing="1"/>
    </w:pPr>
  </w:style>
  <w:style w:type="character" w:styleId="7">
    <w:name w:val="Strong"/>
    <w:basedOn w:val="6"/>
    <w:qFormat/>
    <w:uiPriority w:val="22"/>
    <w:rPr>
      <w:b/>
      <w:bCs/>
    </w:rPr>
  </w:style>
  <w:style w:type="character" w:customStyle="1" w:styleId="8">
    <w:name w:val="页眉 字符"/>
    <w:basedOn w:val="6"/>
    <w:link w:val="3"/>
    <w:qFormat/>
    <w:uiPriority w:val="99"/>
    <w:rPr>
      <w:rFonts w:ascii="宋体" w:hAnsi="宋体" w:cs="宋体"/>
      <w:sz w:val="18"/>
      <w:szCs w:val="18"/>
    </w:rPr>
  </w:style>
  <w:style w:type="character" w:customStyle="1" w:styleId="9">
    <w:name w:val="页脚 字符"/>
    <w:basedOn w:val="6"/>
    <w:link w:val="2"/>
    <w:qFormat/>
    <w:uiPriority w:val="99"/>
    <w:rPr>
      <w:rFonts w:ascii="宋体" w:hAnsi="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13</Pages>
  <Words>4455</Words>
  <Characters>5045</Characters>
  <Lines>37</Lines>
  <Paragraphs>10</Paragraphs>
  <TotalTime>7</TotalTime>
  <ScaleCrop>false</ScaleCrop>
  <LinksUpToDate>false</LinksUpToDate>
  <CharactersWithSpaces>5119</CharactersWithSpaces>
  <Application>WPS Office_11.1.0.12012_F1E327BC-269C-435d-A152-05C5408002CA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2022-08-27T07:50:00Z</dcterms:created>
  <dc:creator>NX</dc:creator>
  <cp:lastModifiedBy>陈列</cp:lastModifiedBy>
  <dcterms:modified xsi:type="dcterms:W3CDTF">2022-09-01T14:55:00Z</dcterms:modified>
  <dc:title>公开报告模板</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2052-11.1.0.12012</vt:lpwstr>
  </property>
  <property fmtid="{D5CDD505-2E9C-101B-9397-08002B2CF9AE}" pid="3" name="ICV">
    <vt:lpwstr>8F7BC09BAFF94426826529B4DAE5C2F4</vt:lpwstr>
  </property>
</Properties>
</file>