
<file path=[Content_Types].xml><?xml version="1.0" encoding="utf-8"?>
<Types xmlns="http://schemas.openxmlformats.org/package/2006/content-types">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5"/>
        <w:shd w:val="clear" w:color="auto" w:fill="FFFFFF"/>
        <w:jc w:val="center"/>
        <w:rPr>
          <w:rFonts w:ascii="方正小标宋_GBK" w:eastAsia="方正小标宋_GBK"/>
          <w:sz w:val="44"/>
          <w:szCs w:val="44"/>
        </w:rPr>
      </w:pPr>
      <w:r>
        <w:rPr>
          <w:rFonts w:hint="eastAsia" w:ascii="方正小标宋_GBK" w:eastAsia="方正小标宋_GBK"/>
          <w:sz w:val="44"/>
          <w:szCs w:val="44"/>
        </w:rPr>
        <w:t>重庆市綦江区三江第一小学</w:t>
      </w:r>
    </w:p>
    <w:p>
      <w:pPr>
        <w:pStyle w:val="5"/>
        <w:shd w:val="clear" w:color="auto" w:fill="FFFFFF"/>
        <w:jc w:val="center"/>
        <w:rPr>
          <w:rFonts w:ascii="方正小标宋_GBK" w:eastAsia="方正小标宋_GBK"/>
          <w:sz w:val="44"/>
          <w:szCs w:val="44"/>
        </w:rPr>
      </w:pPr>
      <w:r>
        <w:rPr>
          <w:rFonts w:hint="eastAsia" w:ascii="方正小标宋_GBK" w:eastAsia="方正小标宋_GBK"/>
          <w:sz w:val="44"/>
          <w:szCs w:val="44"/>
        </w:rPr>
        <w:t>2020年度部门决算情况</w:t>
      </w:r>
      <w:r>
        <w:rPr>
          <w:rFonts w:hint="eastAsia" w:ascii="方正小标宋_GBK" w:eastAsia="方正小标宋_GBK"/>
          <w:sz w:val="44"/>
          <w:szCs w:val="44"/>
          <w:lang w:eastAsia="zh-CN"/>
        </w:rPr>
        <w:t>公开</w:t>
      </w:r>
      <w:r>
        <w:rPr>
          <w:rFonts w:hint="eastAsia" w:ascii="方正小标宋_GBK" w:eastAsia="方正小标宋_GBK"/>
          <w:sz w:val="44"/>
          <w:szCs w:val="44"/>
        </w:rPr>
        <w:t>说明</w:t>
      </w:r>
    </w:p>
    <w:p>
      <w:pPr>
        <w:pStyle w:val="5"/>
        <w:shd w:val="clear" w:color="auto" w:fill="FFFFFF"/>
        <w:spacing w:line="600" w:lineRule="exact"/>
        <w:ind w:left="0" w:leftChars="0" w:firstLine="720" w:firstLineChars="225"/>
        <w:rPr>
          <w:rFonts w:ascii="方正黑体_GBK" w:eastAsia="方正黑体_GBK"/>
          <w:b/>
          <w:sz w:val="32"/>
          <w:szCs w:val="32"/>
        </w:rPr>
      </w:pPr>
      <w:r>
        <w:rPr>
          <w:rStyle w:val="8"/>
          <w:rFonts w:hint="eastAsia" w:ascii="方正黑体_GBK" w:eastAsia="方正黑体_GBK"/>
          <w:b w:val="0"/>
          <w:sz w:val="32"/>
          <w:szCs w:val="32"/>
        </w:rPr>
        <w:t>一、部门基本情况</w:t>
      </w:r>
    </w:p>
    <w:p>
      <w:pPr>
        <w:pStyle w:val="5"/>
        <w:keepNext w:val="0"/>
        <w:keepLines w:val="0"/>
        <w:pageBreakBefore w:val="0"/>
        <w:widowControl/>
        <w:shd w:val="clear" w:color="auto" w:fill="FFFFFF"/>
        <w:kinsoku/>
        <w:wordWrap/>
        <w:overflowPunct/>
        <w:topLinePunct w:val="0"/>
        <w:autoSpaceDE/>
        <w:autoSpaceDN/>
        <w:bidi w:val="0"/>
        <w:adjustRightInd/>
        <w:snapToGrid/>
        <w:spacing w:line="600" w:lineRule="exact"/>
        <w:ind w:left="0" w:leftChars="0" w:firstLine="720" w:firstLineChars="225"/>
        <w:textAlignment w:val="auto"/>
        <w:rPr>
          <w:rFonts w:ascii="方正楷体_GBK" w:eastAsia="方正楷体_GBK"/>
          <w:b/>
          <w:sz w:val="32"/>
          <w:szCs w:val="32"/>
        </w:rPr>
      </w:pPr>
      <w:r>
        <w:rPr>
          <w:rStyle w:val="8"/>
          <w:rFonts w:hint="eastAsia" w:ascii="方正楷体_GBK" w:eastAsia="方正楷体_GBK"/>
          <w:b w:val="0"/>
          <w:sz w:val="32"/>
          <w:szCs w:val="32"/>
        </w:rPr>
        <w:t>（一）职能职责</w:t>
      </w:r>
    </w:p>
    <w:p>
      <w:pPr>
        <w:pStyle w:val="5"/>
        <w:keepNext w:val="0"/>
        <w:keepLines w:val="0"/>
        <w:pageBreakBefore w:val="0"/>
        <w:widowControl/>
        <w:shd w:val="clear" w:color="auto" w:fill="FFFFFF"/>
        <w:kinsoku/>
        <w:wordWrap/>
        <w:overflowPunct/>
        <w:topLinePunct w:val="0"/>
        <w:autoSpaceDE/>
        <w:autoSpaceDN/>
        <w:bidi w:val="0"/>
        <w:adjustRightInd/>
        <w:snapToGrid/>
        <w:spacing w:line="600" w:lineRule="exact"/>
        <w:ind w:left="0" w:leftChars="0" w:firstLine="720" w:firstLineChars="225"/>
        <w:textAlignment w:val="auto"/>
        <w:rPr>
          <w:rFonts w:ascii="方正仿宋_GBK" w:eastAsia="方正仿宋_GBK"/>
        </w:rPr>
      </w:pPr>
      <w:r>
        <w:rPr>
          <w:rFonts w:hint="eastAsia" w:ascii="方正仿宋_GBK" w:hAnsi="KaiTi_GB2312" w:eastAsia="方正仿宋_GBK"/>
          <w:bCs/>
          <w:sz w:val="32"/>
          <w:szCs w:val="32"/>
        </w:rPr>
        <w:t>实施小学义务教育，促进基础教育发展。小学学历教育（相关社会服务）。</w:t>
      </w:r>
    </w:p>
    <w:p>
      <w:pPr>
        <w:pStyle w:val="5"/>
        <w:keepNext w:val="0"/>
        <w:keepLines w:val="0"/>
        <w:pageBreakBefore w:val="0"/>
        <w:widowControl/>
        <w:shd w:val="clear" w:color="auto" w:fill="FFFFFF"/>
        <w:kinsoku/>
        <w:wordWrap/>
        <w:overflowPunct/>
        <w:topLinePunct w:val="0"/>
        <w:autoSpaceDE/>
        <w:autoSpaceDN/>
        <w:bidi w:val="0"/>
        <w:adjustRightInd/>
        <w:snapToGrid/>
        <w:spacing w:line="600" w:lineRule="exact"/>
        <w:ind w:left="0" w:leftChars="0" w:firstLine="720" w:firstLineChars="225"/>
        <w:textAlignment w:val="auto"/>
        <w:rPr>
          <w:rFonts w:eastAsia="方正楷体_GBK"/>
          <w:bCs/>
          <w:sz w:val="32"/>
          <w:szCs w:val="32"/>
        </w:rPr>
      </w:pPr>
      <w:r>
        <w:rPr>
          <w:rFonts w:hint="eastAsia" w:eastAsia="方正楷体_GBK"/>
          <w:bCs/>
          <w:sz w:val="32"/>
          <w:szCs w:val="32"/>
        </w:rPr>
        <w:t>（二）机构设置</w:t>
      </w:r>
    </w:p>
    <w:p>
      <w:pPr>
        <w:pStyle w:val="5"/>
        <w:keepNext w:val="0"/>
        <w:keepLines w:val="0"/>
        <w:pageBreakBefore w:val="0"/>
        <w:widowControl/>
        <w:shd w:val="clear" w:color="auto" w:fill="FFFFFF"/>
        <w:kinsoku/>
        <w:wordWrap/>
        <w:overflowPunct/>
        <w:topLinePunct w:val="0"/>
        <w:autoSpaceDE/>
        <w:autoSpaceDN/>
        <w:bidi w:val="0"/>
        <w:adjustRightInd/>
        <w:snapToGrid/>
        <w:spacing w:line="600" w:lineRule="exact"/>
        <w:ind w:left="0" w:leftChars="0" w:firstLine="607" w:firstLineChars="225"/>
        <w:textAlignment w:val="auto"/>
        <w:rPr>
          <w:rFonts w:hint="eastAsia" w:ascii="方正仿宋_GBK" w:hAnsi="KaiTi_GB2312" w:eastAsia="方正仿宋_GBK"/>
          <w:bCs/>
          <w:sz w:val="32"/>
          <w:szCs w:val="32"/>
        </w:rPr>
      </w:pPr>
      <w:r>
        <w:rPr>
          <w:rFonts w:hint="eastAsia" w:eastAsia="方正仿宋_GBK"/>
          <w:color w:val="FF0000"/>
          <w:sz w:val="27"/>
          <w:szCs w:val="27"/>
        </w:rPr>
        <w:t> </w:t>
      </w:r>
      <w:r>
        <w:rPr>
          <w:rFonts w:hint="eastAsia" w:ascii="方正仿宋_GBK" w:hAnsi="KaiTi_GB2312" w:eastAsia="方正仿宋_GBK"/>
          <w:bCs/>
          <w:sz w:val="32"/>
          <w:szCs w:val="32"/>
        </w:rPr>
        <w:t>本单位属正科级事业单位，内设机构3个，分别是政</w:t>
      </w:r>
      <w:r>
        <w:rPr>
          <w:rFonts w:hint="eastAsia" w:ascii="方正仿宋_GBK" w:hAnsi="KaiTi_GB2312" w:eastAsia="方正仿宋_GBK"/>
          <w:bCs/>
          <w:sz w:val="32"/>
          <w:szCs w:val="32"/>
          <w:lang w:eastAsia="zh-CN"/>
        </w:rPr>
        <w:t>教</w:t>
      </w:r>
      <w:r>
        <w:rPr>
          <w:rFonts w:hint="eastAsia" w:ascii="方正仿宋_GBK" w:hAnsi="KaiTi_GB2312" w:eastAsia="方正仿宋_GBK"/>
          <w:bCs/>
          <w:sz w:val="32"/>
          <w:szCs w:val="32"/>
        </w:rPr>
        <w:t>处、总务处、安保处。本年度人员编制４3人，实际在职45人。学生596人。</w:t>
      </w:r>
    </w:p>
    <w:p>
      <w:pPr>
        <w:pStyle w:val="5"/>
        <w:shd w:val="clear" w:color="auto" w:fill="FFFFFF"/>
        <w:spacing w:line="600" w:lineRule="exact"/>
        <w:ind w:left="0" w:leftChars="0" w:firstLine="720" w:firstLineChars="225"/>
        <w:rPr>
          <w:rFonts w:eastAsia="方正楷体_GBK"/>
          <w:sz w:val="32"/>
          <w:szCs w:val="32"/>
        </w:rPr>
      </w:pPr>
      <w:r>
        <w:rPr>
          <w:rFonts w:hint="eastAsia" w:eastAsia="方正楷体_GBK"/>
          <w:sz w:val="32"/>
          <w:szCs w:val="32"/>
        </w:rPr>
        <w:t>（三）单位构成</w:t>
      </w:r>
    </w:p>
    <w:p>
      <w:pPr>
        <w:pStyle w:val="5"/>
        <w:shd w:val="clear" w:color="auto" w:fill="FFFFFF"/>
        <w:spacing w:line="600" w:lineRule="exact"/>
        <w:ind w:left="0" w:leftChars="0" w:firstLine="720" w:firstLineChars="225"/>
        <w:rPr>
          <w:rFonts w:hint="eastAsia" w:ascii="方正仿宋_GBK" w:hAnsi="KaiTi_GB2312" w:eastAsia="方正仿宋_GBK"/>
          <w:bCs/>
          <w:sz w:val="32"/>
          <w:szCs w:val="32"/>
        </w:rPr>
      </w:pPr>
      <w:r>
        <w:rPr>
          <w:rFonts w:hint="eastAsia" w:ascii="方正仿宋_GBK" w:hAnsi="KaiTi_GB2312" w:eastAsia="方正仿宋_GBK"/>
          <w:bCs/>
          <w:sz w:val="32"/>
          <w:szCs w:val="32"/>
        </w:rPr>
        <w:t>从预算单位构成看，无纳入本部门2020年度决算编制的二级预算单位。</w:t>
      </w:r>
    </w:p>
    <w:p>
      <w:pPr>
        <w:pStyle w:val="5"/>
        <w:shd w:val="clear" w:color="auto" w:fill="FFFFFF"/>
        <w:spacing w:line="600" w:lineRule="exact"/>
        <w:ind w:left="0" w:leftChars="0" w:firstLine="720" w:firstLineChars="225"/>
        <w:rPr>
          <w:rStyle w:val="8"/>
          <w:rFonts w:ascii="方正黑体_GBK" w:eastAsia="方正黑体_GBK"/>
          <w:b w:val="0"/>
          <w:sz w:val="32"/>
          <w:szCs w:val="32"/>
        </w:rPr>
      </w:pPr>
      <w:r>
        <w:rPr>
          <w:rStyle w:val="8"/>
          <w:rFonts w:hint="eastAsia" w:ascii="方正黑体_GBK" w:eastAsia="方正黑体_GBK"/>
          <w:b w:val="0"/>
          <w:sz w:val="32"/>
          <w:szCs w:val="32"/>
        </w:rPr>
        <w:t>二、部门决算情况说明</w:t>
      </w:r>
    </w:p>
    <w:p>
      <w:pPr>
        <w:pStyle w:val="5"/>
        <w:shd w:val="clear" w:color="auto" w:fill="FFFFFF"/>
        <w:spacing w:line="600" w:lineRule="exact"/>
        <w:ind w:left="0" w:leftChars="0" w:firstLine="720" w:firstLineChars="225"/>
        <w:rPr>
          <w:rFonts w:eastAsia="方正楷体_GBK"/>
          <w:sz w:val="32"/>
          <w:szCs w:val="32"/>
        </w:rPr>
      </w:pPr>
      <w:r>
        <w:rPr>
          <w:rFonts w:hint="eastAsia" w:eastAsia="方正楷体_GBK"/>
          <w:bCs/>
          <w:sz w:val="32"/>
          <w:szCs w:val="32"/>
        </w:rPr>
        <w:t>（一）收入支出决算总体情况说明</w:t>
      </w:r>
    </w:p>
    <w:p>
      <w:pPr>
        <w:pStyle w:val="5"/>
        <w:shd w:val="clear" w:color="auto" w:fill="FFFFFF"/>
        <w:spacing w:line="600" w:lineRule="exact"/>
        <w:ind w:left="0" w:leftChars="0" w:firstLine="720" w:firstLineChars="225"/>
        <w:rPr>
          <w:rFonts w:hint="eastAsia" w:ascii="方正仿宋_GBK" w:hAnsi="KaiTi_GB2312" w:eastAsia="方正仿宋_GBK"/>
          <w:bCs/>
          <w:sz w:val="32"/>
          <w:szCs w:val="32"/>
        </w:rPr>
      </w:pPr>
      <w:r>
        <w:rPr>
          <w:rFonts w:hint="eastAsia" w:hAnsi="KaiTi_GB2312"/>
          <w:sz w:val="32"/>
          <w:szCs w:val="32"/>
        </w:rPr>
        <w:t>1.总体情况</w:t>
      </w:r>
      <w:r>
        <w:rPr>
          <w:rFonts w:hint="eastAsia" w:ascii="方正仿宋_GBK" w:hAnsi="KaiTi_GB2312" w:eastAsia="方正仿宋_GBK"/>
          <w:bCs/>
          <w:sz w:val="32"/>
          <w:szCs w:val="32"/>
        </w:rPr>
        <w:t>。2020年度收入总计3,011.56万元，支出计3,011.56万元。收支较上年决算数增加1,756.23万元、 增长 139.9%，主要原因是三江街道中心幼儿园由我校承建，我校为业主建设单位，财政投入中央债券资金1500万元，其余256.23万元是人员工资、绩效调增。</w:t>
      </w:r>
    </w:p>
    <w:p>
      <w:pPr>
        <w:pStyle w:val="5"/>
        <w:shd w:val="clear" w:color="auto" w:fill="FFFFFF"/>
        <w:spacing w:line="600" w:lineRule="exact"/>
        <w:ind w:left="0" w:leftChars="0" w:firstLine="720" w:firstLineChars="225"/>
        <w:rPr>
          <w:rFonts w:hint="eastAsia" w:ascii="方正仿宋_GBK" w:hAnsi="KaiTi_GB2312" w:eastAsia="方正仿宋_GBK"/>
          <w:bCs/>
          <w:sz w:val="32"/>
          <w:szCs w:val="32"/>
        </w:rPr>
      </w:pPr>
      <w:r>
        <w:rPr>
          <w:rFonts w:hint="eastAsia" w:hAnsi="KaiTi_GB2312"/>
          <w:sz w:val="32"/>
          <w:szCs w:val="32"/>
        </w:rPr>
        <w:t>2.收入情况。</w:t>
      </w:r>
      <w:r>
        <w:rPr>
          <w:rFonts w:hint="eastAsia" w:ascii="方正仿宋_GBK" w:hAnsi="KaiTi_GB2312" w:eastAsia="方正仿宋_GBK"/>
          <w:bCs/>
          <w:sz w:val="32"/>
          <w:szCs w:val="32"/>
        </w:rPr>
        <w:t>2020年度收入合计2,699.59万元，较上年决算数增加1,593.79万元，增长144.1%，主要原因是三江街道中心幼儿园由我校承建，我校为业主建设单位，财政投入中央债券资金1500万元，其余256.23万元是人员工资、绩效调增。其中：财政拨款收入2,699.59万元，占100%；年初结转和结余311.96万元。</w:t>
      </w:r>
    </w:p>
    <w:p>
      <w:pPr>
        <w:pStyle w:val="5"/>
        <w:shd w:val="clear" w:color="auto" w:fill="FFFFFF"/>
        <w:spacing w:line="600" w:lineRule="exact"/>
        <w:ind w:left="0" w:leftChars="0" w:firstLine="720" w:firstLineChars="225"/>
        <w:rPr>
          <w:rFonts w:hint="eastAsia" w:ascii="方正仿宋_GBK" w:hAnsi="KaiTi_GB2312" w:eastAsia="方正仿宋_GBK"/>
          <w:bCs/>
          <w:sz w:val="32"/>
          <w:szCs w:val="32"/>
        </w:rPr>
      </w:pPr>
      <w:r>
        <w:rPr>
          <w:rFonts w:hint="eastAsia" w:hAnsi="KaiTi_GB2312"/>
          <w:sz w:val="32"/>
          <w:szCs w:val="32"/>
        </w:rPr>
        <w:t>3.支出情况</w:t>
      </w:r>
      <w:r>
        <w:rPr>
          <w:rFonts w:hint="eastAsia" w:hAnsi="KaiTi_GB2312"/>
          <w:b/>
          <w:sz w:val="32"/>
          <w:szCs w:val="32"/>
        </w:rPr>
        <w:t>。</w:t>
      </w:r>
      <w:r>
        <w:rPr>
          <w:rFonts w:hint="eastAsia" w:ascii="方正仿宋_GBK" w:hAnsi="KaiTi_GB2312" w:eastAsia="方正仿宋_GBK"/>
          <w:bCs/>
          <w:sz w:val="32"/>
          <w:szCs w:val="32"/>
        </w:rPr>
        <w:t>2020年度支出合计2,899.18万元，较上年决算数增加1,744.95万元，增长151.2%，主要原因是三江街道中心幼儿园由我校承建，我校为业主建设单位，财政投入中央债券资金1500万元，在本年度支出转入代管资金。其余244.95万元是人员工资、绩效支出。。其中：基本支出 1,295.45万元，占44.7%；项目支出1,603.73万元，占55.3%。</w:t>
      </w:r>
    </w:p>
    <w:p>
      <w:pPr>
        <w:pStyle w:val="5"/>
        <w:shd w:val="clear" w:color="auto" w:fill="FFFFFF"/>
        <w:spacing w:line="600" w:lineRule="exact"/>
        <w:ind w:left="0" w:leftChars="0" w:firstLine="720" w:firstLineChars="225"/>
        <w:rPr>
          <w:rFonts w:hint="eastAsia" w:ascii="方正仿宋_GBK" w:hAnsi="KaiTi_GB2312" w:eastAsia="方正仿宋_GBK"/>
          <w:bCs/>
          <w:sz w:val="32"/>
          <w:szCs w:val="32"/>
        </w:rPr>
      </w:pPr>
      <w:r>
        <w:rPr>
          <w:rFonts w:hint="eastAsia" w:hAnsi="KaiTi_GB2312"/>
          <w:sz w:val="32"/>
          <w:szCs w:val="32"/>
        </w:rPr>
        <w:t>4.结转结余情况。</w:t>
      </w:r>
      <w:r>
        <w:rPr>
          <w:rFonts w:hint="eastAsia" w:ascii="方正仿宋_GBK" w:hAnsi="KaiTi_GB2312" w:eastAsia="方正仿宋_GBK"/>
          <w:bCs/>
          <w:sz w:val="32"/>
          <w:szCs w:val="32"/>
        </w:rPr>
        <w:t>2020年度年末结转和结余112.38万元，较上年决算数增加11.28万元，增长11.2%，主要原因是增加了教师的人员工资，增加了三江街道中心幼儿园建设的前期费用。</w:t>
      </w:r>
    </w:p>
    <w:p>
      <w:pPr>
        <w:pStyle w:val="5"/>
        <w:shd w:val="clear" w:color="auto" w:fill="FFFFFF"/>
        <w:spacing w:line="600" w:lineRule="exact"/>
        <w:ind w:left="0" w:leftChars="0" w:firstLine="720" w:firstLineChars="225"/>
        <w:rPr>
          <w:rFonts w:eastAsia="方正楷体_GBK"/>
          <w:sz w:val="32"/>
          <w:szCs w:val="32"/>
        </w:rPr>
      </w:pPr>
      <w:r>
        <w:rPr>
          <w:rFonts w:hint="eastAsia" w:eastAsia="方正楷体_GBK"/>
          <w:bCs/>
          <w:sz w:val="32"/>
          <w:szCs w:val="32"/>
        </w:rPr>
        <w:t>（二）财政拨款收入支出决算总体情况说明</w:t>
      </w:r>
    </w:p>
    <w:p>
      <w:pPr>
        <w:pStyle w:val="5"/>
        <w:shd w:val="clear" w:color="auto" w:fill="FFFFFF"/>
        <w:spacing w:line="600" w:lineRule="exact"/>
        <w:ind w:left="0" w:leftChars="0" w:firstLine="720" w:firstLineChars="225"/>
        <w:rPr>
          <w:rFonts w:hint="eastAsia" w:ascii="方正仿宋_GBK" w:hAnsi="KaiTi_GB2312" w:eastAsia="方正仿宋_GBK"/>
          <w:bCs/>
          <w:sz w:val="32"/>
          <w:szCs w:val="32"/>
        </w:rPr>
      </w:pPr>
      <w:r>
        <w:rPr>
          <w:rFonts w:hint="eastAsia" w:ascii="方正仿宋_GBK" w:hAnsi="KaiTi_GB2312" w:eastAsia="方正仿宋_GBK"/>
          <w:bCs/>
          <w:sz w:val="32"/>
          <w:szCs w:val="32"/>
        </w:rPr>
        <w:t>2020年度财政拨款收、支总计3,011.56万元。与2019年相比，财政拨款收、支总计各增加1,756.52万 元，增长140%。主要原因是三江街道中心幼儿园由我校承建，我校为业主建设单位，财政投入中央债券资金1500万元。另外教师工资、绩效调标收入支出增加。</w:t>
      </w:r>
    </w:p>
    <w:p>
      <w:pPr>
        <w:pStyle w:val="5"/>
        <w:shd w:val="clear" w:color="auto" w:fill="FFFFFF"/>
        <w:spacing w:line="600" w:lineRule="exact"/>
        <w:ind w:left="0" w:leftChars="0" w:firstLine="720" w:firstLineChars="225"/>
        <w:rPr>
          <w:rFonts w:eastAsia="方正楷体_GBK"/>
          <w:b/>
          <w:bCs/>
          <w:sz w:val="32"/>
          <w:szCs w:val="32"/>
        </w:rPr>
      </w:pPr>
      <w:r>
        <w:rPr>
          <w:rFonts w:hint="eastAsia" w:eastAsia="方正楷体_GBK"/>
          <w:sz w:val="32"/>
          <w:szCs w:val="32"/>
        </w:rPr>
        <w:t>（三）一般公共预算财政拨款支出决算情况说明</w:t>
      </w:r>
    </w:p>
    <w:p>
      <w:pPr>
        <w:pStyle w:val="5"/>
        <w:shd w:val="clear" w:color="auto" w:fill="FFFFFF"/>
        <w:spacing w:line="600" w:lineRule="exact"/>
        <w:ind w:left="0" w:leftChars="0" w:firstLine="720" w:firstLineChars="225"/>
        <w:rPr>
          <w:rFonts w:hint="eastAsia" w:ascii="方正仿宋_GBK" w:hAnsi="KaiTi_GB2312" w:eastAsia="方正仿宋_GBK"/>
          <w:bCs/>
          <w:sz w:val="32"/>
          <w:szCs w:val="32"/>
        </w:rPr>
      </w:pPr>
      <w:r>
        <w:rPr>
          <w:rFonts w:hint="eastAsia" w:hAnsi="KaiTi_GB2312"/>
          <w:sz w:val="32"/>
          <w:szCs w:val="32"/>
        </w:rPr>
        <w:t>1.收入情况。</w:t>
      </w:r>
      <w:r>
        <w:rPr>
          <w:rFonts w:hint="eastAsia" w:ascii="方正仿宋_GBK" w:hAnsi="KaiTi_GB2312" w:eastAsia="方正仿宋_GBK"/>
          <w:bCs/>
          <w:sz w:val="32"/>
          <w:szCs w:val="32"/>
        </w:rPr>
        <w:t>2020年度一般公共预算财政拨款收入1,199.59万元，较上年决算数增加94.08万元，增长8.5%。主要原因是增加了在三江中心幼儿建设的前期费用80万元。较年初预算数增加110.52万元，增长10.1%。主要原因是增加了在三江中心幼儿建设的前期费用80万元)。此外，年初财政拨款结转和结余311.96万元。</w:t>
      </w:r>
    </w:p>
    <w:p>
      <w:pPr>
        <w:pStyle w:val="5"/>
        <w:shd w:val="clear" w:color="auto" w:fill="FFFFFF"/>
        <w:spacing w:line="600" w:lineRule="exact"/>
        <w:ind w:left="0" w:leftChars="0" w:firstLine="720" w:firstLineChars="225"/>
        <w:rPr>
          <w:rFonts w:hint="eastAsia" w:ascii="方正仿宋_GBK" w:hAnsi="KaiTi_GB2312" w:eastAsia="方正仿宋_GBK"/>
          <w:bCs/>
          <w:sz w:val="32"/>
          <w:szCs w:val="32"/>
        </w:rPr>
      </w:pPr>
      <w:r>
        <w:rPr>
          <w:rFonts w:hint="eastAsia" w:hAnsi="KaiTi_GB2312"/>
          <w:sz w:val="32"/>
          <w:szCs w:val="32"/>
        </w:rPr>
        <w:t>2.支出情况。</w:t>
      </w:r>
      <w:r>
        <w:rPr>
          <w:rFonts w:hint="eastAsia" w:ascii="方正仿宋_GBK" w:hAnsi="KaiTi_GB2312" w:eastAsia="方正仿宋_GBK"/>
          <w:bCs/>
          <w:sz w:val="32"/>
          <w:szCs w:val="32"/>
        </w:rPr>
        <w:t>2020年度一般公共预算财政拨款支出1,399.18万元，较上年决算数增加245.24万元，增长21.3%。主要原因是三江中心幼儿园建设的前期费用增加和教师工资、绩效调标增加。较年初预算数 增加209.01万 元，增长17.6%。主要原因是三江中心幼儿园建设的前期费用增加和教师工资、绩效调标增加。。</w:t>
      </w:r>
    </w:p>
    <w:p>
      <w:pPr>
        <w:pStyle w:val="5"/>
        <w:shd w:val="clear" w:color="auto" w:fill="FFFFFF"/>
        <w:spacing w:line="600" w:lineRule="exact"/>
        <w:ind w:left="0" w:leftChars="0" w:firstLine="720" w:firstLineChars="225"/>
        <w:rPr>
          <w:rFonts w:hint="eastAsia" w:ascii="方正仿宋_GBK" w:hAnsi="KaiTi_GB2312" w:eastAsia="方正仿宋_GBK"/>
          <w:bCs/>
          <w:sz w:val="32"/>
          <w:szCs w:val="32"/>
        </w:rPr>
      </w:pPr>
      <w:r>
        <w:rPr>
          <w:rFonts w:hint="eastAsia" w:hAnsi="KaiTi_GB2312"/>
          <w:sz w:val="32"/>
          <w:szCs w:val="32"/>
        </w:rPr>
        <w:t>3.结转结余情况。</w:t>
      </w:r>
      <w:r>
        <w:rPr>
          <w:rFonts w:hint="eastAsia" w:ascii="方正仿宋_GBK" w:hAnsi="KaiTi_GB2312" w:eastAsia="方正仿宋_GBK"/>
          <w:bCs/>
          <w:sz w:val="32"/>
          <w:szCs w:val="32"/>
        </w:rPr>
        <w:t>2020年度年末一般公共预算财政拨款结转和结余112.38万元，较上年决算数增加11.28万元，增长11.2%，主要原因是教师的人员工资结转和三江街道中心幼儿园建设的前期费用结转。。</w:t>
      </w:r>
    </w:p>
    <w:p>
      <w:pPr>
        <w:pStyle w:val="5"/>
        <w:shd w:val="clear" w:color="auto" w:fill="FFFFFF"/>
        <w:spacing w:line="600" w:lineRule="exact"/>
        <w:ind w:left="0" w:leftChars="0" w:firstLine="720" w:firstLineChars="225"/>
        <w:rPr>
          <w:rFonts w:hint="eastAsia" w:ascii="方正仿宋_GBK" w:hAnsi="KaiTi_GB2312" w:eastAsia="方正仿宋_GBK"/>
          <w:bCs/>
          <w:sz w:val="32"/>
          <w:szCs w:val="32"/>
        </w:rPr>
      </w:pPr>
      <w:r>
        <w:rPr>
          <w:rFonts w:hint="eastAsia" w:hAnsi="KaiTi_GB2312"/>
          <w:sz w:val="32"/>
          <w:szCs w:val="32"/>
        </w:rPr>
        <w:t>4.比较情况</w:t>
      </w:r>
      <w:r>
        <w:rPr>
          <w:rFonts w:hint="eastAsia" w:ascii="方正仿宋_GBK" w:hAnsi="KaiTi_GB2312" w:eastAsia="方正仿宋_GBK"/>
          <w:bCs/>
          <w:sz w:val="32"/>
          <w:szCs w:val="32"/>
        </w:rPr>
        <w:t>。本部门2020年度一般公共预算财政拨款支出主要用于以下几个方面：</w:t>
      </w:r>
    </w:p>
    <w:p>
      <w:pPr>
        <w:pStyle w:val="5"/>
        <w:shd w:val="clear" w:color="auto" w:fill="FFFFFF"/>
        <w:spacing w:line="600" w:lineRule="exact"/>
        <w:ind w:left="0" w:leftChars="0" w:firstLine="720" w:firstLineChars="225"/>
        <w:rPr>
          <w:rFonts w:hint="eastAsia" w:ascii="方正仿宋_GBK" w:hAnsi="KaiTi_GB2312" w:eastAsia="方正仿宋_GBK"/>
          <w:bCs/>
          <w:sz w:val="32"/>
          <w:szCs w:val="32"/>
        </w:rPr>
      </w:pPr>
      <w:r>
        <w:rPr>
          <w:rFonts w:hint="eastAsia" w:ascii="方正仿宋_GBK" w:hAnsi="KaiTi_GB2312" w:eastAsia="方正仿宋_GBK"/>
          <w:bCs/>
          <w:sz w:val="32"/>
          <w:szCs w:val="32"/>
        </w:rPr>
        <w:t>（1）教育支出895.00万元，占64%，较年初预算数增加100.78万 元，增长12.7%，主要原因是人员工资调整和超额绩效增加。</w:t>
      </w:r>
    </w:p>
    <w:p>
      <w:pPr>
        <w:pStyle w:val="5"/>
        <w:shd w:val="clear" w:color="auto" w:fill="FFFFFF"/>
        <w:spacing w:line="600" w:lineRule="exact"/>
        <w:ind w:left="0" w:leftChars="0" w:firstLine="720" w:firstLineChars="225"/>
        <w:rPr>
          <w:rFonts w:hint="eastAsia" w:ascii="方正仿宋_GBK" w:hAnsi="KaiTi_GB2312" w:eastAsia="方正仿宋_GBK"/>
          <w:bCs/>
          <w:sz w:val="32"/>
          <w:szCs w:val="32"/>
        </w:rPr>
      </w:pPr>
      <w:r>
        <w:rPr>
          <w:rFonts w:hint="eastAsia" w:ascii="方正仿宋_GBK" w:hAnsi="KaiTi_GB2312" w:eastAsia="方正仿宋_GBK"/>
          <w:bCs/>
          <w:sz w:val="32"/>
          <w:szCs w:val="32"/>
        </w:rPr>
        <w:t>（2）社会保障与就业支出387.66万元，占27.7%，较年初预算数增加125.30万元，增长47.8%，主要原因是人员工资调整和超额绩效增加。</w:t>
      </w:r>
    </w:p>
    <w:p>
      <w:pPr>
        <w:pStyle w:val="5"/>
        <w:shd w:val="clear" w:color="auto" w:fill="FFFFFF"/>
        <w:spacing w:line="600" w:lineRule="exact"/>
        <w:ind w:left="0" w:leftChars="0" w:firstLine="720" w:firstLineChars="225"/>
        <w:rPr>
          <w:rFonts w:hint="eastAsia" w:ascii="方正仿宋_GBK" w:hAnsi="KaiTi_GB2312" w:eastAsia="方正仿宋_GBK"/>
          <w:bCs/>
          <w:sz w:val="32"/>
          <w:szCs w:val="32"/>
        </w:rPr>
      </w:pPr>
      <w:r>
        <w:rPr>
          <w:rFonts w:hint="eastAsia" w:ascii="方正仿宋_GBK" w:hAnsi="KaiTi_GB2312" w:eastAsia="方正仿宋_GBK"/>
          <w:bCs/>
          <w:sz w:val="32"/>
          <w:szCs w:val="32"/>
        </w:rPr>
        <w:t>（3）卫生健康支出63.06万元，占4.5%，较年初预算数减少11.54万 元，下降15.5%，主要原因是人员减少</w:t>
      </w:r>
    </w:p>
    <w:p>
      <w:pPr>
        <w:pStyle w:val="5"/>
        <w:shd w:val="clear" w:color="auto" w:fill="FFFFFF"/>
        <w:spacing w:line="600" w:lineRule="exact"/>
        <w:ind w:left="0" w:leftChars="0" w:firstLine="720" w:firstLineChars="225"/>
        <w:rPr>
          <w:rFonts w:hint="eastAsia" w:ascii="方正仿宋_GBK" w:hAnsi="KaiTi_GB2312" w:eastAsia="方正仿宋_GBK"/>
          <w:bCs/>
          <w:sz w:val="32"/>
          <w:szCs w:val="32"/>
        </w:rPr>
      </w:pPr>
      <w:r>
        <w:rPr>
          <w:rFonts w:hint="eastAsia" w:ascii="方正仿宋_GBK" w:hAnsi="KaiTi_GB2312" w:eastAsia="方正仿宋_GBK"/>
          <w:bCs/>
          <w:sz w:val="32"/>
          <w:szCs w:val="32"/>
        </w:rPr>
        <w:t>（4）住房保障支出53.46万元，占3.8%，较年初预算数减少5.53万 元，下降9.4%，主要原因是人员减少。</w:t>
      </w:r>
    </w:p>
    <w:p>
      <w:pPr>
        <w:pStyle w:val="5"/>
        <w:shd w:val="clear" w:color="auto" w:fill="FFFFFF"/>
        <w:spacing w:line="600" w:lineRule="exact"/>
        <w:ind w:left="0" w:leftChars="0" w:firstLine="720" w:firstLineChars="225"/>
        <w:rPr>
          <w:rFonts w:eastAsia="方正楷体_GBK"/>
          <w:bCs/>
          <w:sz w:val="32"/>
          <w:szCs w:val="32"/>
        </w:rPr>
      </w:pPr>
      <w:r>
        <w:rPr>
          <w:rFonts w:hint="eastAsia" w:eastAsia="方正楷体_GBK"/>
          <w:bCs/>
          <w:sz w:val="32"/>
          <w:szCs w:val="32"/>
        </w:rPr>
        <w:t>（四）一般公共预算财政拨款基本支出决算情况说明</w:t>
      </w:r>
    </w:p>
    <w:p>
      <w:pPr>
        <w:pStyle w:val="5"/>
        <w:shd w:val="clear" w:color="auto" w:fill="FFFFFF"/>
        <w:spacing w:line="600" w:lineRule="exact"/>
        <w:ind w:left="0" w:leftChars="0" w:firstLine="607" w:firstLineChars="225"/>
        <w:rPr>
          <w:rFonts w:hint="eastAsia" w:ascii="方正仿宋_GBK" w:hAnsi="KaiTi_GB2312" w:eastAsia="方正仿宋_GBK"/>
          <w:bCs/>
          <w:sz w:val="32"/>
          <w:szCs w:val="32"/>
        </w:rPr>
      </w:pPr>
      <w:r>
        <w:rPr>
          <w:rFonts w:hint="eastAsia" w:eastAsia="方正仿宋_GBK"/>
          <w:sz w:val="27"/>
          <w:szCs w:val="27"/>
        </w:rPr>
        <w:t> </w:t>
      </w:r>
      <w:r>
        <w:rPr>
          <w:rFonts w:hint="eastAsia" w:ascii="方正仿宋_GBK" w:eastAsia="方正仿宋_GBK"/>
          <w:sz w:val="27"/>
          <w:szCs w:val="27"/>
        </w:rPr>
        <w:t xml:space="preserve"> </w:t>
      </w:r>
      <w:r>
        <w:rPr>
          <w:rFonts w:hint="eastAsia" w:ascii="方正仿宋_GBK" w:hAnsi="KaiTi_GB2312" w:eastAsia="方正仿宋_GBK"/>
          <w:bCs/>
          <w:sz w:val="32"/>
          <w:szCs w:val="32"/>
        </w:rPr>
        <w:t>2020年度一般公共财政拨款基本支出1,295.45万元。其中：人员经费1,223.40万元，较上年决算数增加158.83万 元，增长14.9%，主要原因是人员工资调整和超额绩效增加导致一般公共预算基本支出增长。。人员经费用途主要包括人员经费用途主要包括基本工资、津贴补贴、奖金、绩效工资、社会保障缴费、其他福利支出等。公用经费72.05万元，较上年决算数增加8.04万元，增长12.6%，主要原因是受疫情影响,增加了购买抗疫物资和服务,以及增加改善办学条件等支出。。公用经费用途主要包括办公费、印刷费、培训费、劳务费、工会经费、维修费、水费、电费、邮电费等。</w:t>
      </w:r>
    </w:p>
    <w:p>
      <w:pPr>
        <w:pStyle w:val="5"/>
        <w:shd w:val="clear" w:color="auto" w:fill="FFFFFF"/>
        <w:spacing w:line="600" w:lineRule="exact"/>
        <w:ind w:left="0" w:leftChars="0" w:firstLine="720" w:firstLineChars="225"/>
        <w:rPr>
          <w:rFonts w:eastAsia="方正楷体_GBK"/>
          <w:bCs/>
          <w:sz w:val="32"/>
          <w:szCs w:val="32"/>
        </w:rPr>
      </w:pPr>
      <w:r>
        <w:rPr>
          <w:rFonts w:hint="eastAsia" w:eastAsia="方正楷体_GBK"/>
          <w:bCs/>
          <w:sz w:val="32"/>
          <w:szCs w:val="32"/>
        </w:rPr>
        <w:t>（五）政府性基金预算收支决算情况说明</w:t>
      </w:r>
    </w:p>
    <w:p>
      <w:pPr>
        <w:pStyle w:val="5"/>
        <w:shd w:val="clear" w:color="auto" w:fill="FFFFFF"/>
        <w:spacing w:line="600" w:lineRule="exact"/>
        <w:ind w:left="0" w:leftChars="0" w:firstLine="607" w:firstLineChars="225"/>
        <w:rPr>
          <w:rFonts w:hint="eastAsia" w:ascii="方正仿宋_GBK" w:hAnsi="KaiTi_GB2312" w:eastAsia="方正仿宋_GBK"/>
          <w:bCs/>
          <w:sz w:val="32"/>
          <w:szCs w:val="32"/>
        </w:rPr>
      </w:pPr>
      <w:r>
        <w:rPr>
          <w:rFonts w:hint="eastAsia" w:eastAsia="方正仿宋_GBK"/>
          <w:sz w:val="27"/>
          <w:szCs w:val="27"/>
        </w:rPr>
        <w:t> </w:t>
      </w:r>
      <w:r>
        <w:rPr>
          <w:rFonts w:hint="eastAsia" w:ascii="方正仿宋_GBK" w:eastAsia="方正仿宋_GBK"/>
          <w:sz w:val="27"/>
          <w:szCs w:val="27"/>
        </w:rPr>
        <w:t xml:space="preserve"> </w:t>
      </w:r>
      <w:r>
        <w:rPr>
          <w:rFonts w:hint="eastAsia" w:ascii="方正仿宋_GBK" w:hAnsi="KaiTi_GB2312" w:eastAsia="方正仿宋_GBK"/>
          <w:bCs/>
          <w:sz w:val="32"/>
          <w:szCs w:val="32"/>
        </w:rPr>
        <w:t>2020年度政府性基金预算财政拨款年初结转结余0.00万元，年末结转结余0.00万元。本年收入1,500.00万元，较上年决算数增加1,500.00万元，增长100%，主要原因是承建的三江街道中心幼儿园投入。本年支出1,500.00万元，较上年决算数增加1,500.00万元，增长%，主要原因是承建的三江街道中心幼儿园投入1500万转入财政专户。</w:t>
      </w:r>
    </w:p>
    <w:p>
      <w:pPr>
        <w:spacing w:line="600" w:lineRule="exact"/>
        <w:ind w:left="0" w:leftChars="0" w:firstLine="720" w:firstLineChars="225"/>
        <w:rPr>
          <w:rFonts w:hint="eastAsia" w:ascii="方正仿宋_GBK" w:hAnsi="KaiTi_GB2312" w:eastAsia="方正仿宋_GBK"/>
          <w:bCs/>
          <w:sz w:val="32"/>
          <w:szCs w:val="32"/>
        </w:rPr>
      </w:pPr>
      <w:r>
        <w:rPr>
          <w:rFonts w:hint="eastAsia" w:eastAsia="方正楷体_GBK"/>
          <w:bCs/>
          <w:sz w:val="32"/>
          <w:szCs w:val="32"/>
        </w:rPr>
        <w:t>（六）国有资本经营预算财政拨款支决算情况说明。</w:t>
      </w:r>
      <w:r>
        <w:rPr>
          <w:rFonts w:hint="eastAsia" w:ascii="方正仿宋_GBK" w:eastAsia="方正仿宋_GBK"/>
          <w:sz w:val="27"/>
          <w:szCs w:val="27"/>
        </w:rPr>
        <w:br w:type="textWrapping"/>
      </w:r>
      <w:r>
        <w:rPr>
          <w:rFonts w:hint="eastAsia" w:ascii="方正仿宋_GBK" w:hAnsi="KaiTi_GB2312" w:eastAsia="方正仿宋_GBK"/>
          <w:bCs/>
          <w:sz w:val="32"/>
          <w:szCs w:val="32"/>
        </w:rPr>
        <w:t>     本部门2020年度无国有资本经营预算财政拨款支出。</w:t>
      </w:r>
    </w:p>
    <w:p>
      <w:pPr>
        <w:pStyle w:val="5"/>
        <w:shd w:val="clear" w:color="auto" w:fill="FFFFFF"/>
        <w:spacing w:line="600" w:lineRule="exact"/>
        <w:ind w:left="0" w:leftChars="0" w:firstLine="720" w:firstLineChars="225"/>
        <w:rPr>
          <w:rStyle w:val="8"/>
          <w:rFonts w:ascii="方正黑体_GBK" w:eastAsia="方正黑体_GBK"/>
          <w:b w:val="0"/>
          <w:sz w:val="32"/>
          <w:szCs w:val="32"/>
        </w:rPr>
      </w:pPr>
      <w:r>
        <w:rPr>
          <w:rStyle w:val="8"/>
          <w:rFonts w:hint="eastAsia" w:ascii="方正黑体_GBK" w:eastAsia="方正黑体_GBK"/>
          <w:b w:val="0"/>
          <w:sz w:val="32"/>
          <w:szCs w:val="32"/>
        </w:rPr>
        <w:t>三、“三公”经费情况说明</w:t>
      </w:r>
    </w:p>
    <w:p>
      <w:pPr>
        <w:pStyle w:val="5"/>
        <w:shd w:val="clear" w:color="auto" w:fill="FFFFFF"/>
        <w:spacing w:line="600" w:lineRule="exact"/>
        <w:ind w:left="0" w:leftChars="0" w:firstLine="720" w:firstLineChars="225"/>
        <w:rPr>
          <w:rFonts w:eastAsia="方正楷体_GBK"/>
          <w:sz w:val="32"/>
          <w:szCs w:val="32"/>
        </w:rPr>
      </w:pPr>
      <w:r>
        <w:rPr>
          <w:rFonts w:hint="eastAsia" w:eastAsia="方正楷体_GBK"/>
          <w:bCs/>
          <w:sz w:val="32"/>
          <w:szCs w:val="32"/>
        </w:rPr>
        <w:t>（一）“三公”经费支出总体情况说明</w:t>
      </w:r>
    </w:p>
    <w:p>
      <w:pPr>
        <w:pStyle w:val="5"/>
        <w:shd w:val="clear" w:color="auto" w:fill="FFFFFF"/>
        <w:spacing w:line="600" w:lineRule="exact"/>
        <w:ind w:left="0" w:leftChars="0" w:firstLine="720" w:firstLineChars="225"/>
        <w:rPr>
          <w:rFonts w:hint="eastAsia" w:ascii="方正仿宋_GBK" w:hAnsi="KaiTi_GB2312" w:eastAsia="方正仿宋_GBK"/>
          <w:bCs/>
          <w:sz w:val="32"/>
          <w:szCs w:val="32"/>
        </w:rPr>
      </w:pPr>
      <w:r>
        <w:rPr>
          <w:rFonts w:hint="eastAsia" w:ascii="方正仿宋_GBK" w:hAnsi="KaiTi_GB2312" w:eastAsia="方正仿宋_GBK"/>
          <w:bCs/>
          <w:sz w:val="32"/>
          <w:szCs w:val="32"/>
        </w:rPr>
        <w:t>2020年度“三公”经费支出共计0.00万元,较年初预算数增加0.00万元,与年初预算数持平。主要原因是.年初未安排三公支出预算,也未产生“三公”经费支出。</w:t>
      </w:r>
    </w:p>
    <w:p>
      <w:pPr>
        <w:pStyle w:val="5"/>
        <w:shd w:val="clear" w:color="auto" w:fill="FFFFFF"/>
        <w:spacing w:line="600" w:lineRule="exact"/>
        <w:ind w:left="0" w:leftChars="0" w:firstLine="720" w:firstLineChars="225"/>
        <w:rPr>
          <w:rFonts w:eastAsia="方正楷体_GBK"/>
          <w:sz w:val="32"/>
          <w:szCs w:val="32"/>
        </w:rPr>
      </w:pPr>
      <w:r>
        <w:rPr>
          <w:rFonts w:hint="eastAsia" w:eastAsia="方正楷体_GBK"/>
          <w:bCs/>
          <w:sz w:val="32"/>
          <w:szCs w:val="32"/>
        </w:rPr>
        <w:t>（二）“三公”经费分项支出情况</w:t>
      </w:r>
    </w:p>
    <w:p>
      <w:pPr>
        <w:pStyle w:val="5"/>
        <w:shd w:val="clear" w:color="auto" w:fill="FFFFFF"/>
        <w:spacing w:line="600" w:lineRule="exact"/>
        <w:ind w:left="0" w:leftChars="0" w:firstLine="720" w:firstLineChars="225"/>
        <w:rPr>
          <w:rFonts w:hint="eastAsia" w:ascii="方正仿宋_GBK" w:hAnsi="KaiTi_GB2312" w:eastAsia="方正仿宋_GBK"/>
          <w:bCs/>
          <w:sz w:val="32"/>
          <w:szCs w:val="32"/>
        </w:rPr>
      </w:pPr>
      <w:r>
        <w:rPr>
          <w:rFonts w:hint="eastAsia" w:ascii="方正仿宋_GBK" w:hAnsi="KaiTi_GB2312" w:eastAsia="方正仿宋_GBK"/>
          <w:bCs/>
          <w:sz w:val="32"/>
          <w:szCs w:val="32"/>
        </w:rPr>
        <w:t>本单位2020年度未发生因公出国(境)费用。</w:t>
      </w:r>
    </w:p>
    <w:p>
      <w:pPr>
        <w:pStyle w:val="5"/>
        <w:shd w:val="clear" w:color="auto" w:fill="FFFFFF"/>
        <w:spacing w:line="600" w:lineRule="exact"/>
        <w:ind w:left="0" w:leftChars="0" w:firstLine="720" w:firstLineChars="225"/>
        <w:rPr>
          <w:rFonts w:hint="eastAsia" w:ascii="方正仿宋_GBK" w:hAnsi="KaiTi_GB2312" w:eastAsia="方正仿宋_GBK"/>
          <w:bCs/>
          <w:sz w:val="32"/>
          <w:szCs w:val="32"/>
        </w:rPr>
      </w:pPr>
      <w:r>
        <w:rPr>
          <w:rFonts w:hint="eastAsia" w:ascii="方正仿宋_GBK" w:hAnsi="KaiTi_GB2312" w:eastAsia="方正仿宋_GBK"/>
          <w:bCs/>
          <w:sz w:val="32"/>
          <w:szCs w:val="32"/>
        </w:rPr>
        <w:t>2020年度未发生公务车购置费。。</w:t>
      </w:r>
    </w:p>
    <w:p>
      <w:pPr>
        <w:pStyle w:val="5"/>
        <w:shd w:val="clear" w:color="auto" w:fill="FFFFFF"/>
        <w:spacing w:line="600" w:lineRule="exact"/>
        <w:ind w:left="0" w:leftChars="0" w:firstLine="720" w:firstLineChars="225"/>
        <w:rPr>
          <w:rFonts w:hint="eastAsia" w:ascii="方正仿宋_GBK" w:hAnsi="KaiTi_GB2312" w:eastAsia="方正仿宋_GBK"/>
          <w:bCs/>
          <w:sz w:val="32"/>
          <w:szCs w:val="32"/>
        </w:rPr>
      </w:pPr>
      <w:r>
        <w:rPr>
          <w:rFonts w:hint="eastAsia" w:ascii="方正仿宋_GBK" w:hAnsi="KaiTi_GB2312" w:eastAsia="方正仿宋_GBK"/>
          <w:bCs/>
          <w:sz w:val="32"/>
          <w:szCs w:val="32"/>
        </w:rPr>
        <w:t>本单位2020年度未发生公务车维护费用。</w:t>
      </w:r>
    </w:p>
    <w:p>
      <w:pPr>
        <w:pStyle w:val="5"/>
        <w:shd w:val="clear" w:color="auto" w:fill="FFFFFF"/>
        <w:spacing w:line="600" w:lineRule="exact"/>
        <w:ind w:left="0" w:leftChars="0" w:firstLine="720" w:firstLineChars="225"/>
        <w:rPr>
          <w:rFonts w:hint="eastAsia" w:ascii="方正仿宋_GBK" w:hAnsi="KaiTi_GB2312" w:eastAsia="方正仿宋_GBK"/>
          <w:bCs/>
          <w:sz w:val="32"/>
          <w:szCs w:val="32"/>
        </w:rPr>
      </w:pPr>
      <w:r>
        <w:rPr>
          <w:rFonts w:hint="eastAsia" w:ascii="方正仿宋_GBK" w:hAnsi="KaiTi_GB2312" w:eastAsia="方正仿宋_GBK"/>
          <w:bCs/>
          <w:sz w:val="32"/>
          <w:szCs w:val="32"/>
        </w:rPr>
        <w:t>本单位2020年度未发生公务接持费用。</w:t>
      </w:r>
    </w:p>
    <w:p>
      <w:pPr>
        <w:pStyle w:val="5"/>
        <w:shd w:val="clear" w:color="auto" w:fill="FFFFFF"/>
        <w:spacing w:line="600" w:lineRule="exact"/>
        <w:ind w:left="0" w:leftChars="0" w:firstLine="720" w:firstLineChars="225"/>
        <w:rPr>
          <w:rFonts w:eastAsia="方正楷体_GBK"/>
          <w:sz w:val="32"/>
          <w:szCs w:val="32"/>
        </w:rPr>
      </w:pPr>
      <w:r>
        <w:rPr>
          <w:rFonts w:hint="eastAsia" w:eastAsia="方正楷体_GBK"/>
          <w:bCs/>
          <w:sz w:val="32"/>
          <w:szCs w:val="32"/>
        </w:rPr>
        <w:t>（三）“三公”经费实物量情况</w:t>
      </w:r>
    </w:p>
    <w:p>
      <w:pPr>
        <w:pStyle w:val="5"/>
        <w:shd w:val="clear" w:color="auto" w:fill="FFFFFF"/>
        <w:spacing w:line="600" w:lineRule="exact"/>
        <w:ind w:left="0" w:leftChars="0" w:firstLine="720" w:firstLineChars="225"/>
        <w:rPr>
          <w:rFonts w:hint="eastAsia" w:ascii="方正仿宋_GBK" w:hAnsi="KaiTi_GB2312" w:eastAsia="方正仿宋_GBK"/>
          <w:bCs/>
          <w:sz w:val="32"/>
          <w:szCs w:val="32"/>
        </w:rPr>
      </w:pPr>
      <w:r>
        <w:rPr>
          <w:rFonts w:hint="eastAsia" w:ascii="方正仿宋_GBK" w:hAnsi="KaiTi_GB2312" w:eastAsia="方正仿宋_GBK"/>
          <w:bCs/>
          <w:sz w:val="32"/>
          <w:szCs w:val="32"/>
        </w:rPr>
        <w:t>2020年度本部门因公出国（境）共计0个团组，0人；公务用车购置0辆，公务车保有量为0辆；国内公务接待0批次0人，其中：国内外 事接待0批次，0人；国（境）外公务接待0批次，0人。2020年本部门人均接待费0.00元，车均购置费0.00万元，车均维护费0.00万元。</w:t>
      </w:r>
    </w:p>
    <w:p>
      <w:pPr>
        <w:pStyle w:val="5"/>
        <w:shd w:val="clear" w:color="auto" w:fill="FFFFFF"/>
        <w:spacing w:line="600" w:lineRule="exact"/>
        <w:ind w:left="0" w:leftChars="0" w:firstLine="720" w:firstLineChars="225"/>
        <w:rPr>
          <w:rStyle w:val="8"/>
          <w:rFonts w:ascii="方正黑体_GBK" w:eastAsia="方正黑体_GBK"/>
          <w:b w:val="0"/>
          <w:sz w:val="32"/>
          <w:szCs w:val="32"/>
        </w:rPr>
      </w:pPr>
      <w:r>
        <w:rPr>
          <w:rStyle w:val="8"/>
          <w:rFonts w:hint="eastAsia" w:ascii="方正黑体_GBK" w:eastAsia="方正黑体_GBK"/>
          <w:b w:val="0"/>
          <w:sz w:val="32"/>
          <w:szCs w:val="32"/>
        </w:rPr>
        <w:t>四、其他需要说明的事项</w:t>
      </w:r>
    </w:p>
    <w:p>
      <w:pPr>
        <w:pStyle w:val="5"/>
        <w:shd w:val="clear" w:color="auto" w:fill="FFFFFF"/>
        <w:spacing w:line="600" w:lineRule="exact"/>
        <w:ind w:left="0" w:leftChars="0" w:firstLine="720" w:firstLineChars="225"/>
        <w:rPr>
          <w:rFonts w:eastAsia="方正楷体_GBK"/>
          <w:sz w:val="32"/>
          <w:szCs w:val="32"/>
        </w:rPr>
      </w:pPr>
      <w:r>
        <w:rPr>
          <w:rFonts w:hint="eastAsia" w:eastAsia="方正楷体_GBK"/>
          <w:bCs/>
          <w:sz w:val="32"/>
          <w:szCs w:val="32"/>
        </w:rPr>
        <w:t>（一）机关运行经费情况说明</w:t>
      </w:r>
    </w:p>
    <w:p>
      <w:pPr>
        <w:pStyle w:val="5"/>
        <w:shd w:val="clear" w:color="auto" w:fill="FFFFFF"/>
        <w:spacing w:line="600" w:lineRule="exact"/>
        <w:ind w:left="0" w:leftChars="0" w:firstLine="720" w:firstLineChars="225"/>
        <w:rPr>
          <w:rFonts w:hint="eastAsia" w:ascii="方正仿宋_GBK" w:hAnsi="KaiTi_GB2312" w:eastAsia="方正仿宋_GBK"/>
          <w:bCs/>
          <w:sz w:val="32"/>
          <w:szCs w:val="32"/>
        </w:rPr>
      </w:pPr>
      <w:r>
        <w:rPr>
          <w:rFonts w:hint="eastAsia" w:ascii="方正仿宋_GBK" w:hAnsi="KaiTi_GB2312" w:eastAsia="方正仿宋_GBK"/>
          <w:bCs/>
          <w:sz w:val="32"/>
          <w:szCs w:val="32"/>
        </w:rPr>
        <w:t>按照部门决算列报口径,我单位不在机关运行统计范围之内。</w:t>
      </w:r>
    </w:p>
    <w:p>
      <w:pPr>
        <w:pStyle w:val="5"/>
        <w:shd w:val="clear" w:color="auto" w:fill="FFFFFF"/>
        <w:spacing w:line="600" w:lineRule="exact"/>
        <w:ind w:left="0" w:leftChars="0" w:firstLine="720" w:firstLineChars="225"/>
        <w:rPr>
          <w:rFonts w:hint="eastAsia" w:ascii="方正仿宋_GBK" w:hAnsi="KaiTi_GB2312" w:eastAsia="方正仿宋_GBK"/>
          <w:bCs/>
          <w:sz w:val="32"/>
          <w:szCs w:val="32"/>
        </w:rPr>
      </w:pPr>
      <w:r>
        <w:rPr>
          <w:rFonts w:hint="eastAsia" w:ascii="方正仿宋_GBK" w:hAnsi="KaiTi_GB2312" w:eastAsia="方正仿宋_GBK"/>
          <w:bCs/>
          <w:sz w:val="32"/>
          <w:szCs w:val="32"/>
        </w:rPr>
        <w:t>本年度会议费支出1.01万元，较上年决算数增加0.00万元，增长0%，主要原因是主要原因是认真贯彻落实中央八项规定精神和厉行节约要求,按照只减不增的要求,从严控制“三公”经费本年度培训费支出 。本年度培训费支出 3.52万元，较上年决算数减少0.01万元，下降0.3%，主要原因是因新冠病毒，进行了一些线上培训。</w:t>
      </w:r>
    </w:p>
    <w:p>
      <w:pPr>
        <w:pStyle w:val="5"/>
        <w:shd w:val="clear" w:color="auto" w:fill="FFFFFF"/>
        <w:spacing w:line="600" w:lineRule="exact"/>
        <w:ind w:left="0" w:leftChars="0" w:firstLine="720" w:firstLineChars="225"/>
        <w:rPr>
          <w:rFonts w:eastAsia="方正楷体_GBK"/>
          <w:sz w:val="32"/>
          <w:szCs w:val="32"/>
        </w:rPr>
      </w:pPr>
      <w:r>
        <w:rPr>
          <w:rFonts w:hint="eastAsia" w:eastAsia="方正楷体_GBK"/>
          <w:sz w:val="32"/>
          <w:szCs w:val="32"/>
        </w:rPr>
        <w:t>（二）国有资产占用情况说明</w:t>
      </w:r>
    </w:p>
    <w:p>
      <w:pPr>
        <w:pStyle w:val="5"/>
        <w:shd w:val="clear" w:color="auto" w:fill="FFFFFF"/>
        <w:spacing w:line="600" w:lineRule="exact"/>
        <w:ind w:left="0" w:leftChars="0" w:firstLine="720" w:firstLineChars="225"/>
        <w:rPr>
          <w:rFonts w:hint="eastAsia" w:ascii="方正仿宋_GBK" w:hAnsi="KaiTi_GB2312" w:eastAsia="方正仿宋_GBK"/>
          <w:bCs/>
          <w:sz w:val="32"/>
          <w:szCs w:val="32"/>
        </w:rPr>
      </w:pPr>
      <w:r>
        <w:rPr>
          <w:rFonts w:hint="eastAsia" w:ascii="方正仿宋_GBK" w:hAnsi="KaiTi_GB2312" w:eastAsia="方正仿宋_GBK"/>
          <w:bCs/>
          <w:sz w:val="32"/>
          <w:szCs w:val="32"/>
        </w:rPr>
        <w:t>截至2020年12月31日，本部门共有车辆0辆，其中，副部（省）级及以上领导用车0辆、主要领导干部用车0辆、机要通信用车0辆、应急保障用车0辆、执法执勤用车0辆，特种专业技术用车0辆，离退休干部用车0辆，其他用车0辆。单价50万元（含）以上通用设备0台（套），单价100万元（含）以上专用设备0台（套）。</w:t>
      </w:r>
    </w:p>
    <w:p>
      <w:pPr>
        <w:pStyle w:val="5"/>
        <w:shd w:val="clear" w:color="auto" w:fill="FFFFFF"/>
        <w:spacing w:line="600" w:lineRule="exact"/>
        <w:ind w:left="0" w:leftChars="0" w:firstLine="720" w:firstLineChars="225"/>
        <w:rPr>
          <w:rFonts w:eastAsia="方正楷体_GBK"/>
          <w:sz w:val="32"/>
          <w:szCs w:val="32"/>
        </w:rPr>
      </w:pPr>
      <w:r>
        <w:rPr>
          <w:rFonts w:hint="eastAsia" w:eastAsia="方正楷体_GBK"/>
          <w:bCs/>
          <w:sz w:val="32"/>
          <w:szCs w:val="32"/>
        </w:rPr>
        <w:t>（三）政府采购支出情况说明</w:t>
      </w:r>
    </w:p>
    <w:p>
      <w:pPr>
        <w:pStyle w:val="5"/>
        <w:shd w:val="clear" w:color="auto" w:fill="FFFFFF"/>
        <w:spacing w:line="600" w:lineRule="exact"/>
        <w:ind w:left="0" w:leftChars="0" w:firstLine="720" w:firstLineChars="225"/>
        <w:rPr>
          <w:rFonts w:hint="eastAsia" w:ascii="方正仿宋_GBK" w:hAnsi="KaiTi_GB2312" w:eastAsia="方正仿宋_GBK"/>
          <w:bCs/>
          <w:sz w:val="32"/>
          <w:szCs w:val="32"/>
        </w:rPr>
      </w:pPr>
      <w:r>
        <w:rPr>
          <w:rFonts w:hint="eastAsia" w:ascii="方正仿宋_GBK" w:hAnsi="KaiTi_GB2312" w:eastAsia="方正仿宋_GBK"/>
          <w:bCs/>
          <w:sz w:val="32"/>
          <w:szCs w:val="32"/>
        </w:rPr>
        <w:t>2020年度本部门政府采购支出总额0.00万元，其中：政府采购货物支出0.00万元、政府采购工程支出0.00万元、政府采购服务支出0.00万元。授予中小企业合同金额0.00万元，占政府采购支出总额的%，其中：授予小微企业合同金额 0.00万元，占政府采购支出总额的%。</w:t>
      </w:r>
    </w:p>
    <w:p>
      <w:pPr>
        <w:pStyle w:val="5"/>
        <w:shd w:val="clear" w:color="auto" w:fill="FFFFFF"/>
        <w:spacing w:line="600" w:lineRule="exact"/>
        <w:ind w:left="0" w:leftChars="0" w:firstLine="720" w:firstLineChars="225"/>
        <w:rPr>
          <w:rStyle w:val="8"/>
          <w:rFonts w:ascii="方正黑体_GBK" w:eastAsia="方正黑体_GBK"/>
          <w:b w:val="0"/>
          <w:sz w:val="32"/>
          <w:szCs w:val="32"/>
        </w:rPr>
      </w:pPr>
      <w:r>
        <w:rPr>
          <w:rStyle w:val="8"/>
          <w:rFonts w:hint="eastAsia" w:ascii="方正黑体_GBK" w:eastAsia="方正黑体_GBK"/>
          <w:b w:val="0"/>
          <w:sz w:val="32"/>
          <w:szCs w:val="32"/>
        </w:rPr>
        <w:t>五、预算绩效管理情况说明</w:t>
      </w:r>
    </w:p>
    <w:p>
      <w:pPr>
        <w:pStyle w:val="5"/>
        <w:shd w:val="clear" w:color="auto" w:fill="FFFFFF"/>
        <w:spacing w:line="600" w:lineRule="exact"/>
        <w:ind w:left="0" w:leftChars="0" w:firstLine="720" w:firstLineChars="225"/>
        <w:rPr>
          <w:rFonts w:eastAsia="方正楷体_GBK"/>
          <w:bCs/>
          <w:sz w:val="32"/>
          <w:szCs w:val="32"/>
        </w:rPr>
      </w:pPr>
      <w:r>
        <w:rPr>
          <w:rFonts w:hint="eastAsia" w:eastAsia="方正楷体_GBK"/>
          <w:sz w:val="32"/>
          <w:szCs w:val="32"/>
        </w:rPr>
        <w:t>（一）预算绩效管理工作开展情况</w:t>
      </w:r>
    </w:p>
    <w:p>
      <w:pPr>
        <w:pStyle w:val="5"/>
        <w:shd w:val="clear" w:color="auto" w:fill="FFFFFF"/>
        <w:spacing w:line="600" w:lineRule="exact"/>
        <w:ind w:left="0" w:leftChars="0" w:firstLine="720" w:firstLineChars="225"/>
        <w:rPr>
          <w:rFonts w:hint="eastAsia" w:ascii="方正仿宋_GBK" w:hAnsi="KaiTi_GB2312" w:eastAsia="方正仿宋_GBK"/>
          <w:bCs/>
          <w:sz w:val="32"/>
          <w:szCs w:val="32"/>
        </w:rPr>
      </w:pPr>
      <w:r>
        <w:rPr>
          <w:rFonts w:hint="eastAsia" w:ascii="方正仿宋_GBK" w:hAnsi="KaiTi_GB2312" w:eastAsia="方正仿宋_GBK"/>
          <w:bCs/>
          <w:sz w:val="32"/>
          <w:szCs w:val="32"/>
        </w:rPr>
        <w:t>根据预算绩效管理要求,本单位对14个项目开展了绩效自评,涉及资金1670.3702万元;从评价情况来看,项目立项较为规范,绩效目标明确,预算编制合理,管理科学规范,资金到位及时,总体完成情况较好。现将有关开展情况汇报如下:一是各级领导高度重视预算绩效管理工作;二是合理选择项目、合理分配资金使有限的财政资金发挥更大的效益;三是通过开展预算资金绩效评价,健全了项目资金的核算与管理,逐步形成自我约束,内部规范的良性机制;四是预算绩效评价,提高了管理水平和资金的使用效益。</w:t>
      </w:r>
    </w:p>
    <w:p>
      <w:pPr>
        <w:pStyle w:val="5"/>
        <w:shd w:val="clear" w:color="auto" w:fill="FFFFFF"/>
        <w:spacing w:line="600" w:lineRule="exact"/>
        <w:ind w:left="0" w:leftChars="0" w:firstLine="720" w:firstLineChars="225"/>
        <w:rPr>
          <w:rFonts w:eastAsia="方正楷体_GBK"/>
          <w:bCs/>
          <w:sz w:val="32"/>
          <w:szCs w:val="32"/>
        </w:rPr>
      </w:pPr>
      <w:r>
        <w:rPr>
          <w:rFonts w:hint="eastAsia" w:eastAsia="方正楷体_GBK"/>
          <w:sz w:val="32"/>
          <w:szCs w:val="32"/>
        </w:rPr>
        <w:t>（二）绩效自评结果</w:t>
      </w:r>
    </w:p>
    <w:p>
      <w:pPr>
        <w:ind w:left="0" w:leftChars="0" w:firstLine="720" w:firstLineChars="225"/>
        <w:rPr>
          <w:rFonts w:hint="eastAsia" w:ascii="方正仿宋_GBK" w:hAnsi="KaiTi_GB2312" w:eastAsia="方正仿宋_GBK"/>
          <w:bCs/>
          <w:sz w:val="32"/>
          <w:szCs w:val="32"/>
        </w:rPr>
      </w:pPr>
      <w:r>
        <w:rPr>
          <w:rFonts w:hint="eastAsia" w:ascii="方正仿宋_GBK" w:hAnsi="KaiTi_GB2312" w:eastAsia="方正仿宋_GBK"/>
          <w:bCs/>
          <w:sz w:val="32"/>
          <w:szCs w:val="32"/>
        </w:rPr>
        <w:t>1.绩效自评表</w:t>
      </w:r>
    </w:p>
    <w:p>
      <w:bookmarkStart w:id="0" w:name="_GoBack"/>
      <w:r>
        <w:rPr>
          <w:rFonts w:hint="eastAsia"/>
        </w:rPr>
        <w:drawing>
          <wp:inline distT="0" distB="0" distL="0" distR="0">
            <wp:extent cx="5803900" cy="7210425"/>
            <wp:effectExtent l="0" t="0" r="6350" b="9525"/>
            <wp:docPr id="5" name="图片 4" descr="C:\Users\Administrator\我的图片\工作簿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descr="C:\Users\Administrator\我的图片\工作簿1.jpg"/>
                    <pic:cNvPicPr>
                      <a:picLocks noChangeAspect="1" noChangeArrowheads="1"/>
                    </pic:cNvPicPr>
                  </pic:nvPicPr>
                  <pic:blipFill>
                    <a:blip r:embed="rId4"/>
                    <a:srcRect/>
                    <a:stretch>
                      <a:fillRect/>
                    </a:stretch>
                  </pic:blipFill>
                  <pic:spPr>
                    <a:xfrm>
                      <a:off x="0" y="0"/>
                      <a:ext cx="5803900" cy="7210425"/>
                    </a:xfrm>
                    <a:prstGeom prst="rect">
                      <a:avLst/>
                    </a:prstGeom>
                    <a:noFill/>
                    <a:ln w="9525">
                      <a:noFill/>
                      <a:miter lim="800000"/>
                      <a:headEnd/>
                      <a:tailEnd/>
                    </a:ln>
                  </pic:spPr>
                </pic:pic>
              </a:graphicData>
            </a:graphic>
          </wp:inline>
        </w:drawing>
      </w:r>
      <w:bookmarkEnd w:id="0"/>
    </w:p>
    <w:p>
      <w:pPr>
        <w:ind w:left="0" w:leftChars="0" w:firstLine="540" w:firstLineChars="225"/>
      </w:pPr>
      <w:r>
        <w:rPr>
          <w:rFonts w:hint="eastAsia"/>
        </w:rPr>
        <w:drawing>
          <wp:inline distT="0" distB="0" distL="0" distR="0">
            <wp:extent cx="5274945" cy="6793865"/>
            <wp:effectExtent l="19050" t="0" r="1905" b="0"/>
            <wp:docPr id="7" name="图片 6" descr="C:\Users\Administrator\我的图片\附件1--2020年（三江一小）项目绩效自评及自评汇总表.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descr="C:\Users\Administrator\我的图片\附件1--2020年（三江一小）项目绩效自评及自评汇总表.jpg"/>
                    <pic:cNvPicPr>
                      <a:picLocks noChangeAspect="1" noChangeArrowheads="1"/>
                    </pic:cNvPicPr>
                  </pic:nvPicPr>
                  <pic:blipFill>
                    <a:blip r:embed="rId5"/>
                    <a:srcRect/>
                    <a:stretch>
                      <a:fillRect/>
                    </a:stretch>
                  </pic:blipFill>
                  <pic:spPr>
                    <a:xfrm>
                      <a:off x="0" y="0"/>
                      <a:ext cx="5274945" cy="6794359"/>
                    </a:xfrm>
                    <a:prstGeom prst="rect">
                      <a:avLst/>
                    </a:prstGeom>
                    <a:noFill/>
                    <a:ln w="9525">
                      <a:noFill/>
                      <a:miter lim="800000"/>
                      <a:headEnd/>
                      <a:tailEnd/>
                    </a:ln>
                  </pic:spPr>
                </pic:pic>
              </a:graphicData>
            </a:graphic>
          </wp:inline>
        </w:drawing>
      </w:r>
    </w:p>
    <w:p>
      <w:pPr>
        <w:ind w:left="0" w:leftChars="0" w:firstLine="540" w:firstLineChars="225"/>
      </w:pPr>
      <w:r>
        <w:rPr>
          <w:rFonts w:hint="eastAsia"/>
        </w:rPr>
        <w:drawing>
          <wp:inline distT="0" distB="0" distL="0" distR="0">
            <wp:extent cx="5274945" cy="6942455"/>
            <wp:effectExtent l="19050" t="0" r="1905" b="0"/>
            <wp:docPr id="8" name="图片 7" descr="C:\Users\Administrator\我的图片\附件1--2020年（三江一小）项目绩效自评及自评汇总表_A2J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descr="C:\Users\Administrator\我的图片\附件1--2020年（三江一小）项目绩效自评及自评汇总表_A2J22.jpg"/>
                    <pic:cNvPicPr>
                      <a:picLocks noChangeAspect="1" noChangeArrowheads="1"/>
                    </pic:cNvPicPr>
                  </pic:nvPicPr>
                  <pic:blipFill>
                    <a:blip r:embed="rId6"/>
                    <a:srcRect/>
                    <a:stretch>
                      <a:fillRect/>
                    </a:stretch>
                  </pic:blipFill>
                  <pic:spPr>
                    <a:xfrm>
                      <a:off x="0" y="0"/>
                      <a:ext cx="5274945" cy="6942817"/>
                    </a:xfrm>
                    <a:prstGeom prst="rect">
                      <a:avLst/>
                    </a:prstGeom>
                    <a:noFill/>
                    <a:ln w="9525">
                      <a:noFill/>
                      <a:miter lim="800000"/>
                      <a:headEnd/>
                      <a:tailEnd/>
                    </a:ln>
                  </pic:spPr>
                </pic:pic>
              </a:graphicData>
            </a:graphic>
          </wp:inline>
        </w:drawing>
      </w:r>
    </w:p>
    <w:p>
      <w:pPr>
        <w:pStyle w:val="5"/>
        <w:shd w:val="clear" w:color="auto" w:fill="FFFFFF"/>
        <w:spacing w:line="600" w:lineRule="exact"/>
        <w:ind w:left="0" w:leftChars="0" w:firstLine="610" w:firstLineChars="225"/>
        <w:rPr>
          <w:rStyle w:val="8"/>
          <w:rFonts w:ascii="方正仿宋_GBK" w:eastAsia="方正仿宋_GBK"/>
          <w:sz w:val="27"/>
          <w:szCs w:val="27"/>
        </w:rPr>
      </w:pPr>
      <w:r>
        <w:rPr>
          <w:rFonts w:hint="eastAsia" w:ascii="方正仿宋_GBK" w:eastAsia="方正仿宋_GBK"/>
          <w:b/>
          <w:bCs/>
          <w:sz w:val="27"/>
          <w:szCs w:val="27"/>
        </w:rPr>
        <w:drawing>
          <wp:inline distT="0" distB="0" distL="0" distR="0">
            <wp:extent cx="5274945" cy="8107680"/>
            <wp:effectExtent l="19050" t="0" r="1905" b="0"/>
            <wp:docPr id="9" name="图片 8" descr="C:\Users\Administrator\我的图片\附件1--2020年（三江一小）项目绩效自评及自评汇总表.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descr="C:\Users\Administrator\我的图片\附件1--2020年（三江一小）项目绩效自评及自评汇总表.jpg"/>
                    <pic:cNvPicPr>
                      <a:picLocks noChangeAspect="1" noChangeArrowheads="1"/>
                    </pic:cNvPicPr>
                  </pic:nvPicPr>
                  <pic:blipFill>
                    <a:blip r:embed="rId7"/>
                    <a:srcRect/>
                    <a:stretch>
                      <a:fillRect/>
                    </a:stretch>
                  </pic:blipFill>
                  <pic:spPr>
                    <a:xfrm>
                      <a:off x="0" y="0"/>
                      <a:ext cx="5274945" cy="8107786"/>
                    </a:xfrm>
                    <a:prstGeom prst="rect">
                      <a:avLst/>
                    </a:prstGeom>
                    <a:noFill/>
                    <a:ln w="9525">
                      <a:noFill/>
                      <a:miter lim="800000"/>
                      <a:headEnd/>
                      <a:tailEnd/>
                    </a:ln>
                  </pic:spPr>
                </pic:pic>
              </a:graphicData>
            </a:graphic>
          </wp:inline>
        </w:drawing>
      </w:r>
    </w:p>
    <w:p>
      <w:pPr>
        <w:pStyle w:val="5"/>
        <w:shd w:val="clear" w:color="auto" w:fill="FFFFFF"/>
        <w:spacing w:line="600" w:lineRule="exact"/>
        <w:ind w:left="0" w:leftChars="0" w:firstLine="720" w:firstLineChars="225"/>
        <w:rPr>
          <w:rFonts w:hint="eastAsia" w:ascii="方正仿宋_GBK" w:hAnsi="KaiTi_GB2312" w:eastAsia="方正仿宋_GBK"/>
          <w:bCs/>
          <w:sz w:val="32"/>
          <w:szCs w:val="32"/>
        </w:rPr>
      </w:pPr>
      <w:r>
        <w:rPr>
          <w:rFonts w:hint="eastAsia" w:ascii="方正仿宋_GBK" w:hAnsi="KaiTi_GB2312" w:eastAsia="方正仿宋_GBK"/>
          <w:bCs/>
          <w:sz w:val="32"/>
          <w:szCs w:val="32"/>
        </w:rPr>
        <w:t>2.绩效自评报告或案例</w:t>
      </w:r>
    </w:p>
    <w:p>
      <w:pPr>
        <w:pStyle w:val="5"/>
        <w:shd w:val="clear" w:color="auto" w:fill="FFFFFF"/>
        <w:spacing w:line="600" w:lineRule="exact"/>
        <w:ind w:left="0" w:leftChars="0" w:firstLine="720" w:firstLineChars="225"/>
        <w:rPr>
          <w:rFonts w:hint="eastAsia" w:ascii="方正仿宋_GBK" w:hAnsi="KaiTi_GB2312" w:eastAsia="方正仿宋_GBK"/>
          <w:bCs/>
          <w:sz w:val="32"/>
          <w:szCs w:val="32"/>
        </w:rPr>
      </w:pPr>
      <w:r>
        <w:rPr>
          <w:rFonts w:hint="eastAsia" w:ascii="方正仿宋_GBK" w:hAnsi="KaiTi_GB2312" w:eastAsia="方正仿宋_GBK"/>
          <w:bCs/>
          <w:sz w:val="32"/>
          <w:szCs w:val="32"/>
        </w:rPr>
        <w:t>我单位未委托第三方开展绩效自评</w:t>
      </w:r>
    </w:p>
    <w:p>
      <w:pPr>
        <w:pStyle w:val="5"/>
        <w:shd w:val="clear" w:color="auto" w:fill="FFFFFF"/>
        <w:spacing w:line="600" w:lineRule="exact"/>
        <w:ind w:left="0" w:leftChars="0" w:firstLine="723" w:firstLineChars="225"/>
        <w:rPr>
          <w:rFonts w:eastAsia="方正楷体_GBK"/>
          <w:bCs/>
          <w:sz w:val="32"/>
          <w:szCs w:val="32"/>
        </w:rPr>
      </w:pPr>
      <w:r>
        <w:rPr>
          <w:rFonts w:hint="eastAsia" w:eastAsia="方正楷体_GBK"/>
          <w:b/>
          <w:sz w:val="32"/>
          <w:szCs w:val="32"/>
        </w:rPr>
        <w:t>（三）重点绩效评价结果</w:t>
      </w:r>
    </w:p>
    <w:p>
      <w:pPr>
        <w:pStyle w:val="5"/>
        <w:shd w:val="clear" w:color="auto" w:fill="FFFFFF"/>
        <w:spacing w:line="600" w:lineRule="exact"/>
        <w:ind w:left="0" w:leftChars="0" w:firstLine="720" w:firstLineChars="225"/>
        <w:rPr>
          <w:rFonts w:hint="eastAsia" w:ascii="方正仿宋_GBK" w:hAnsi="KaiTi_GB2312" w:eastAsia="方正仿宋_GBK"/>
          <w:bCs/>
          <w:sz w:val="32"/>
          <w:szCs w:val="32"/>
        </w:rPr>
      </w:pPr>
      <w:r>
        <w:rPr>
          <w:rFonts w:hint="eastAsia" w:ascii="方正仿宋_GBK" w:hAnsi="KaiTi_GB2312" w:eastAsia="方正仿宋_GBK"/>
          <w:bCs/>
          <w:sz w:val="32"/>
          <w:szCs w:val="32"/>
        </w:rPr>
        <w:t>我单位未委托第三方开展重点绩效自评。</w:t>
      </w:r>
    </w:p>
    <w:p>
      <w:pPr>
        <w:pStyle w:val="5"/>
        <w:shd w:val="clear" w:color="auto" w:fill="FFFFFF"/>
        <w:spacing w:line="600" w:lineRule="exact"/>
        <w:ind w:left="0" w:leftChars="0" w:firstLine="723" w:firstLineChars="225"/>
        <w:rPr>
          <w:rStyle w:val="8"/>
          <w:rFonts w:ascii="方正黑体_GBK" w:eastAsia="方正黑体_GBK"/>
          <w:sz w:val="32"/>
          <w:szCs w:val="32"/>
        </w:rPr>
      </w:pPr>
      <w:r>
        <w:rPr>
          <w:rStyle w:val="8"/>
          <w:rFonts w:hint="eastAsia" w:ascii="方正黑体_GBK" w:eastAsia="方正黑体_GBK"/>
          <w:sz w:val="32"/>
          <w:szCs w:val="32"/>
        </w:rPr>
        <w:t>六、专业名词解释</w:t>
      </w:r>
    </w:p>
    <w:p>
      <w:pPr>
        <w:pStyle w:val="5"/>
        <w:shd w:val="clear" w:color="auto" w:fill="FFFFFF"/>
        <w:spacing w:line="600" w:lineRule="exact"/>
        <w:ind w:left="0" w:leftChars="0" w:firstLine="610" w:firstLineChars="225"/>
        <w:rPr>
          <w:rFonts w:hint="eastAsia" w:ascii="方正仿宋_GBK" w:hAnsi="KaiTi_GB2312" w:eastAsia="方正仿宋_GBK"/>
          <w:bCs/>
          <w:sz w:val="32"/>
          <w:szCs w:val="32"/>
        </w:rPr>
      </w:pPr>
      <w:r>
        <w:rPr>
          <w:rStyle w:val="8"/>
          <w:rFonts w:hint="eastAsia" w:ascii="方正仿宋_GBK" w:eastAsia="方正仿宋_GBK"/>
          <w:sz w:val="27"/>
          <w:szCs w:val="27"/>
        </w:rPr>
        <w:t>（一）财政拨款收入</w:t>
      </w:r>
      <w:r>
        <w:rPr>
          <w:rFonts w:hint="eastAsia" w:ascii="方正仿宋_GBK" w:eastAsia="方正仿宋_GBK"/>
          <w:sz w:val="27"/>
          <w:szCs w:val="27"/>
        </w:rPr>
        <w:t>：</w:t>
      </w:r>
      <w:r>
        <w:rPr>
          <w:rFonts w:hint="eastAsia" w:ascii="方正仿宋_GBK" w:hAnsi="KaiTi_GB2312" w:eastAsia="方正仿宋_GBK"/>
          <w:bCs/>
          <w:sz w:val="32"/>
          <w:szCs w:val="32"/>
        </w:rPr>
        <w:t>指本年度从本级财政部门取得的财政拨款，包括一般公共预算财政拨款和政府性基金预算财政拨款。</w:t>
      </w:r>
    </w:p>
    <w:p>
      <w:pPr>
        <w:pStyle w:val="5"/>
        <w:shd w:val="clear" w:color="auto" w:fill="FFFFFF"/>
        <w:spacing w:line="600" w:lineRule="exact"/>
        <w:ind w:left="0" w:leftChars="0" w:firstLine="610" w:firstLineChars="225"/>
        <w:rPr>
          <w:rFonts w:hint="eastAsia" w:ascii="方正仿宋_GBK" w:hAnsi="KaiTi_GB2312" w:eastAsia="方正仿宋_GBK"/>
          <w:bCs/>
          <w:sz w:val="32"/>
          <w:szCs w:val="32"/>
        </w:rPr>
      </w:pPr>
      <w:r>
        <w:rPr>
          <w:rStyle w:val="8"/>
          <w:rFonts w:hint="eastAsia" w:ascii="方正仿宋_GBK" w:eastAsia="方正仿宋_GBK"/>
          <w:sz w:val="27"/>
          <w:szCs w:val="27"/>
        </w:rPr>
        <w:t>（二）事业收入</w:t>
      </w:r>
      <w:r>
        <w:rPr>
          <w:rFonts w:hint="eastAsia" w:ascii="方正仿宋_GBK" w:eastAsia="方正仿宋_GBK"/>
          <w:sz w:val="27"/>
          <w:szCs w:val="27"/>
        </w:rPr>
        <w:t>：</w:t>
      </w:r>
      <w:r>
        <w:rPr>
          <w:rFonts w:hint="eastAsia" w:ascii="方正仿宋_GBK" w:hAnsi="KaiTi_GB2312" w:eastAsia="方正仿宋_GBK"/>
          <w:bCs/>
          <w:sz w:val="32"/>
          <w:szCs w:val="32"/>
        </w:rPr>
        <w:t>指事业单位开展专业业务活动及其辅助活动取得的现金流入；事业单位收到的财政专户实际核拨的教育收费等资金在此反映。</w:t>
      </w:r>
    </w:p>
    <w:p>
      <w:pPr>
        <w:pStyle w:val="5"/>
        <w:shd w:val="clear" w:color="auto" w:fill="FFFFFF"/>
        <w:spacing w:line="600" w:lineRule="exact"/>
        <w:ind w:left="0" w:leftChars="0" w:firstLine="610" w:firstLineChars="225"/>
        <w:rPr>
          <w:rFonts w:hint="eastAsia" w:ascii="方正仿宋_GBK" w:hAnsi="KaiTi_GB2312" w:eastAsia="方正仿宋_GBK"/>
          <w:bCs/>
          <w:sz w:val="32"/>
          <w:szCs w:val="32"/>
        </w:rPr>
      </w:pPr>
      <w:r>
        <w:rPr>
          <w:rStyle w:val="8"/>
          <w:rFonts w:hint="eastAsia" w:ascii="方正仿宋_GBK" w:eastAsia="方正仿宋_GBK"/>
          <w:sz w:val="27"/>
          <w:szCs w:val="27"/>
        </w:rPr>
        <w:t>（三）经营收入</w:t>
      </w:r>
      <w:r>
        <w:rPr>
          <w:rFonts w:hint="eastAsia" w:ascii="方正仿宋_GBK" w:eastAsia="方正仿宋_GBK"/>
          <w:sz w:val="27"/>
          <w:szCs w:val="27"/>
        </w:rPr>
        <w:t>：</w:t>
      </w:r>
      <w:r>
        <w:rPr>
          <w:rFonts w:hint="eastAsia" w:ascii="方正仿宋_GBK" w:hAnsi="KaiTi_GB2312" w:eastAsia="方正仿宋_GBK"/>
          <w:bCs/>
          <w:sz w:val="32"/>
          <w:szCs w:val="32"/>
        </w:rPr>
        <w:t>指事业单位在专业业务活动及其辅助活动之外开展非独立核算经营活动取得的现金流入。</w:t>
      </w:r>
    </w:p>
    <w:p>
      <w:pPr>
        <w:pStyle w:val="5"/>
        <w:shd w:val="clear" w:color="auto" w:fill="FFFFFF"/>
        <w:spacing w:line="600" w:lineRule="exact"/>
        <w:ind w:left="0" w:leftChars="0" w:firstLine="610" w:firstLineChars="225"/>
        <w:rPr>
          <w:rFonts w:hint="eastAsia" w:ascii="方正仿宋_GBK" w:hAnsi="KaiTi_GB2312" w:eastAsia="方正仿宋_GBK"/>
          <w:bCs/>
          <w:sz w:val="32"/>
          <w:szCs w:val="32"/>
        </w:rPr>
      </w:pPr>
      <w:r>
        <w:rPr>
          <w:rStyle w:val="8"/>
          <w:rFonts w:hint="eastAsia" w:ascii="方正仿宋_GBK" w:eastAsia="方正仿宋_GBK"/>
          <w:sz w:val="27"/>
          <w:szCs w:val="27"/>
        </w:rPr>
        <w:t>（四）其他收入</w:t>
      </w:r>
      <w:r>
        <w:rPr>
          <w:rFonts w:hint="eastAsia" w:ascii="方正仿宋_GBK" w:eastAsia="方正仿宋_GBK"/>
          <w:sz w:val="27"/>
          <w:szCs w:val="27"/>
        </w:rPr>
        <w:t>：</w:t>
      </w:r>
      <w:r>
        <w:rPr>
          <w:rFonts w:hint="eastAsia" w:ascii="方正仿宋_GBK" w:hAnsi="KaiTi_GB2312" w:eastAsia="方正仿宋_GBK"/>
          <w:bCs/>
          <w:sz w:val="32"/>
          <w:szCs w:val="32"/>
        </w:rPr>
        <w:t>指单位取得的除“财政拨款收入”、“事业收入”、“经营收入”等以外的收入，包括未纳入财政预算或财政专户管理的投资收益、银行存款利息收入、租金收入、捐赠收入，现金盘盈收入、存货盘盈收入、收回已核销的应收及预付款项、无法偿付的应付及预收款项等。各单位从本级财政部门以外的同级单位取得的经费、从非</w:t>
      </w:r>
      <w:r>
        <w:rPr>
          <w:rFonts w:hint="eastAsia" w:ascii="方正仿宋_GBK" w:eastAsia="方正仿宋_GBK"/>
          <w:sz w:val="27"/>
          <w:szCs w:val="27"/>
        </w:rPr>
        <w:t>本</w:t>
      </w:r>
      <w:r>
        <w:rPr>
          <w:rFonts w:hint="eastAsia" w:ascii="方正仿宋_GBK" w:hAnsi="KaiTi_GB2312" w:eastAsia="方正仿宋_GBK"/>
          <w:bCs/>
          <w:sz w:val="32"/>
          <w:szCs w:val="32"/>
        </w:rPr>
        <w:t>级财政部门取得的经费，以及行政单位收到的财政专户管理资金反映在本项内。</w:t>
      </w:r>
    </w:p>
    <w:p>
      <w:pPr>
        <w:pStyle w:val="5"/>
        <w:shd w:val="clear" w:color="auto" w:fill="FFFFFF"/>
        <w:spacing w:line="600" w:lineRule="exact"/>
        <w:ind w:left="0" w:leftChars="0" w:firstLine="610" w:firstLineChars="225"/>
        <w:rPr>
          <w:rFonts w:hint="eastAsia" w:ascii="方正仿宋_GBK" w:hAnsi="KaiTi_GB2312" w:eastAsia="方正仿宋_GBK"/>
          <w:bCs/>
          <w:sz w:val="32"/>
          <w:szCs w:val="32"/>
        </w:rPr>
      </w:pPr>
      <w:r>
        <w:rPr>
          <w:rStyle w:val="8"/>
          <w:rFonts w:hint="eastAsia" w:ascii="方正仿宋_GBK" w:eastAsia="方正仿宋_GBK"/>
          <w:sz w:val="27"/>
          <w:szCs w:val="27"/>
        </w:rPr>
        <w:t>（五）使用非财政拨款结余</w:t>
      </w:r>
      <w:r>
        <w:rPr>
          <w:rFonts w:hint="eastAsia" w:ascii="方正仿宋_GBK" w:eastAsia="方正仿宋_GBK"/>
          <w:sz w:val="27"/>
          <w:szCs w:val="27"/>
        </w:rPr>
        <w:t>：</w:t>
      </w:r>
      <w:r>
        <w:rPr>
          <w:rFonts w:hint="eastAsia" w:ascii="方正仿宋_GBK" w:hAnsi="KaiTi_GB2312" w:eastAsia="方正仿宋_GBK"/>
          <w:bCs/>
          <w:sz w:val="32"/>
          <w:szCs w:val="32"/>
        </w:rPr>
        <w:t>指单位在当年的“财政拨款收入”、“事业收入”、“经营收入”、“其他收入”等不足以安排当年支出的情况下，使用以前年度积累的非财政拨款结余弥补本年度收支缺口的资金。</w:t>
      </w:r>
    </w:p>
    <w:p>
      <w:pPr>
        <w:pStyle w:val="5"/>
        <w:shd w:val="clear" w:color="auto" w:fill="FFFFFF"/>
        <w:spacing w:line="600" w:lineRule="exact"/>
        <w:ind w:left="0" w:leftChars="0" w:firstLine="610" w:firstLineChars="225"/>
        <w:rPr>
          <w:rFonts w:hint="eastAsia" w:ascii="方正仿宋_GBK" w:hAnsi="KaiTi_GB2312" w:eastAsia="方正仿宋_GBK"/>
          <w:bCs/>
          <w:sz w:val="32"/>
          <w:szCs w:val="32"/>
        </w:rPr>
      </w:pPr>
      <w:r>
        <w:rPr>
          <w:rStyle w:val="8"/>
          <w:rFonts w:hint="eastAsia" w:ascii="方正仿宋_GBK" w:eastAsia="方正仿宋_GBK"/>
          <w:sz w:val="27"/>
          <w:szCs w:val="27"/>
        </w:rPr>
        <w:t>（六）年初结转和结余</w:t>
      </w:r>
      <w:r>
        <w:rPr>
          <w:rFonts w:hint="eastAsia" w:ascii="方正仿宋_GBK" w:eastAsia="方正仿宋_GBK"/>
          <w:sz w:val="27"/>
          <w:szCs w:val="27"/>
        </w:rPr>
        <w:t>：</w:t>
      </w:r>
      <w:r>
        <w:rPr>
          <w:rFonts w:hint="eastAsia" w:ascii="方正仿宋_GBK" w:hAnsi="KaiTi_GB2312" w:eastAsia="方正仿宋_GBK"/>
          <w:bCs/>
          <w:sz w:val="32"/>
          <w:szCs w:val="32"/>
        </w:rPr>
        <w:t>指单位上年结转本年使用的基本支出结转、项目支出结转和结余、经营结余。</w:t>
      </w:r>
    </w:p>
    <w:p>
      <w:pPr>
        <w:pStyle w:val="5"/>
        <w:shd w:val="clear" w:color="auto" w:fill="FFFFFF"/>
        <w:spacing w:line="600" w:lineRule="exact"/>
        <w:ind w:left="0" w:leftChars="0" w:firstLine="610" w:firstLineChars="225"/>
        <w:rPr>
          <w:rFonts w:hint="eastAsia" w:ascii="方正仿宋_GBK" w:hAnsi="KaiTi_GB2312" w:eastAsia="方正仿宋_GBK"/>
          <w:bCs/>
          <w:sz w:val="32"/>
          <w:szCs w:val="32"/>
        </w:rPr>
      </w:pPr>
      <w:r>
        <w:rPr>
          <w:rStyle w:val="8"/>
          <w:rFonts w:hint="eastAsia" w:ascii="方正仿宋_GBK" w:eastAsia="方正仿宋_GBK"/>
          <w:sz w:val="27"/>
          <w:szCs w:val="27"/>
        </w:rPr>
        <w:t>（七）结余分配</w:t>
      </w:r>
      <w:r>
        <w:rPr>
          <w:rFonts w:hint="eastAsia" w:ascii="方正仿宋_GBK" w:eastAsia="方正仿宋_GBK"/>
          <w:sz w:val="27"/>
          <w:szCs w:val="27"/>
        </w:rPr>
        <w:t>：</w:t>
      </w:r>
      <w:r>
        <w:rPr>
          <w:rFonts w:hint="eastAsia" w:ascii="方正仿宋_GBK" w:hAnsi="KaiTi_GB2312" w:eastAsia="方正仿宋_GBK"/>
          <w:bCs/>
          <w:sz w:val="32"/>
          <w:szCs w:val="32"/>
        </w:rPr>
        <w:t>指单位按照国家有关规定，缴纳所得税、提取专用基金、转入非财政拨款结余等当年结余的分配情况。</w:t>
      </w:r>
    </w:p>
    <w:p>
      <w:pPr>
        <w:pStyle w:val="5"/>
        <w:shd w:val="clear" w:color="auto" w:fill="FFFFFF"/>
        <w:spacing w:line="600" w:lineRule="exact"/>
        <w:ind w:left="0" w:leftChars="0" w:firstLine="610" w:firstLineChars="225"/>
        <w:rPr>
          <w:rFonts w:hint="eastAsia" w:ascii="方正仿宋_GBK" w:hAnsi="KaiTi_GB2312" w:eastAsia="方正仿宋_GBK"/>
          <w:bCs/>
          <w:sz w:val="32"/>
          <w:szCs w:val="32"/>
        </w:rPr>
      </w:pPr>
      <w:r>
        <w:rPr>
          <w:rStyle w:val="8"/>
          <w:rFonts w:hint="eastAsia" w:ascii="方正仿宋_GBK" w:eastAsia="方正仿宋_GBK"/>
          <w:sz w:val="27"/>
          <w:szCs w:val="27"/>
        </w:rPr>
        <w:t>（八）年末结转和结余</w:t>
      </w:r>
      <w:r>
        <w:rPr>
          <w:rFonts w:hint="eastAsia" w:ascii="方正仿宋_GBK" w:eastAsia="方正仿宋_GBK"/>
          <w:sz w:val="27"/>
          <w:szCs w:val="27"/>
        </w:rPr>
        <w:t>：</w:t>
      </w:r>
      <w:r>
        <w:rPr>
          <w:rFonts w:hint="eastAsia" w:ascii="方正仿宋_GBK" w:hAnsi="KaiTi_GB2312" w:eastAsia="方正仿宋_GBK"/>
          <w:bCs/>
          <w:sz w:val="32"/>
          <w:szCs w:val="32"/>
        </w:rPr>
        <w:t>指单位结转下年的基本支出结转、项目支出结转和结余、经营结余。</w:t>
      </w:r>
    </w:p>
    <w:p>
      <w:pPr>
        <w:pStyle w:val="5"/>
        <w:shd w:val="clear" w:color="auto" w:fill="FFFFFF"/>
        <w:spacing w:line="600" w:lineRule="exact"/>
        <w:ind w:left="0" w:leftChars="0" w:firstLine="610" w:firstLineChars="225"/>
        <w:rPr>
          <w:rFonts w:hint="eastAsia" w:ascii="方正仿宋_GBK" w:hAnsi="KaiTi_GB2312" w:eastAsia="方正仿宋_GBK"/>
          <w:bCs/>
          <w:sz w:val="32"/>
          <w:szCs w:val="32"/>
        </w:rPr>
      </w:pPr>
      <w:r>
        <w:rPr>
          <w:rStyle w:val="8"/>
          <w:rFonts w:hint="eastAsia" w:ascii="方正仿宋_GBK" w:eastAsia="方正仿宋_GBK"/>
          <w:sz w:val="27"/>
          <w:szCs w:val="27"/>
        </w:rPr>
        <w:t>（九）基本支出</w:t>
      </w:r>
      <w:r>
        <w:rPr>
          <w:rFonts w:hint="eastAsia" w:ascii="方正仿宋_GBK" w:eastAsia="方正仿宋_GBK"/>
          <w:sz w:val="27"/>
          <w:szCs w:val="27"/>
        </w:rPr>
        <w:t>：</w:t>
      </w:r>
      <w:r>
        <w:rPr>
          <w:rFonts w:hint="eastAsia" w:ascii="方正仿宋_GBK" w:hAnsi="KaiTi_GB2312" w:eastAsia="方正仿宋_GBK"/>
          <w:bCs/>
          <w:sz w:val="32"/>
          <w:szCs w:val="32"/>
        </w:rPr>
        <w:t>指为保障机构正常运转、完成日常工作任务而发生的人员经费和公用经费。其中：人员经费指政府收支分类经济科目中的“工资福利支出”和“对个人和家庭的补助”；公用经费指政府收支分类经济科目中除“工资福利支出”和“对个人和家庭的补助”外的其他支出。</w:t>
      </w:r>
    </w:p>
    <w:p>
      <w:pPr>
        <w:pStyle w:val="5"/>
        <w:shd w:val="clear" w:color="auto" w:fill="FFFFFF"/>
        <w:spacing w:line="600" w:lineRule="exact"/>
        <w:ind w:left="0" w:leftChars="0" w:firstLine="610" w:firstLineChars="225"/>
        <w:rPr>
          <w:rFonts w:hint="eastAsia" w:ascii="方正仿宋_GBK" w:hAnsi="KaiTi_GB2312" w:eastAsia="方正仿宋_GBK"/>
          <w:bCs/>
          <w:sz w:val="32"/>
          <w:szCs w:val="32"/>
        </w:rPr>
      </w:pPr>
      <w:r>
        <w:rPr>
          <w:rStyle w:val="8"/>
          <w:rFonts w:hint="eastAsia" w:ascii="方正仿宋_GBK" w:eastAsia="方正仿宋_GBK"/>
          <w:sz w:val="27"/>
          <w:szCs w:val="27"/>
        </w:rPr>
        <w:t>（十）项目支出</w:t>
      </w:r>
      <w:r>
        <w:rPr>
          <w:rFonts w:hint="eastAsia" w:ascii="方正仿宋_GBK" w:eastAsia="方正仿宋_GBK"/>
          <w:sz w:val="27"/>
          <w:szCs w:val="27"/>
        </w:rPr>
        <w:t>：</w:t>
      </w:r>
      <w:r>
        <w:rPr>
          <w:rFonts w:hint="eastAsia" w:ascii="方正仿宋_GBK" w:hAnsi="KaiTi_GB2312" w:eastAsia="方正仿宋_GBK"/>
          <w:bCs/>
          <w:sz w:val="32"/>
          <w:szCs w:val="32"/>
        </w:rPr>
        <w:t>指在基本支出之外为完成特定行政任务和事业发展目标所发生的支出。</w:t>
      </w:r>
    </w:p>
    <w:p>
      <w:pPr>
        <w:pStyle w:val="5"/>
        <w:shd w:val="clear" w:color="auto" w:fill="FFFFFF"/>
        <w:spacing w:line="600" w:lineRule="exact"/>
        <w:ind w:left="0" w:leftChars="0" w:firstLine="610" w:firstLineChars="225"/>
        <w:rPr>
          <w:rFonts w:hint="eastAsia" w:ascii="方正仿宋_GBK" w:hAnsi="KaiTi_GB2312" w:eastAsia="方正仿宋_GBK"/>
          <w:bCs/>
          <w:sz w:val="32"/>
          <w:szCs w:val="32"/>
        </w:rPr>
      </w:pPr>
      <w:r>
        <w:rPr>
          <w:rStyle w:val="8"/>
          <w:rFonts w:hint="eastAsia" w:ascii="方正仿宋_GBK" w:eastAsia="方正仿宋_GBK"/>
          <w:sz w:val="27"/>
          <w:szCs w:val="27"/>
        </w:rPr>
        <w:t>（十一）经营支出</w:t>
      </w:r>
      <w:r>
        <w:rPr>
          <w:rFonts w:hint="eastAsia" w:ascii="方正仿宋_GBK" w:eastAsia="方正仿宋_GBK"/>
          <w:sz w:val="27"/>
          <w:szCs w:val="27"/>
        </w:rPr>
        <w:t>：</w:t>
      </w:r>
      <w:r>
        <w:rPr>
          <w:rFonts w:hint="eastAsia" w:ascii="方正仿宋_GBK" w:hAnsi="KaiTi_GB2312" w:eastAsia="方正仿宋_GBK"/>
          <w:bCs/>
          <w:sz w:val="32"/>
          <w:szCs w:val="32"/>
        </w:rPr>
        <w:t>指事业单位在专业业务活动及其辅助活动之外开展非独立核算经营活动发生的支出。</w:t>
      </w:r>
    </w:p>
    <w:p>
      <w:pPr>
        <w:pStyle w:val="5"/>
        <w:shd w:val="clear" w:color="auto" w:fill="FFFFFF"/>
        <w:spacing w:line="600" w:lineRule="exact"/>
        <w:ind w:left="0" w:leftChars="0" w:firstLine="610" w:firstLineChars="225"/>
        <w:rPr>
          <w:rFonts w:hint="eastAsia" w:ascii="方正仿宋_GBK" w:hAnsi="KaiTi_GB2312" w:eastAsia="方正仿宋_GBK"/>
          <w:bCs/>
          <w:sz w:val="32"/>
          <w:szCs w:val="32"/>
        </w:rPr>
      </w:pPr>
      <w:r>
        <w:rPr>
          <w:rStyle w:val="8"/>
          <w:rFonts w:hint="eastAsia" w:ascii="方正仿宋_GBK" w:eastAsia="方正仿宋_GBK"/>
          <w:sz w:val="27"/>
          <w:szCs w:val="27"/>
        </w:rPr>
        <w:t>（十二）“三公”经费</w:t>
      </w:r>
      <w:r>
        <w:rPr>
          <w:rFonts w:hint="eastAsia" w:ascii="方正仿宋_GBK" w:eastAsia="方正仿宋_GBK"/>
          <w:sz w:val="27"/>
          <w:szCs w:val="27"/>
        </w:rPr>
        <w:t>：</w:t>
      </w:r>
      <w:r>
        <w:rPr>
          <w:rFonts w:hint="eastAsia" w:ascii="方正仿宋_GBK" w:hAnsi="KaiTi_GB2312" w:eastAsia="方正仿宋_GBK"/>
          <w:bCs/>
          <w:sz w:val="32"/>
          <w:szCs w:val="32"/>
        </w:rPr>
        <w:t>指用一般公共预算财政拨款安排的因公出国（境）费、公务用车购置及运行维护费、公务接待费。其中，因公出国（境）费反映单位公务出国（境）的国际旅费、国外城市间交通费、住宿费、伙食费、培训费、公杂费等支出；公务用车购置费反映单位公务用车购置支出（含车辆购置税）；公务用车运行维护费反映单位按规定保留的公务用车燃料费、维修费、过路过桥费、保险费、安全奖励费用等支出；公务接待费反映单位按规定开支的各类公务接待（含外宾接待）支出。</w:t>
      </w:r>
    </w:p>
    <w:p>
      <w:pPr>
        <w:pStyle w:val="5"/>
        <w:shd w:val="clear" w:color="auto" w:fill="FFFFFF"/>
        <w:spacing w:line="600" w:lineRule="exact"/>
        <w:ind w:left="0" w:leftChars="0" w:firstLine="610" w:firstLineChars="225"/>
        <w:rPr>
          <w:rFonts w:hint="eastAsia" w:ascii="方正仿宋_GBK" w:hAnsi="KaiTi_GB2312" w:eastAsia="方正仿宋_GBK"/>
          <w:bCs/>
          <w:sz w:val="32"/>
          <w:szCs w:val="32"/>
        </w:rPr>
      </w:pPr>
      <w:r>
        <w:rPr>
          <w:rStyle w:val="8"/>
          <w:rFonts w:hint="eastAsia" w:ascii="方正仿宋_GBK" w:eastAsia="方正仿宋_GBK"/>
          <w:sz w:val="27"/>
          <w:szCs w:val="27"/>
        </w:rPr>
        <w:t>（十三）机关运行经费</w:t>
      </w:r>
      <w:r>
        <w:rPr>
          <w:rFonts w:hint="eastAsia" w:ascii="方正仿宋_GBK" w:eastAsia="方正仿宋_GBK"/>
          <w:sz w:val="27"/>
          <w:szCs w:val="27"/>
        </w:rPr>
        <w:t>：</w:t>
      </w:r>
      <w:r>
        <w:rPr>
          <w:rFonts w:hint="eastAsia" w:ascii="方正仿宋_GBK" w:hAnsi="KaiTi_GB2312" w:eastAsia="方正仿宋_GBK"/>
          <w:bCs/>
          <w:sz w:val="32"/>
          <w:szCs w:val="32"/>
        </w:rPr>
        <w:t>为保障行政单位（含参照公务员法管理的事业单位）运行用于购买货物和服务等的各项公用经费，包括办公及印刷费、邮电费、差旅费、会议费、福利费、日常维护 费、专用材料及一般设备购置费、办公用房水电费、办公用房取暖费、办公用房物业管理费、公务用车运行维护费以及其他费用。</w:t>
      </w:r>
    </w:p>
    <w:p>
      <w:pPr>
        <w:pStyle w:val="5"/>
        <w:shd w:val="clear" w:color="auto" w:fill="FFFFFF"/>
        <w:spacing w:line="600" w:lineRule="exact"/>
        <w:ind w:left="0" w:leftChars="0" w:firstLine="610" w:firstLineChars="225"/>
        <w:rPr>
          <w:rFonts w:hint="eastAsia" w:ascii="方正仿宋_GBK" w:hAnsi="KaiTi_GB2312" w:eastAsia="方正仿宋_GBK"/>
          <w:bCs/>
          <w:sz w:val="32"/>
          <w:szCs w:val="32"/>
        </w:rPr>
      </w:pPr>
      <w:r>
        <w:rPr>
          <w:rStyle w:val="8"/>
          <w:rFonts w:hint="eastAsia" w:ascii="方正仿宋_GBK" w:eastAsia="方正仿宋_GBK"/>
          <w:sz w:val="27"/>
          <w:szCs w:val="27"/>
        </w:rPr>
        <w:t>（十四）工资福利支出（支出经济分类科目类级）</w:t>
      </w:r>
      <w:r>
        <w:rPr>
          <w:rFonts w:hint="eastAsia" w:ascii="方正仿宋_GBK" w:eastAsia="方正仿宋_GBK"/>
          <w:sz w:val="27"/>
          <w:szCs w:val="27"/>
        </w:rPr>
        <w:t>：</w:t>
      </w:r>
      <w:r>
        <w:rPr>
          <w:rFonts w:hint="eastAsia" w:ascii="方正仿宋_GBK" w:hAnsi="KaiTi_GB2312" w:eastAsia="方正仿宋_GBK"/>
          <w:bCs/>
          <w:sz w:val="32"/>
          <w:szCs w:val="32"/>
        </w:rPr>
        <w:t>反映单位开支的在职职工和编制外长期聘用人员的各类劳动报酬，以及为上述人员缴纳的各项社会保险费等。</w:t>
      </w:r>
    </w:p>
    <w:p>
      <w:pPr>
        <w:pStyle w:val="5"/>
        <w:shd w:val="clear" w:color="auto" w:fill="FFFFFF"/>
        <w:spacing w:line="600" w:lineRule="exact"/>
        <w:ind w:left="0" w:leftChars="0" w:firstLine="610" w:firstLineChars="225"/>
        <w:rPr>
          <w:rFonts w:hint="eastAsia" w:ascii="方正仿宋_GBK" w:hAnsi="KaiTi_GB2312" w:eastAsia="方正仿宋_GBK"/>
          <w:bCs/>
          <w:sz w:val="32"/>
          <w:szCs w:val="32"/>
        </w:rPr>
      </w:pPr>
      <w:r>
        <w:rPr>
          <w:rStyle w:val="8"/>
          <w:rFonts w:hint="eastAsia" w:ascii="方正仿宋_GBK" w:eastAsia="方正仿宋_GBK"/>
          <w:sz w:val="27"/>
          <w:szCs w:val="27"/>
        </w:rPr>
        <w:t>（十五）商品和服务支出（支出经济分类科目类级）</w:t>
      </w:r>
      <w:r>
        <w:rPr>
          <w:rFonts w:hint="eastAsia" w:ascii="方正仿宋_GBK" w:eastAsia="方正仿宋_GBK"/>
          <w:sz w:val="27"/>
          <w:szCs w:val="27"/>
        </w:rPr>
        <w:t>：</w:t>
      </w:r>
      <w:r>
        <w:rPr>
          <w:rFonts w:hint="eastAsia" w:ascii="方正仿宋_GBK" w:hAnsi="KaiTi_GB2312" w:eastAsia="方正仿宋_GBK"/>
          <w:bCs/>
          <w:sz w:val="32"/>
          <w:szCs w:val="32"/>
        </w:rPr>
        <w:t>反映单位购买商品和服务的支出（不包括用于购置固定资产的支出、战略性和应急储备支出）。</w:t>
      </w:r>
    </w:p>
    <w:p>
      <w:pPr>
        <w:pStyle w:val="5"/>
        <w:shd w:val="clear" w:color="auto" w:fill="FFFFFF"/>
        <w:spacing w:line="600" w:lineRule="exact"/>
        <w:ind w:left="0" w:leftChars="0" w:firstLine="610" w:firstLineChars="225"/>
        <w:rPr>
          <w:rFonts w:hint="eastAsia" w:ascii="方正仿宋_GBK" w:hAnsi="KaiTi_GB2312" w:eastAsia="方正仿宋_GBK"/>
          <w:bCs/>
          <w:sz w:val="32"/>
          <w:szCs w:val="32"/>
        </w:rPr>
      </w:pPr>
      <w:r>
        <w:rPr>
          <w:rStyle w:val="8"/>
          <w:rFonts w:hint="eastAsia" w:ascii="方正仿宋_GBK" w:eastAsia="方正仿宋_GBK"/>
          <w:sz w:val="27"/>
          <w:szCs w:val="27"/>
        </w:rPr>
        <w:t>（十六）对个人和家庭的补助（支出经济分类科目类级）</w:t>
      </w:r>
      <w:r>
        <w:rPr>
          <w:rFonts w:hint="eastAsia" w:ascii="方正仿宋_GBK" w:eastAsia="方正仿宋_GBK"/>
          <w:sz w:val="27"/>
          <w:szCs w:val="27"/>
        </w:rPr>
        <w:t>：</w:t>
      </w:r>
      <w:r>
        <w:rPr>
          <w:rFonts w:hint="eastAsia" w:ascii="方正仿宋_GBK" w:hAnsi="KaiTi_GB2312" w:eastAsia="方正仿宋_GBK"/>
          <w:bCs/>
          <w:sz w:val="32"/>
          <w:szCs w:val="32"/>
        </w:rPr>
        <w:t>反映用于对个人和家庭的补助支出。</w:t>
      </w:r>
    </w:p>
    <w:p>
      <w:pPr>
        <w:pStyle w:val="5"/>
        <w:shd w:val="clear" w:color="auto" w:fill="FFFFFF"/>
        <w:spacing w:line="600" w:lineRule="exact"/>
        <w:ind w:left="0" w:leftChars="0" w:firstLine="610" w:firstLineChars="225"/>
        <w:rPr>
          <w:rFonts w:hint="eastAsia" w:ascii="方正仿宋_GBK" w:hAnsi="KaiTi_GB2312" w:eastAsia="方正仿宋_GBK"/>
          <w:bCs/>
          <w:sz w:val="32"/>
          <w:szCs w:val="32"/>
        </w:rPr>
      </w:pPr>
      <w:r>
        <w:rPr>
          <w:rStyle w:val="8"/>
          <w:rFonts w:hint="eastAsia" w:ascii="方正仿宋_GBK" w:eastAsia="方正仿宋_GBK"/>
          <w:sz w:val="27"/>
          <w:szCs w:val="27"/>
        </w:rPr>
        <w:t>（十七）其他资本性支出（支出经济分类科目类级）</w:t>
      </w:r>
      <w:r>
        <w:rPr>
          <w:rFonts w:hint="eastAsia" w:ascii="方正仿宋_GBK" w:eastAsia="方正仿宋_GBK"/>
          <w:sz w:val="27"/>
          <w:szCs w:val="27"/>
        </w:rPr>
        <w:t>：</w:t>
      </w:r>
      <w:r>
        <w:rPr>
          <w:rFonts w:hint="eastAsia" w:ascii="方正仿宋_GBK" w:hAnsi="KaiTi_GB2312" w:eastAsia="方正仿宋_GBK"/>
          <w:bCs/>
          <w:sz w:val="32"/>
          <w:szCs w:val="32"/>
        </w:rPr>
        <w:t>反映非各级发展与改革部门集中安排的用于购置固定资产、战略性和应急性储备、土地和无形资产，以及构建基础设施、大型修缮和财政支持企业更新改造所发生的支出。</w:t>
      </w:r>
    </w:p>
    <w:p>
      <w:pPr>
        <w:pStyle w:val="5"/>
        <w:shd w:val="clear" w:color="auto" w:fill="FFFFFF"/>
        <w:spacing w:line="600" w:lineRule="exact"/>
        <w:ind w:left="0" w:leftChars="0" w:firstLine="813" w:firstLineChars="225"/>
        <w:rPr>
          <w:rFonts w:ascii="方正仿宋_GBK" w:eastAsia="方正仿宋_GBK"/>
        </w:rPr>
      </w:pPr>
      <w:r>
        <w:rPr>
          <w:rStyle w:val="8"/>
          <w:rFonts w:hint="eastAsia" w:ascii="方正仿宋_GBK" w:eastAsia="方正仿宋_GBK"/>
          <w:sz w:val="36"/>
          <w:szCs w:val="36"/>
        </w:rPr>
        <w:t>七、决算公开联系方式及信息反馈渠道</w:t>
      </w:r>
    </w:p>
    <w:p>
      <w:pPr>
        <w:pStyle w:val="5"/>
        <w:shd w:val="clear" w:color="auto" w:fill="FFFFFF"/>
        <w:spacing w:line="600" w:lineRule="exact"/>
        <w:ind w:left="0" w:leftChars="0" w:firstLine="720" w:firstLineChars="225"/>
        <w:rPr>
          <w:rFonts w:hint="eastAsia" w:ascii="方正仿宋_GBK" w:hAnsi="KaiTi_GB2312" w:eastAsia="方正仿宋_GBK"/>
          <w:bCs/>
          <w:sz w:val="32"/>
          <w:szCs w:val="32"/>
        </w:rPr>
      </w:pPr>
      <w:r>
        <w:rPr>
          <w:rFonts w:hint="eastAsia" w:ascii="方正仿宋_GBK" w:hAnsi="KaiTi_GB2312" w:eastAsia="方正仿宋_GBK"/>
          <w:bCs/>
          <w:sz w:val="32"/>
          <w:szCs w:val="32"/>
        </w:rPr>
        <w:t>本单位决算公开信息反馈和联系方式:023-48666545。</w:t>
      </w:r>
    </w:p>
    <w:p>
      <w:pPr>
        <w:pStyle w:val="5"/>
        <w:shd w:val="clear" w:color="auto" w:fill="FFFFFF"/>
        <w:spacing w:line="600" w:lineRule="exact"/>
        <w:ind w:left="0" w:leftChars="0" w:firstLine="540" w:firstLineChars="225"/>
        <w:rPr>
          <w:rFonts w:ascii="方正仿宋_GBK" w:eastAsia="方正仿宋_GBK"/>
        </w:rPr>
      </w:pPr>
    </w:p>
    <w:sectPr>
      <w:pgSz w:w="11907" w:h="16840"/>
      <w:pgMar w:top="2098" w:right="1474" w:bottom="1984" w:left="1587" w:header="851" w:footer="992" w:gutter="0"/>
      <w:cols w:space="0" w:num="1"/>
      <w:rtlGutter w:val="0"/>
      <w:docGrid w:type="lines" w:linePitch="327"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方正小标宋_GBK">
    <w:panose1 w:val="03000509000000000000"/>
    <w:charset w:val="86"/>
    <w:family w:val="script"/>
    <w:pitch w:val="default"/>
    <w:sig w:usb0="00000001" w:usb1="080E0000" w:usb2="00000000" w:usb3="00000000" w:csb0="00040000" w:csb1="00000000"/>
  </w:font>
  <w:font w:name="方正黑体_GBK">
    <w:panose1 w:val="03000509000000000000"/>
    <w:charset w:val="86"/>
    <w:family w:val="script"/>
    <w:pitch w:val="default"/>
    <w:sig w:usb0="00000001" w:usb1="080E0000" w:usb2="00000000" w:usb3="00000000" w:csb0="00040000" w:csb1="00000000"/>
  </w:font>
  <w:font w:name="方正楷体_GBK">
    <w:panose1 w:val="03000509000000000000"/>
    <w:charset w:val="86"/>
    <w:family w:val="script"/>
    <w:pitch w:val="default"/>
    <w:sig w:usb0="00000001" w:usb1="080E0000" w:usb2="00000000" w:usb3="00000000" w:csb0="00040000" w:csb1="00000000"/>
  </w:font>
  <w:font w:name="方正仿宋_GBK">
    <w:panose1 w:val="03000509000000000000"/>
    <w:charset w:val="86"/>
    <w:family w:val="script"/>
    <w:pitch w:val="default"/>
    <w:sig w:usb0="00000001" w:usb1="080E0000" w:usb2="00000000" w:usb3="00000000" w:csb0="00040000" w:csb1="00000000"/>
  </w:font>
  <w:font w:name="KaiTi_GB2312">
    <w:altName w:val="MS Gothic"/>
    <w:panose1 w:val="02010609060101010101"/>
    <w:charset w:val="00"/>
    <w:family w:val="roman"/>
    <w:pitch w:val="default"/>
    <w:sig w:usb0="00000000" w:usb1="00000000" w:usb2="00000000" w:usb3="00000000" w:csb0="00000000" w:csb1="00000000"/>
  </w:font>
  <w:font w:name="MS Gothic">
    <w:panose1 w:val="020B0609070205080204"/>
    <w:charset w:val="80"/>
    <w:family w:val="auto"/>
    <w:pitch w:val="default"/>
    <w:sig w:usb0="E00002FF" w:usb1="6AC7FDFB" w:usb2="00000012" w:usb3="00000000" w:csb0="4002009F" w:csb1="DFD7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VerticalSpacing w:val="164"/>
  <w:displayVerticalDrawingGridEvery w:val="2"/>
  <w:noPunctuationKerning w:val="1"/>
  <w:characterSpacingControl w:val="doNotCompress"/>
  <w:compat>
    <w:useFELayout/>
    <w:compatSetting w:name="compatibilityMode" w:uri="http://schemas.microsoft.com/office/word" w:val="12"/>
  </w:compat>
  <w:docVars>
    <w:docVar w:name="commondata" w:val="eyJoZGlkIjoiNmEzYWYxYTY4NzQ3ZjAxZTg4Njg0OTUxNTYxM2Y5ZGQifQ=="/>
  </w:docVars>
  <w:rsids>
    <w:rsidRoot w:val="004251E4"/>
    <w:rsid w:val="00060B9C"/>
    <w:rsid w:val="001E6894"/>
    <w:rsid w:val="002942FD"/>
    <w:rsid w:val="004251E4"/>
    <w:rsid w:val="00515C3F"/>
    <w:rsid w:val="00650B1B"/>
    <w:rsid w:val="007A53AA"/>
    <w:rsid w:val="00906CB2"/>
    <w:rsid w:val="00950075"/>
    <w:rsid w:val="00971ABD"/>
    <w:rsid w:val="00B636FC"/>
    <w:rsid w:val="00C3748E"/>
    <w:rsid w:val="00CC39B5"/>
    <w:rsid w:val="00D32377"/>
    <w:rsid w:val="00D74F88"/>
    <w:rsid w:val="00E36B51"/>
    <w:rsid w:val="00E61FF9"/>
    <w:rsid w:val="06CE10E5"/>
    <w:rsid w:val="172F639E"/>
    <w:rsid w:val="65012B1C"/>
    <w:rsid w:val="6F3D54D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Theme="minorEastAsia"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宋体" w:hAnsi="宋体" w:eastAsia="宋体" w:cs="宋体"/>
      <w:sz w:val="24"/>
      <w:szCs w:val="24"/>
      <w:lang w:val="en-US" w:eastAsia="zh-CN" w:bidi="ar-SA"/>
    </w:rPr>
  </w:style>
  <w:style w:type="character" w:default="1" w:styleId="7">
    <w:name w:val="Default Paragraph Font"/>
    <w:semiHidden/>
    <w:unhideWhenUsed/>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2">
    <w:name w:val="Balloon Text"/>
    <w:basedOn w:val="1"/>
    <w:link w:val="11"/>
    <w:semiHidden/>
    <w:unhideWhenUsed/>
    <w:uiPriority w:val="99"/>
    <w:rPr>
      <w:sz w:val="18"/>
      <w:szCs w:val="18"/>
    </w:rPr>
  </w:style>
  <w:style w:type="paragraph" w:styleId="3">
    <w:name w:val="footer"/>
    <w:basedOn w:val="1"/>
    <w:link w:val="10"/>
    <w:semiHidden/>
    <w:unhideWhenUsed/>
    <w:qFormat/>
    <w:uiPriority w:val="99"/>
    <w:pPr>
      <w:tabs>
        <w:tab w:val="center" w:pos="4153"/>
        <w:tab w:val="right" w:pos="8306"/>
      </w:tabs>
      <w:snapToGrid w:val="0"/>
    </w:pPr>
    <w:rPr>
      <w:sz w:val="18"/>
      <w:szCs w:val="18"/>
    </w:rPr>
  </w:style>
  <w:style w:type="paragraph" w:styleId="4">
    <w:name w:val="header"/>
    <w:basedOn w:val="1"/>
    <w:link w:val="9"/>
    <w:semiHidden/>
    <w:unhideWhenUsed/>
    <w:qFormat/>
    <w:uiPriority w:val="99"/>
    <w:pPr>
      <w:pBdr>
        <w:bottom w:val="single" w:color="auto" w:sz="6" w:space="1"/>
      </w:pBdr>
      <w:tabs>
        <w:tab w:val="center" w:pos="4153"/>
        <w:tab w:val="right" w:pos="8306"/>
      </w:tabs>
      <w:snapToGrid w:val="0"/>
      <w:jc w:val="center"/>
    </w:pPr>
    <w:rPr>
      <w:sz w:val="18"/>
      <w:szCs w:val="18"/>
    </w:rPr>
  </w:style>
  <w:style w:type="paragraph" w:styleId="5">
    <w:name w:val="Normal (Web)"/>
    <w:basedOn w:val="1"/>
    <w:unhideWhenUsed/>
    <w:uiPriority w:val="99"/>
    <w:pPr>
      <w:spacing w:before="100" w:beforeAutospacing="1" w:after="100" w:afterAutospacing="1"/>
    </w:pPr>
  </w:style>
  <w:style w:type="character" w:styleId="8">
    <w:name w:val="Strong"/>
    <w:basedOn w:val="7"/>
    <w:qFormat/>
    <w:uiPriority w:val="22"/>
    <w:rPr>
      <w:b/>
      <w:bCs/>
    </w:rPr>
  </w:style>
  <w:style w:type="character" w:customStyle="1" w:styleId="9">
    <w:name w:val="页眉 Char"/>
    <w:basedOn w:val="7"/>
    <w:link w:val="4"/>
    <w:semiHidden/>
    <w:qFormat/>
    <w:locked/>
    <w:uiPriority w:val="99"/>
    <w:rPr>
      <w:rFonts w:hint="eastAsia" w:ascii="宋体" w:hAnsi="宋体" w:eastAsia="宋体" w:cs="宋体"/>
      <w:sz w:val="18"/>
      <w:szCs w:val="18"/>
    </w:rPr>
  </w:style>
  <w:style w:type="character" w:customStyle="1" w:styleId="10">
    <w:name w:val="页脚 Char"/>
    <w:basedOn w:val="7"/>
    <w:link w:val="3"/>
    <w:semiHidden/>
    <w:qFormat/>
    <w:locked/>
    <w:uiPriority w:val="99"/>
    <w:rPr>
      <w:rFonts w:hint="eastAsia" w:ascii="宋体" w:hAnsi="宋体" w:eastAsia="宋体" w:cs="宋体"/>
      <w:sz w:val="18"/>
      <w:szCs w:val="18"/>
    </w:rPr>
  </w:style>
  <w:style w:type="character" w:customStyle="1" w:styleId="11">
    <w:name w:val="批注框文本 Char"/>
    <w:basedOn w:val="7"/>
    <w:link w:val="2"/>
    <w:semiHidden/>
    <w:qFormat/>
    <w:uiPriority w:val="99"/>
    <w:rPr>
      <w:rFonts w:ascii="宋体" w:hAnsi="宋体" w:eastAsia="宋体" w:cs="宋体"/>
      <w:sz w:val="18"/>
      <w:szCs w:val="18"/>
    </w:r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黑体"/>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宋体"/>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Microsoft</Company>
  <Pages>16</Pages>
  <Words>4365</Words>
  <Characters>4887</Characters>
  <Lines>35</Lines>
  <Paragraphs>9</Paragraphs>
  <TotalTime>0</TotalTime>
  <ScaleCrop>false</ScaleCrop>
  <LinksUpToDate>false</LinksUpToDate>
  <CharactersWithSpaces>4912</CharactersWithSpaces>
  <Application>WPS Office_11.1.0.12012_F1E327BC-269C-435d-A152-05C5408002CA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2022-08-27T23:51:00Z</dcterms:created>
  <dc:creator>Administrator</dc:creator>
  <cp:lastModifiedBy>Administrator</cp:lastModifiedBy>
  <dcterms:modified xsi:type="dcterms:W3CDTF">2022-09-01T14:20:23Z</dcterms:modified>
  <dc:title>公开报告模板</dc:title>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2052-11.1.0.12012</vt:lpwstr>
  </property>
  <property fmtid="{D5CDD505-2E9C-101B-9397-08002B2CF9AE}" pid="3" name="ICV">
    <vt:lpwstr>AA295381E74E407CBE821C58BB7E15EA</vt:lpwstr>
  </property>
</Properties>
</file>