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8"/>
          <w:szCs w:val="48"/>
        </w:rPr>
      </w:pPr>
      <w:r>
        <w:rPr>
          <w:rFonts w:hint="eastAsia"/>
          <w:sz w:val="48"/>
          <w:szCs w:val="48"/>
        </w:rPr>
        <w:t>重庆市綦江区永乐小学</w:t>
      </w:r>
    </w:p>
    <w:p>
      <w:pPr>
        <w:jc w:val="center"/>
        <w:rPr>
          <w:sz w:val="48"/>
          <w:szCs w:val="48"/>
        </w:rPr>
      </w:pPr>
      <w:r>
        <w:rPr>
          <w:rFonts w:hint="eastAsia"/>
          <w:sz w:val="48"/>
          <w:szCs w:val="48"/>
        </w:rPr>
        <w:t>2020年度部门决算情况说明</w:t>
      </w:r>
    </w:p>
    <w:p>
      <w:r>
        <w:rPr>
          <w:rFonts w:hint="eastAsia"/>
        </w:rPr>
        <w:t> </w:t>
      </w:r>
    </w:p>
    <w:p>
      <w:pPr>
        <w:ind w:firstLine="560" w:firstLineChars="200"/>
        <w:rPr>
          <w:sz w:val="28"/>
          <w:szCs w:val="28"/>
        </w:rPr>
      </w:pPr>
      <w:r>
        <w:rPr>
          <w:rFonts w:hint="eastAsia"/>
          <w:sz w:val="28"/>
          <w:szCs w:val="28"/>
        </w:rPr>
        <w:t>一、部门基本情况</w:t>
      </w:r>
    </w:p>
    <w:p>
      <w:pPr>
        <w:ind w:firstLine="420" w:firstLineChars="150"/>
        <w:rPr>
          <w:sz w:val="28"/>
          <w:szCs w:val="28"/>
        </w:rPr>
      </w:pPr>
      <w:r>
        <w:rPr>
          <w:rFonts w:hint="eastAsia"/>
          <w:sz w:val="28"/>
          <w:szCs w:val="28"/>
        </w:rPr>
        <w:t>（一）职能职责</w:t>
      </w:r>
    </w:p>
    <w:p>
      <w:pPr>
        <w:ind w:firstLine="560" w:firstLineChars="200"/>
        <w:rPr>
          <w:sz w:val="28"/>
          <w:szCs w:val="28"/>
        </w:rPr>
      </w:pPr>
      <w:r>
        <w:rPr>
          <w:rFonts w:hint="eastAsia"/>
          <w:sz w:val="28"/>
          <w:szCs w:val="28"/>
        </w:rPr>
        <w:t>1、实施小学义务教育，促进基础教育发展。</w:t>
      </w:r>
    </w:p>
    <w:p>
      <w:pPr>
        <w:ind w:firstLine="560" w:firstLineChars="200"/>
        <w:rPr>
          <w:sz w:val="28"/>
          <w:szCs w:val="28"/>
        </w:rPr>
      </w:pPr>
      <w:r>
        <w:rPr>
          <w:rFonts w:hint="eastAsia"/>
          <w:sz w:val="28"/>
          <w:szCs w:val="28"/>
        </w:rPr>
        <w:t>2、小学学历教育（相关社会服务）。</w:t>
      </w:r>
    </w:p>
    <w:p>
      <w:pPr>
        <w:ind w:firstLine="420" w:firstLineChars="150"/>
        <w:rPr>
          <w:sz w:val="28"/>
          <w:szCs w:val="28"/>
        </w:rPr>
      </w:pPr>
      <w:r>
        <w:rPr>
          <w:rFonts w:hint="eastAsia"/>
          <w:sz w:val="28"/>
          <w:szCs w:val="28"/>
        </w:rPr>
        <w:t>（二）机构设置</w:t>
      </w:r>
    </w:p>
    <w:p>
      <w:pPr>
        <w:ind w:firstLine="560" w:firstLineChars="200"/>
        <w:rPr>
          <w:sz w:val="28"/>
          <w:szCs w:val="28"/>
        </w:rPr>
      </w:pPr>
      <w:r>
        <w:rPr>
          <w:rFonts w:hint="eastAsia"/>
          <w:sz w:val="28"/>
          <w:szCs w:val="28"/>
        </w:rPr>
        <w:t>按照《重庆市綦江区机构编制委员会办公室关于调整教育系统各学校校级领导职数和内设机构设置的通知》（綦编办〔2013〕187号）文件，我单位属重庆市綦江区教育委员会所属的事业单位。核定校级领导职数4人，1正3副。内设机构3个，内设职数4人，分别为总务处、政教处、安保处。下辖2所村小。</w:t>
      </w:r>
    </w:p>
    <w:p>
      <w:pPr>
        <w:ind w:firstLine="420" w:firstLineChars="150"/>
        <w:rPr>
          <w:sz w:val="28"/>
          <w:szCs w:val="28"/>
        </w:rPr>
      </w:pPr>
      <w:r>
        <w:rPr>
          <w:rFonts w:hint="eastAsia"/>
          <w:sz w:val="28"/>
          <w:szCs w:val="28"/>
        </w:rPr>
        <w:t>（三）单位构成</w:t>
      </w:r>
    </w:p>
    <w:p>
      <w:pPr>
        <w:ind w:firstLine="560" w:firstLineChars="200"/>
        <w:rPr>
          <w:sz w:val="28"/>
          <w:szCs w:val="28"/>
        </w:rPr>
      </w:pPr>
      <w:r>
        <w:rPr>
          <w:rFonts w:hint="eastAsia"/>
          <w:sz w:val="28"/>
          <w:szCs w:val="28"/>
        </w:rPr>
        <w:t>从预算单位构成看，我校属于纳入本部门2020年度决算编制的二级预算单位。现有在职教师56人，退休教师41人，在校学生731人。</w:t>
      </w:r>
    </w:p>
    <w:p>
      <w:pPr>
        <w:ind w:firstLine="560" w:firstLineChars="200"/>
        <w:rPr>
          <w:sz w:val="28"/>
          <w:szCs w:val="28"/>
        </w:rPr>
      </w:pPr>
      <w:r>
        <w:rPr>
          <w:rFonts w:hint="eastAsia"/>
          <w:sz w:val="28"/>
          <w:szCs w:val="28"/>
        </w:rPr>
        <w:t>二、部门决算情况说明</w:t>
      </w:r>
    </w:p>
    <w:p>
      <w:pPr>
        <w:ind w:firstLine="560" w:firstLineChars="200"/>
        <w:rPr>
          <w:sz w:val="28"/>
          <w:szCs w:val="28"/>
        </w:rPr>
      </w:pPr>
      <w:r>
        <w:rPr>
          <w:rFonts w:hint="eastAsia"/>
          <w:sz w:val="28"/>
          <w:szCs w:val="28"/>
        </w:rPr>
        <w:t>（一）收入支出决算总体情况说明</w:t>
      </w:r>
    </w:p>
    <w:p>
      <w:pPr>
        <w:ind w:firstLine="560" w:firstLineChars="200"/>
        <w:rPr>
          <w:sz w:val="28"/>
          <w:szCs w:val="28"/>
        </w:rPr>
      </w:pPr>
      <w:r>
        <w:rPr>
          <w:rFonts w:hint="eastAsia"/>
          <w:sz w:val="28"/>
          <w:szCs w:val="28"/>
        </w:rPr>
        <w:t>1.总体情况。</w:t>
      </w:r>
    </w:p>
    <w:p>
      <w:pPr>
        <w:ind w:firstLine="560" w:firstLineChars="200"/>
        <w:rPr>
          <w:sz w:val="28"/>
          <w:szCs w:val="28"/>
        </w:rPr>
      </w:pPr>
      <w:r>
        <w:rPr>
          <w:rFonts w:hint="eastAsia"/>
          <w:sz w:val="28"/>
          <w:szCs w:val="28"/>
        </w:rPr>
        <w:t>2020年度收入总计1,731.73万元，支出总计1,731.73万元。收支较上年决算数 增加275.54万元、 增长 18.9%，主要原因是人员类经费超额绩效调标及社保费增加等，主要用于保障在职人员工资福利及社会保险缴费，退休人员补助等，保障学校正常运转的各项商品服务支出。</w:t>
      </w:r>
    </w:p>
    <w:p>
      <w:pPr>
        <w:ind w:firstLine="560" w:firstLineChars="200"/>
        <w:rPr>
          <w:sz w:val="28"/>
          <w:szCs w:val="28"/>
        </w:rPr>
      </w:pPr>
      <w:r>
        <w:rPr>
          <w:rFonts w:hint="eastAsia"/>
          <w:sz w:val="28"/>
          <w:szCs w:val="28"/>
        </w:rPr>
        <w:t>2.收入情况。</w:t>
      </w:r>
    </w:p>
    <w:p>
      <w:pPr>
        <w:ind w:firstLine="560" w:firstLineChars="200"/>
        <w:rPr>
          <w:sz w:val="28"/>
          <w:szCs w:val="28"/>
        </w:rPr>
      </w:pPr>
      <w:r>
        <w:rPr>
          <w:rFonts w:hint="eastAsia"/>
          <w:sz w:val="28"/>
          <w:szCs w:val="28"/>
        </w:rPr>
        <w:t>2020年度收入合计1,482.70万元，较上年决算数增加202.79万元，增长15.8%，主要原因是人员类经费超额绩效调标及社保费增加等，主要用于保障在职人员工资福利及社会保险缴费，退休人员补助等，保障学校正常运转的各项商品服务支出。其中：财政拨款收入1,476.98万元，占99.6%；事业收入5.72万元，占0.4%；年初结转和结余249.03万元。</w:t>
      </w:r>
    </w:p>
    <w:p>
      <w:pPr>
        <w:ind w:firstLine="560" w:firstLineChars="200"/>
        <w:rPr>
          <w:sz w:val="28"/>
          <w:szCs w:val="28"/>
        </w:rPr>
      </w:pPr>
      <w:r>
        <w:rPr>
          <w:rFonts w:hint="eastAsia"/>
          <w:sz w:val="28"/>
          <w:szCs w:val="28"/>
        </w:rPr>
        <w:t>3.支出情况。</w:t>
      </w:r>
    </w:p>
    <w:p>
      <w:pPr>
        <w:ind w:firstLine="560" w:firstLineChars="200"/>
        <w:rPr>
          <w:sz w:val="28"/>
          <w:szCs w:val="28"/>
        </w:rPr>
      </w:pPr>
      <w:r>
        <w:rPr>
          <w:rFonts w:hint="eastAsia"/>
          <w:sz w:val="28"/>
          <w:szCs w:val="28"/>
        </w:rPr>
        <w:t xml:space="preserve">2020年度支出合计1,643.81万元，较上年决算数增加318.55万元，增长24%，主要原因是人员类经费超额绩效调标及社保费增加等，主要用于保障在职人员工资福利及社会保险缴费，退休人员补助等，学校排危项目的增加、保障学校正常运转的各项商品服务支出增加等。其中：基本支出 1,317.92万元，占80.2%；项目支出325.90万元，占19.8%。 </w:t>
      </w:r>
    </w:p>
    <w:p>
      <w:pPr>
        <w:ind w:firstLine="560" w:firstLineChars="200"/>
        <w:rPr>
          <w:sz w:val="28"/>
          <w:szCs w:val="28"/>
        </w:rPr>
      </w:pPr>
      <w:r>
        <w:rPr>
          <w:rFonts w:hint="eastAsia"/>
          <w:sz w:val="28"/>
          <w:szCs w:val="28"/>
        </w:rPr>
        <w:t>4.结转结余情况。</w:t>
      </w:r>
    </w:p>
    <w:p>
      <w:pPr>
        <w:ind w:firstLine="560" w:firstLineChars="200"/>
        <w:rPr>
          <w:sz w:val="28"/>
          <w:szCs w:val="28"/>
        </w:rPr>
      </w:pPr>
      <w:r>
        <w:rPr>
          <w:rFonts w:hint="eastAsia"/>
          <w:sz w:val="28"/>
          <w:szCs w:val="28"/>
        </w:rPr>
        <w:t>2020年度年末结转和结余87.92万元，较上年决算数减少43.01万元，下降32.8%，主要原因是加大了对学校建设和基础设施建设等的投入，改善了办学条件，美化了教学环境。</w:t>
      </w:r>
    </w:p>
    <w:p>
      <w:pPr>
        <w:ind w:firstLine="560" w:firstLineChars="200"/>
        <w:rPr>
          <w:sz w:val="28"/>
          <w:szCs w:val="28"/>
        </w:rPr>
      </w:pPr>
      <w:r>
        <w:rPr>
          <w:rFonts w:hint="eastAsia"/>
          <w:sz w:val="28"/>
          <w:szCs w:val="28"/>
        </w:rPr>
        <w:t>（二）财政拨款收入支出决算总体情况说明</w:t>
      </w:r>
    </w:p>
    <w:p>
      <w:pPr>
        <w:ind w:firstLine="560" w:firstLineChars="200"/>
        <w:rPr>
          <w:sz w:val="28"/>
          <w:szCs w:val="28"/>
        </w:rPr>
      </w:pPr>
      <w:r>
        <w:rPr>
          <w:rFonts w:hint="eastAsia"/>
          <w:sz w:val="28"/>
          <w:szCs w:val="28"/>
        </w:rPr>
        <w:t>  2020年度财政拨款收、支总计1,726.01万元。与2019年相比，财政拨款收、支总计各增加280.46万 元，增长19.4%。主要原因是人员类经费超额绩效调标及社保费增加等，主要用于保障在职人员工资福利及社会保险缴费，退休人员补助等，保障学校正常运转的各项商品服务支出。</w:t>
      </w:r>
    </w:p>
    <w:p>
      <w:pPr>
        <w:ind w:firstLine="560" w:firstLineChars="200"/>
        <w:rPr>
          <w:sz w:val="28"/>
          <w:szCs w:val="28"/>
        </w:rPr>
      </w:pPr>
      <w:r>
        <w:rPr>
          <w:rFonts w:hint="eastAsia"/>
          <w:sz w:val="28"/>
          <w:szCs w:val="28"/>
        </w:rPr>
        <w:t>（三）一般公共预算财政拨款支出决算情况说明</w:t>
      </w:r>
    </w:p>
    <w:p>
      <w:pPr>
        <w:ind w:firstLine="560" w:firstLineChars="200"/>
        <w:rPr>
          <w:sz w:val="28"/>
          <w:szCs w:val="28"/>
        </w:rPr>
      </w:pPr>
      <w:r>
        <w:rPr>
          <w:rFonts w:hint="eastAsia"/>
          <w:sz w:val="28"/>
          <w:szCs w:val="28"/>
        </w:rPr>
        <w:t>1.收入情况。</w:t>
      </w:r>
    </w:p>
    <w:p>
      <w:pPr>
        <w:ind w:firstLine="560" w:firstLineChars="200"/>
        <w:rPr>
          <w:sz w:val="28"/>
          <w:szCs w:val="28"/>
        </w:rPr>
      </w:pPr>
      <w:r>
        <w:rPr>
          <w:rFonts w:hint="eastAsia"/>
          <w:sz w:val="28"/>
          <w:szCs w:val="28"/>
        </w:rPr>
        <w:t>2020年度一般公共预算财政拨款收入1,276.98万元，较上年决算数增加7.71万元，增长0.6%。主要原因是人员类经费超额绩效调标及社保费增加等，主要用于保障在职人员工资福利及社会保险缴费，退休人员补助等，保障学校正常运转的各项商品服务支出。较年初预算数 增加125.82万元，增长10.9%。主要原因是人员类经费超额绩效调标及社保费增加、学生的各类资助。此外，年初财政拨款结转和结余249.03万元。</w:t>
      </w:r>
    </w:p>
    <w:p>
      <w:pPr>
        <w:ind w:firstLine="560" w:firstLineChars="200"/>
        <w:rPr>
          <w:sz w:val="28"/>
          <w:szCs w:val="28"/>
        </w:rPr>
      </w:pPr>
      <w:r>
        <w:rPr>
          <w:rFonts w:hint="eastAsia"/>
          <w:sz w:val="28"/>
          <w:szCs w:val="28"/>
        </w:rPr>
        <w:t>2.支出情况。</w:t>
      </w:r>
    </w:p>
    <w:p>
      <w:pPr>
        <w:ind w:firstLine="560" w:firstLineChars="200"/>
        <w:rPr>
          <w:sz w:val="28"/>
          <w:szCs w:val="28"/>
        </w:rPr>
      </w:pPr>
      <w:r>
        <w:rPr>
          <w:rFonts w:hint="eastAsia"/>
          <w:sz w:val="28"/>
          <w:szCs w:val="28"/>
        </w:rPr>
        <w:t>2020年度一般公共预算财政拨款支出1,443.81万元，较上年决算数增加129.19万元，增长9.8%。主要原因是人员类经费超额绩效调标及社保费增加等，主要用于保障在职人员工资福利及社会保险缴费，退休人员补助等，保障学校正常运转的各项商品服务支出。较年初预算数 增加161.73万 元，增长12.6%。主要原因是人员类经费超额绩效调标及社保费增加、学生的各类资助。</w:t>
      </w:r>
    </w:p>
    <w:p>
      <w:pPr>
        <w:ind w:firstLine="560" w:firstLineChars="200"/>
        <w:rPr>
          <w:sz w:val="28"/>
          <w:szCs w:val="28"/>
        </w:rPr>
      </w:pPr>
      <w:r>
        <w:rPr>
          <w:rFonts w:hint="eastAsia"/>
          <w:sz w:val="28"/>
          <w:szCs w:val="28"/>
        </w:rPr>
        <w:t>3.结转结余情况。</w:t>
      </w:r>
    </w:p>
    <w:p>
      <w:pPr>
        <w:ind w:firstLine="560" w:firstLineChars="200"/>
        <w:rPr>
          <w:sz w:val="28"/>
          <w:szCs w:val="28"/>
        </w:rPr>
      </w:pPr>
      <w:r>
        <w:rPr>
          <w:rFonts w:hint="eastAsia"/>
          <w:sz w:val="28"/>
          <w:szCs w:val="28"/>
        </w:rPr>
        <w:t>2020年度年末一般公共预算财政拨款结转和结余82.20万元，较上年决算数减少48.73万元，下降37.2%，主要原因是加大了学校建设和基础设施等的投入，改善了办学条件，美化了教学环境。</w:t>
      </w:r>
    </w:p>
    <w:p>
      <w:pPr>
        <w:ind w:firstLine="560" w:firstLineChars="200"/>
        <w:rPr>
          <w:sz w:val="28"/>
          <w:szCs w:val="28"/>
        </w:rPr>
      </w:pPr>
      <w:r>
        <w:rPr>
          <w:rFonts w:hint="eastAsia"/>
          <w:sz w:val="28"/>
          <w:szCs w:val="28"/>
        </w:rPr>
        <w:t>4.比较情况。本部门2020年度一般公共预算财政拨款支出主要用于以下几个方面：</w:t>
      </w:r>
    </w:p>
    <w:p>
      <w:pPr>
        <w:ind w:firstLine="560" w:firstLineChars="200"/>
        <w:rPr>
          <w:sz w:val="28"/>
          <w:szCs w:val="28"/>
        </w:rPr>
      </w:pPr>
      <w:r>
        <w:rPr>
          <w:rFonts w:hint="eastAsia"/>
          <w:sz w:val="28"/>
          <w:szCs w:val="28"/>
        </w:rPr>
        <w:t>（1）教育支出1,046.27万元，占72.5%，较年初预算数增加100.67万 元，增长10.6%，主要原因是人员类经费超额绩效调标及社保费增加等，主要用于保障在职人员工资福利及社会保险缴费，退休人员补助等，学生各类资助支出，保障学校正常运转的各项商品服务支出等。</w:t>
      </w:r>
    </w:p>
    <w:p>
      <w:pPr>
        <w:ind w:firstLine="560" w:firstLineChars="200"/>
        <w:rPr>
          <w:sz w:val="28"/>
          <w:szCs w:val="28"/>
        </w:rPr>
      </w:pPr>
      <w:r>
        <w:rPr>
          <w:rFonts w:hint="eastAsia"/>
          <w:sz w:val="28"/>
          <w:szCs w:val="28"/>
        </w:rPr>
        <w:t>（2）文化旅游体育与传媒支出8.00万元，占0.6%，较年初预算数增加0.00万 元，增长0%，主要原因是学校为了更好的传承非遗文化，办好非遗特色学校，购置了演出设备、服装道具等。</w:t>
      </w:r>
    </w:p>
    <w:p>
      <w:pPr>
        <w:ind w:firstLine="560" w:firstLineChars="200"/>
        <w:rPr>
          <w:sz w:val="28"/>
          <w:szCs w:val="28"/>
        </w:rPr>
      </w:pPr>
      <w:r>
        <w:rPr>
          <w:rFonts w:hint="eastAsia"/>
          <w:sz w:val="28"/>
          <w:szCs w:val="28"/>
        </w:rPr>
        <w:t>（3）社会保障与就业支出274.35万元，占19%，较年初预算数增加75.19万 元，增长37.7%，主要原因是保障教师的养老保险和职业年金、退休教师的健康休养费等。</w:t>
      </w:r>
    </w:p>
    <w:p>
      <w:pPr>
        <w:ind w:firstLine="560" w:firstLineChars="200"/>
        <w:rPr>
          <w:sz w:val="28"/>
          <w:szCs w:val="28"/>
        </w:rPr>
      </w:pPr>
      <w:r>
        <w:rPr>
          <w:rFonts w:hint="eastAsia"/>
          <w:sz w:val="28"/>
          <w:szCs w:val="28"/>
        </w:rPr>
        <w:t>（4）卫生健康支出54.49万元，占3.8%，较年初预算数减少14.88万 元，下降21.5%，主要原因是保障教师的各类保险支出及退休教师的公务员补助等。</w:t>
      </w:r>
    </w:p>
    <w:p>
      <w:pPr>
        <w:ind w:firstLine="560" w:firstLineChars="200"/>
        <w:rPr>
          <w:sz w:val="28"/>
          <w:szCs w:val="28"/>
        </w:rPr>
      </w:pPr>
      <w:r>
        <w:rPr>
          <w:rFonts w:hint="eastAsia"/>
          <w:sz w:val="28"/>
          <w:szCs w:val="28"/>
        </w:rPr>
        <w:t>（5）住房保障支出60.70万元，占4.2%，较年初预算数增加0.73万 元，增长1.2%，主要原因是教师各类工资增加，导致住房公积金的增加。</w:t>
      </w:r>
    </w:p>
    <w:p>
      <w:pPr>
        <w:ind w:firstLine="560" w:firstLineChars="200"/>
        <w:rPr>
          <w:sz w:val="28"/>
          <w:szCs w:val="28"/>
        </w:rPr>
      </w:pPr>
      <w:r>
        <w:rPr>
          <w:rFonts w:hint="eastAsia"/>
          <w:sz w:val="28"/>
          <w:szCs w:val="28"/>
        </w:rPr>
        <w:t>（四）一般公共预算财政拨款基本支出决算情况说明</w:t>
      </w:r>
    </w:p>
    <w:p>
      <w:pPr>
        <w:ind w:firstLine="560" w:firstLineChars="200"/>
        <w:rPr>
          <w:sz w:val="28"/>
          <w:szCs w:val="28"/>
        </w:rPr>
      </w:pPr>
      <w:r>
        <w:rPr>
          <w:rFonts w:hint="eastAsia"/>
          <w:sz w:val="28"/>
          <w:szCs w:val="28"/>
        </w:rPr>
        <w:t>  2020年度一般公共财政拨款基本支出1,317.92万元。其中：人员经费1,246.66万元，较上年决算数增加77.11万 元，增长6.6%，主要原因是人员类经费超额绩效调标及社保费增加等，主要用于保障在职人员工资福利及社会保险缴费，退休人员补助等。人员经费用途主要包括工资调标、绩效工资调整、住房公积金增加等。公用经费71.25万元，较上年决算数减少29.77万元，下降29.5%，主要原因是学生人数减少，上面对学校基本建设的投入减少。公用经费用途主要包括办公费、水电费、差旅费、培训费、劳务费、工会费、福利费等。</w:t>
      </w:r>
    </w:p>
    <w:p>
      <w:pPr>
        <w:ind w:firstLine="560" w:firstLineChars="200"/>
        <w:rPr>
          <w:sz w:val="28"/>
          <w:szCs w:val="28"/>
        </w:rPr>
      </w:pPr>
      <w:r>
        <w:rPr>
          <w:rFonts w:hint="eastAsia"/>
          <w:sz w:val="28"/>
          <w:szCs w:val="28"/>
        </w:rPr>
        <w:t>（五）政府性基金预算收支决算情况说明</w:t>
      </w:r>
    </w:p>
    <w:p>
      <w:pPr>
        <w:ind w:firstLine="560" w:firstLineChars="200"/>
        <w:rPr>
          <w:sz w:val="28"/>
          <w:szCs w:val="28"/>
        </w:rPr>
      </w:pPr>
      <w:r>
        <w:rPr>
          <w:rFonts w:hint="eastAsia"/>
          <w:sz w:val="28"/>
          <w:szCs w:val="28"/>
        </w:rPr>
        <w:t>  2020年度政府性基金预算财政拨款年初结转结余0.00万元，年末结转结余0.00万元。本年收入200.00万元，较上年决算数增加200.00万元，增长%，主要原因是为了更好的改善办学环境，上面加大了对东溪中心幼儿园建设的投入。本年支出200.00万元，较上年决算数增加200.00万元，增长%，主要原因为了更好的改善办学环境，上面加大了对东溪中心幼儿园建设的投入。</w:t>
      </w:r>
    </w:p>
    <w:p>
      <w:pPr>
        <w:ind w:left="557" w:leftChars="232"/>
        <w:rPr>
          <w:sz w:val="28"/>
          <w:szCs w:val="28"/>
        </w:rPr>
      </w:pPr>
      <w:r>
        <w:rPr>
          <w:rFonts w:hint="eastAsia"/>
          <w:sz w:val="28"/>
          <w:szCs w:val="28"/>
        </w:rPr>
        <w:t>（六）国有资本经营预算财政拨款支决算情况说明。</w:t>
      </w:r>
      <w:r>
        <w:rPr>
          <w:rFonts w:hint="eastAsia"/>
          <w:sz w:val="28"/>
          <w:szCs w:val="28"/>
        </w:rPr>
        <w:br w:type="textWrapping"/>
      </w:r>
      <w:r>
        <w:rPr>
          <w:rFonts w:hint="eastAsia"/>
          <w:sz w:val="28"/>
          <w:szCs w:val="28"/>
        </w:rPr>
        <w:t>本部门2020年度无国有资本经营预算财政拨款支出。</w:t>
      </w:r>
    </w:p>
    <w:p>
      <w:pPr>
        <w:ind w:firstLine="560" w:firstLineChars="200"/>
        <w:rPr>
          <w:sz w:val="28"/>
          <w:szCs w:val="28"/>
        </w:rPr>
      </w:pPr>
      <w:r>
        <w:rPr>
          <w:rFonts w:hint="eastAsia"/>
          <w:sz w:val="28"/>
          <w:szCs w:val="28"/>
        </w:rPr>
        <w:t>三、“三公”经费情况说明</w:t>
      </w:r>
    </w:p>
    <w:p>
      <w:pPr>
        <w:ind w:firstLine="560" w:firstLineChars="200"/>
        <w:rPr>
          <w:sz w:val="28"/>
          <w:szCs w:val="28"/>
        </w:rPr>
      </w:pPr>
      <w:r>
        <w:rPr>
          <w:rFonts w:hint="eastAsia"/>
          <w:sz w:val="28"/>
          <w:szCs w:val="28"/>
        </w:rPr>
        <w:t>（一）“三公”经费支出总体情况说明</w:t>
      </w:r>
    </w:p>
    <w:p>
      <w:pPr>
        <w:ind w:firstLine="560" w:firstLineChars="200"/>
        <w:rPr>
          <w:sz w:val="28"/>
          <w:szCs w:val="28"/>
        </w:rPr>
      </w:pPr>
      <w:r>
        <w:rPr>
          <w:rFonts w:hint="eastAsia"/>
          <w:sz w:val="28"/>
          <w:szCs w:val="28"/>
        </w:rPr>
        <w:t>2020年度“三公”经费支出共计0.00万元，较年初预算数增加0.00万元，增长%， 较上年支出数增加0.00万 元，增长%。</w:t>
      </w:r>
    </w:p>
    <w:p>
      <w:pPr>
        <w:ind w:firstLine="560" w:firstLineChars="200"/>
        <w:rPr>
          <w:sz w:val="28"/>
          <w:szCs w:val="28"/>
        </w:rPr>
      </w:pPr>
      <w:r>
        <w:rPr>
          <w:rFonts w:hint="eastAsia"/>
          <w:sz w:val="28"/>
          <w:szCs w:val="28"/>
        </w:rPr>
        <w:t>（二）“三公”经费分项支出情况</w:t>
      </w:r>
    </w:p>
    <w:p>
      <w:pPr>
        <w:ind w:firstLine="560" w:firstLineChars="200"/>
        <w:rPr>
          <w:sz w:val="28"/>
          <w:szCs w:val="28"/>
        </w:rPr>
      </w:pPr>
      <w:r>
        <w:rPr>
          <w:rFonts w:hint="eastAsia"/>
          <w:sz w:val="28"/>
          <w:szCs w:val="28"/>
        </w:rPr>
        <w:t>2020年度本部门因公出国（境）费用0.00万元，费用支出较年初预算数增加0.00万元，增长%，较上年支出数增加0.00万元，增长%。本部门没有因公出国（境）人员。</w:t>
      </w:r>
    </w:p>
    <w:p>
      <w:pPr>
        <w:ind w:firstLine="560" w:firstLineChars="200"/>
        <w:rPr>
          <w:sz w:val="28"/>
          <w:szCs w:val="28"/>
        </w:rPr>
      </w:pPr>
      <w:r>
        <w:rPr>
          <w:rFonts w:hint="eastAsia"/>
          <w:sz w:val="28"/>
          <w:szCs w:val="28"/>
        </w:rPr>
        <w:t>公务车购置费0.00万元，费用支出较年初预算数增加0.00万元，增长%，较上年支出数增加0.00万元，增长%。本部门没有公务用车。</w:t>
      </w:r>
    </w:p>
    <w:p>
      <w:pPr>
        <w:ind w:firstLine="560" w:firstLineChars="200"/>
        <w:rPr>
          <w:sz w:val="28"/>
          <w:szCs w:val="28"/>
        </w:rPr>
      </w:pPr>
      <w:r>
        <w:rPr>
          <w:rFonts w:hint="eastAsia"/>
          <w:sz w:val="28"/>
          <w:szCs w:val="28"/>
        </w:rPr>
        <w:t>公务车运行维护费0.00万元，费用支出较年初预算数增加0.00万元，增长%，较上年支出数增加0.00万元，增长%。本部门没有公务用车。</w:t>
      </w:r>
    </w:p>
    <w:p>
      <w:pPr>
        <w:ind w:firstLine="560" w:firstLineChars="200"/>
        <w:rPr>
          <w:sz w:val="28"/>
          <w:szCs w:val="28"/>
        </w:rPr>
      </w:pPr>
      <w:r>
        <w:rPr>
          <w:rFonts w:hint="eastAsia"/>
          <w:sz w:val="28"/>
          <w:szCs w:val="28"/>
        </w:rPr>
        <w:t>公务接待费0.00万元，费用支出较年初预算数增加0.00万元，增长%，较上年支出数增加0.00万元，增长%。本部门没有产生公务接待。</w:t>
      </w:r>
    </w:p>
    <w:p>
      <w:pPr>
        <w:ind w:firstLine="560" w:firstLineChars="200"/>
        <w:rPr>
          <w:sz w:val="28"/>
          <w:szCs w:val="28"/>
        </w:rPr>
      </w:pPr>
      <w:r>
        <w:rPr>
          <w:rFonts w:hint="eastAsia"/>
          <w:sz w:val="28"/>
          <w:szCs w:val="28"/>
        </w:rPr>
        <w:t>（三）“三公”经费实物量情况</w:t>
      </w:r>
    </w:p>
    <w:p>
      <w:pPr>
        <w:ind w:firstLine="560" w:firstLineChars="200"/>
        <w:rPr>
          <w:sz w:val="28"/>
          <w:szCs w:val="28"/>
        </w:rPr>
      </w:pPr>
      <w:r>
        <w:rPr>
          <w:rFonts w:hint="eastAsia"/>
          <w:sz w:val="28"/>
          <w:szCs w:val="28"/>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ind w:firstLine="560" w:firstLineChars="200"/>
        <w:rPr>
          <w:sz w:val="28"/>
          <w:szCs w:val="28"/>
        </w:rPr>
      </w:pPr>
      <w:r>
        <w:rPr>
          <w:rFonts w:hint="eastAsia"/>
          <w:sz w:val="28"/>
          <w:szCs w:val="28"/>
        </w:rPr>
        <w:t>四、其他需要说明的事项</w:t>
      </w:r>
    </w:p>
    <w:p>
      <w:pPr>
        <w:ind w:firstLine="560" w:firstLineChars="200"/>
        <w:rPr>
          <w:sz w:val="28"/>
          <w:szCs w:val="28"/>
        </w:rPr>
      </w:pPr>
      <w:r>
        <w:rPr>
          <w:rFonts w:hint="eastAsia"/>
          <w:sz w:val="28"/>
          <w:szCs w:val="28"/>
        </w:rPr>
        <w:t>（一）机关运行经费情况说明</w:t>
      </w:r>
    </w:p>
    <w:p>
      <w:pPr>
        <w:ind w:firstLine="560" w:firstLineChars="200"/>
        <w:rPr>
          <w:sz w:val="28"/>
          <w:szCs w:val="28"/>
        </w:rPr>
      </w:pPr>
      <w:r>
        <w:rPr>
          <w:rFonts w:hint="eastAsia"/>
          <w:sz w:val="28"/>
          <w:szCs w:val="28"/>
        </w:rPr>
        <w:t>2020年度本部门机关运行经费支出0.00万元， 机关运行经费较上年决算数增加0.00万元，增长%。我单位不在机关运行经费统计范围之内。</w:t>
      </w:r>
    </w:p>
    <w:p>
      <w:pPr>
        <w:ind w:firstLine="560" w:firstLineChars="200"/>
        <w:rPr>
          <w:sz w:val="28"/>
          <w:szCs w:val="28"/>
        </w:rPr>
      </w:pPr>
      <w:r>
        <w:rPr>
          <w:rFonts w:hint="eastAsia"/>
          <w:sz w:val="28"/>
          <w:szCs w:val="28"/>
        </w:rPr>
        <w:t>本年度会议费支出0.20万元，较上年决算数减少0.48万元，下降70.6%，主要原因是严格执行中央八项规定，减少会议次数等。本年度培训费支出 5.12万元，较上年决算数增加1.13万元，增长28.3%，主要原因是为了提高教师的业务素质，加大了教师参加各级各类的培训等。</w:t>
      </w:r>
    </w:p>
    <w:p>
      <w:pPr>
        <w:ind w:firstLine="560" w:firstLineChars="200"/>
        <w:rPr>
          <w:sz w:val="28"/>
          <w:szCs w:val="28"/>
        </w:rPr>
      </w:pPr>
      <w:r>
        <w:rPr>
          <w:rFonts w:hint="eastAsia"/>
          <w:sz w:val="28"/>
          <w:szCs w:val="28"/>
        </w:rPr>
        <w:t>（二）国有资产占用情况说明</w:t>
      </w:r>
    </w:p>
    <w:p>
      <w:pPr>
        <w:ind w:firstLine="560" w:firstLineChars="200"/>
        <w:rPr>
          <w:sz w:val="28"/>
          <w:szCs w:val="28"/>
        </w:rPr>
      </w:pPr>
      <w:r>
        <w:rPr>
          <w:rFonts w:hint="eastAsia"/>
          <w:sz w:val="28"/>
          <w:szCs w:val="28"/>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ind w:firstLine="560" w:firstLineChars="200"/>
        <w:rPr>
          <w:sz w:val="28"/>
          <w:szCs w:val="28"/>
        </w:rPr>
      </w:pPr>
      <w:r>
        <w:rPr>
          <w:rFonts w:hint="eastAsia"/>
          <w:sz w:val="28"/>
          <w:szCs w:val="28"/>
        </w:rPr>
        <w:t>（三）政府采购支出情况说明</w:t>
      </w:r>
    </w:p>
    <w:p>
      <w:pPr>
        <w:ind w:firstLine="560" w:firstLineChars="200"/>
        <w:rPr>
          <w:sz w:val="28"/>
          <w:szCs w:val="28"/>
        </w:rPr>
      </w:pPr>
      <w:r>
        <w:rPr>
          <w:rFonts w:hint="eastAsia"/>
          <w:sz w:val="28"/>
          <w:szCs w:val="28"/>
        </w:rPr>
        <w:t>2020年度本部门政府采购支出总额0.00万元，其中：政府采购货物支出0.00万元、政府采购工程支出0.00万元、政府采购服务支出0.00万元。授予中小企业合同金额0.00万元，占政府采购支出总额的%，其中：授予小微企业合同金额 0.00万元，占政府采购支出总额的%。2020年度我单位没有发生政府采购事项，无相关经费支出。</w:t>
      </w:r>
    </w:p>
    <w:p>
      <w:pPr>
        <w:ind w:firstLine="560" w:firstLineChars="200"/>
        <w:rPr>
          <w:sz w:val="28"/>
          <w:szCs w:val="28"/>
        </w:rPr>
      </w:pPr>
      <w:r>
        <w:rPr>
          <w:rFonts w:hint="eastAsia"/>
          <w:sz w:val="28"/>
          <w:szCs w:val="28"/>
        </w:rPr>
        <w:t>五、预算绩效管理情况说明</w:t>
      </w:r>
    </w:p>
    <w:p>
      <w:pPr>
        <w:ind w:firstLine="560" w:firstLineChars="200"/>
        <w:rPr>
          <w:sz w:val="28"/>
          <w:szCs w:val="28"/>
        </w:rPr>
      </w:pPr>
      <w:r>
        <w:rPr>
          <w:rFonts w:hint="eastAsia"/>
          <w:sz w:val="28"/>
          <w:szCs w:val="28"/>
        </w:rPr>
        <w:t>（一）预算绩效管理工作开展情况</w:t>
      </w:r>
    </w:p>
    <w:p>
      <w:pPr>
        <w:ind w:firstLine="560" w:firstLineChars="200"/>
        <w:rPr>
          <w:sz w:val="28"/>
          <w:szCs w:val="28"/>
        </w:rPr>
      </w:pPr>
      <w:r>
        <w:rPr>
          <w:rFonts w:hint="eastAsia"/>
          <w:sz w:val="28"/>
          <w:szCs w:val="28"/>
        </w:rPr>
        <w:t>根据预算绩效管理要求，本部门对18个项目开展了绩效自评，其中，以填报目标自评表形式开展自评18项，涉及资金333.9116万元；以委托第三方形式开展绩效自评0项，涉及资金0万元，从评价情况来看，学校的整体情况较好，完成了93.94%。</w:t>
      </w:r>
    </w:p>
    <w:p>
      <w:pPr>
        <w:ind w:firstLine="560" w:firstLineChars="200"/>
        <w:rPr>
          <w:sz w:val="28"/>
          <w:szCs w:val="28"/>
        </w:rPr>
      </w:pPr>
      <w:r>
        <w:rPr>
          <w:rFonts w:hint="eastAsia"/>
          <w:sz w:val="28"/>
          <w:szCs w:val="28"/>
        </w:rPr>
        <w:t>（二）绩效自评结果</w:t>
      </w:r>
    </w:p>
    <w:p>
      <w:pPr>
        <w:ind w:firstLine="560" w:firstLineChars="200"/>
        <w:rPr>
          <w:sz w:val="28"/>
          <w:szCs w:val="28"/>
        </w:rPr>
      </w:pPr>
      <w:r>
        <w:rPr>
          <w:rFonts w:hint="eastAsia"/>
          <w:sz w:val="28"/>
          <w:szCs w:val="28"/>
        </w:rPr>
        <w:t>1.绩效自评表</w:t>
      </w:r>
    </w:p>
    <w:tbl>
      <w:tblPr>
        <w:tblStyle w:val="6"/>
        <w:tblW w:w="9692" w:type="dxa"/>
        <w:tblInd w:w="93" w:type="dxa"/>
        <w:tblLayout w:type="fixed"/>
        <w:tblCellMar>
          <w:top w:w="0" w:type="dxa"/>
          <w:left w:w="108" w:type="dxa"/>
          <w:bottom w:w="0" w:type="dxa"/>
          <w:right w:w="108" w:type="dxa"/>
        </w:tblCellMar>
      </w:tblPr>
      <w:tblGrid>
        <w:gridCol w:w="790"/>
        <w:gridCol w:w="138"/>
        <w:gridCol w:w="1028"/>
        <w:gridCol w:w="1185"/>
        <w:gridCol w:w="810"/>
        <w:gridCol w:w="967"/>
        <w:gridCol w:w="238"/>
        <w:gridCol w:w="510"/>
        <w:gridCol w:w="423"/>
        <w:gridCol w:w="233"/>
        <w:gridCol w:w="656"/>
        <w:gridCol w:w="327"/>
        <w:gridCol w:w="226"/>
        <w:gridCol w:w="564"/>
        <w:gridCol w:w="246"/>
        <w:gridCol w:w="889"/>
        <w:gridCol w:w="462"/>
      </w:tblGrid>
      <w:tr>
        <w:tblPrEx>
          <w:tblCellMar>
            <w:top w:w="0" w:type="dxa"/>
            <w:left w:w="108" w:type="dxa"/>
            <w:bottom w:w="0" w:type="dxa"/>
            <w:right w:w="108" w:type="dxa"/>
          </w:tblCellMar>
        </w:tblPrEx>
        <w:trPr>
          <w:trHeight w:val="828" w:hRule="atLeast"/>
        </w:trPr>
        <w:tc>
          <w:tcPr>
            <w:tcW w:w="9692" w:type="dxa"/>
            <w:gridSpan w:val="17"/>
            <w:tcBorders>
              <w:top w:val="nil"/>
              <w:left w:val="nil"/>
              <w:bottom w:val="nil"/>
              <w:right w:val="nil"/>
            </w:tcBorders>
            <w:shd w:val="clear" w:color="auto" w:fill="auto"/>
            <w:noWrap/>
            <w:vAlign w:val="center"/>
          </w:tcPr>
          <w:p>
            <w:pPr>
              <w:jc w:val="center"/>
              <w:rPr>
                <w:b/>
                <w:bCs/>
                <w:sz w:val="32"/>
                <w:szCs w:val="32"/>
              </w:rPr>
            </w:pPr>
            <w:r>
              <w:rPr>
                <w:rFonts w:hint="eastAsia"/>
                <w:b/>
                <w:bCs/>
                <w:sz w:val="32"/>
                <w:szCs w:val="32"/>
              </w:rPr>
              <w:t>2020年度部门（单位）项目支出绩效自评汇总表</w:t>
            </w:r>
          </w:p>
        </w:tc>
      </w:tr>
      <w:tr>
        <w:tblPrEx>
          <w:tblCellMar>
            <w:top w:w="0" w:type="dxa"/>
            <w:left w:w="108" w:type="dxa"/>
            <w:bottom w:w="0" w:type="dxa"/>
            <w:right w:w="108" w:type="dxa"/>
          </w:tblCellMar>
        </w:tblPrEx>
        <w:trPr>
          <w:gridAfter w:val="11"/>
          <w:wAfter w:w="4774" w:type="dxa"/>
          <w:trHeight w:val="483" w:hRule="atLeast"/>
        </w:trPr>
        <w:tc>
          <w:tcPr>
            <w:tcW w:w="4918" w:type="dxa"/>
            <w:gridSpan w:val="6"/>
            <w:tcBorders>
              <w:top w:val="nil"/>
              <w:left w:val="nil"/>
              <w:bottom w:val="nil"/>
              <w:right w:val="nil"/>
            </w:tcBorders>
            <w:shd w:val="clear" w:color="auto" w:fill="auto"/>
            <w:noWrap/>
            <w:vAlign w:val="center"/>
          </w:tcPr>
          <w:p>
            <w:pPr>
              <w:rPr>
                <w:b/>
                <w:bCs/>
                <w:sz w:val="22"/>
                <w:szCs w:val="22"/>
              </w:rPr>
            </w:pPr>
            <w:r>
              <w:rPr>
                <w:rFonts w:hint="eastAsia"/>
                <w:b/>
                <w:bCs/>
                <w:sz w:val="22"/>
                <w:szCs w:val="22"/>
              </w:rPr>
              <w:t>填表单位（盖章）：重庆市綦江区永乐小学</w:t>
            </w:r>
          </w:p>
        </w:tc>
      </w:tr>
      <w:tr>
        <w:tblPrEx>
          <w:tblCellMar>
            <w:top w:w="0" w:type="dxa"/>
            <w:left w:w="108" w:type="dxa"/>
            <w:bottom w:w="0" w:type="dxa"/>
            <w:right w:w="108" w:type="dxa"/>
          </w:tblCellMar>
        </w:tblPrEx>
        <w:trPr>
          <w:trHeight w:val="297" w:hRule="atLeast"/>
        </w:trPr>
        <w:tc>
          <w:tcPr>
            <w:tcW w:w="79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序号</w:t>
            </w:r>
          </w:p>
        </w:tc>
        <w:tc>
          <w:tcPr>
            <w:tcW w:w="1166"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指标管理科室</w:t>
            </w:r>
          </w:p>
        </w:tc>
        <w:tc>
          <w:tcPr>
            <w:tcW w:w="118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预算单位</w:t>
            </w:r>
          </w:p>
        </w:tc>
        <w:tc>
          <w:tcPr>
            <w:tcW w:w="1777"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项目名称</w:t>
            </w:r>
          </w:p>
        </w:tc>
        <w:tc>
          <w:tcPr>
            <w:tcW w:w="2613" w:type="dxa"/>
            <w:gridSpan w:val="7"/>
            <w:tcBorders>
              <w:top w:val="single" w:color="auto" w:sz="4" w:space="0"/>
              <w:left w:val="nil"/>
              <w:bottom w:val="single" w:color="auto" w:sz="4" w:space="0"/>
              <w:right w:val="single" w:color="000000" w:sz="4" w:space="0"/>
            </w:tcBorders>
            <w:shd w:val="clear" w:color="auto" w:fill="auto"/>
            <w:vAlign w:val="center"/>
          </w:tcPr>
          <w:p>
            <w:pPr>
              <w:jc w:val="center"/>
              <w:rPr>
                <w:sz w:val="22"/>
                <w:szCs w:val="22"/>
              </w:rPr>
            </w:pPr>
            <w:r>
              <w:rPr>
                <w:rFonts w:hint="eastAsia"/>
                <w:sz w:val="22"/>
                <w:szCs w:val="22"/>
              </w:rPr>
              <w:t>资金总量（万元）</w:t>
            </w:r>
          </w:p>
        </w:tc>
        <w:tc>
          <w:tcPr>
            <w:tcW w:w="81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自评得分</w:t>
            </w:r>
          </w:p>
        </w:tc>
        <w:tc>
          <w:tcPr>
            <w:tcW w:w="88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自评等级</w:t>
            </w:r>
          </w:p>
        </w:tc>
        <w:tc>
          <w:tcPr>
            <w:tcW w:w="46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sz w:val="22"/>
                <w:szCs w:val="22"/>
              </w:rPr>
            </w:pPr>
            <w:r>
              <w:rPr>
                <w:rFonts w:hint="eastAsia"/>
                <w:sz w:val="22"/>
                <w:szCs w:val="22"/>
              </w:rPr>
              <w:t>备注</w:t>
            </w:r>
          </w:p>
        </w:tc>
      </w:tr>
      <w:tr>
        <w:tblPrEx>
          <w:tblCellMar>
            <w:top w:w="0" w:type="dxa"/>
            <w:left w:w="108" w:type="dxa"/>
            <w:bottom w:w="0" w:type="dxa"/>
            <w:right w:w="108" w:type="dxa"/>
          </w:tblCellMar>
        </w:tblPrEx>
        <w:trPr>
          <w:trHeight w:val="1159" w:hRule="atLeast"/>
        </w:trPr>
        <w:tc>
          <w:tcPr>
            <w:tcW w:w="790" w:type="dxa"/>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c>
          <w:tcPr>
            <w:tcW w:w="1166" w:type="dxa"/>
            <w:gridSpan w:val="2"/>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c>
          <w:tcPr>
            <w:tcW w:w="1185" w:type="dxa"/>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c>
          <w:tcPr>
            <w:tcW w:w="1777" w:type="dxa"/>
            <w:gridSpan w:val="2"/>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中央资金</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市级资金</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区级资金</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其他资金</w:t>
            </w:r>
          </w:p>
        </w:tc>
        <w:tc>
          <w:tcPr>
            <w:tcW w:w="810" w:type="dxa"/>
            <w:gridSpan w:val="2"/>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c>
          <w:tcPr>
            <w:tcW w:w="889" w:type="dxa"/>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c>
          <w:tcPr>
            <w:tcW w:w="462" w:type="dxa"/>
            <w:vMerge w:val="continue"/>
            <w:tcBorders>
              <w:top w:val="single" w:color="auto" w:sz="4" w:space="0"/>
              <w:left w:val="single" w:color="auto" w:sz="4" w:space="0"/>
              <w:bottom w:val="single" w:color="000000" w:sz="4" w:space="0"/>
              <w:right w:val="single" w:color="auto" w:sz="4" w:space="0"/>
            </w:tcBorders>
            <w:vAlign w:val="center"/>
          </w:tcPr>
          <w:p>
            <w:pPr>
              <w:rPr>
                <w:sz w:val="22"/>
                <w:szCs w:val="22"/>
              </w:rPr>
            </w:pPr>
          </w:p>
        </w:tc>
      </w:tr>
      <w:tr>
        <w:tblPrEx>
          <w:tblCellMar>
            <w:top w:w="0" w:type="dxa"/>
            <w:left w:w="108" w:type="dxa"/>
            <w:bottom w:w="0" w:type="dxa"/>
            <w:right w:w="108" w:type="dxa"/>
          </w:tblCellMar>
        </w:tblPrEx>
        <w:trPr>
          <w:trHeight w:val="871"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东溪中心幼儿园改扩建及设备购置</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200</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2</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中心校房盖漏水维修</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6</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3</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白云和巩固村小厕所改造</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7</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99.9</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871"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4</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附设园、白云和巩固村小监控升级改造补助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3.3</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5</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教学综合楼建设缺口</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53.5</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20"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6</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资源室建设</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20</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7</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少儿川剧传承基地建设经费补助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8</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1159"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8</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2020年普惠幼儿园生均公用经费财政补助专项资金</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4.25</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94.35</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1159"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9</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2020年教育系统预算内非税收入用于补助公用经费</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5.72</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差</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20"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一般公用经费</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11</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11</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家庭经济困难幼儿资助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1.12</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0.25</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12</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非寄宿生生活补助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1.58</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1.23</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20"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13</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寄宿生生活补助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1.15</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0.65</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14</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完整午餐生活补助及运行经费</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0.6</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20"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15</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爱心午餐生活费</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1.22</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16</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非寄建卡生活费补助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2.15</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17</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乡村教师岗位生活补助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1.27</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0.42</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96.73</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trHeight w:val="584" w:hRule="atLeast"/>
        </w:trPr>
        <w:tc>
          <w:tcPr>
            <w:tcW w:w="790" w:type="dxa"/>
            <w:tcBorders>
              <w:top w:val="nil"/>
              <w:left w:val="single" w:color="auto" w:sz="4" w:space="0"/>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18</w:t>
            </w:r>
          </w:p>
        </w:tc>
        <w:tc>
          <w:tcPr>
            <w:tcW w:w="116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教科文科</w:t>
            </w:r>
          </w:p>
        </w:tc>
        <w:tc>
          <w:tcPr>
            <w:tcW w:w="1185"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永乐小学</w:t>
            </w:r>
          </w:p>
        </w:tc>
        <w:tc>
          <w:tcPr>
            <w:tcW w:w="1777"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疫情期间临聘人员费用补助</w:t>
            </w:r>
          </w:p>
        </w:tc>
        <w:tc>
          <w:tcPr>
            <w:tcW w:w="748"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656"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3.53</w:t>
            </w:r>
          </w:p>
        </w:tc>
        <w:tc>
          <w:tcPr>
            <w:tcW w:w="553"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c>
          <w:tcPr>
            <w:tcW w:w="810" w:type="dxa"/>
            <w:gridSpan w:val="2"/>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100</w:t>
            </w:r>
          </w:p>
        </w:tc>
        <w:tc>
          <w:tcPr>
            <w:tcW w:w="889"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优</w:t>
            </w:r>
          </w:p>
        </w:tc>
        <w:tc>
          <w:tcPr>
            <w:tcW w:w="462" w:type="dxa"/>
            <w:tcBorders>
              <w:top w:val="nil"/>
              <w:left w:val="nil"/>
              <w:bottom w:val="single" w:color="auto" w:sz="4" w:space="0"/>
              <w:right w:val="single" w:color="auto" w:sz="4" w:space="0"/>
            </w:tcBorders>
            <w:shd w:val="clear" w:color="auto" w:fill="auto"/>
            <w:vAlign w:val="center"/>
          </w:tcPr>
          <w:p>
            <w:pPr>
              <w:jc w:val="center"/>
              <w:rPr>
                <w:sz w:val="22"/>
                <w:szCs w:val="22"/>
              </w:rPr>
            </w:pPr>
            <w:r>
              <w:rPr>
                <w:rFonts w:hint="eastAsia"/>
                <w:sz w:val="22"/>
                <w:szCs w:val="22"/>
              </w:rPr>
              <w:t>　</w:t>
            </w:r>
          </w:p>
        </w:tc>
      </w:tr>
      <w:tr>
        <w:tblPrEx>
          <w:tblCellMar>
            <w:top w:w="0" w:type="dxa"/>
            <w:left w:w="108" w:type="dxa"/>
            <w:bottom w:w="0" w:type="dxa"/>
            <w:right w:w="108" w:type="dxa"/>
          </w:tblCellMar>
        </w:tblPrEx>
        <w:trPr>
          <w:wAfter w:w="0" w:type="auto"/>
          <w:trHeight w:val="599" w:hRule="atLeast"/>
        </w:trPr>
        <w:tc>
          <w:tcPr>
            <w:tcW w:w="9692" w:type="dxa"/>
            <w:gridSpan w:val="17"/>
            <w:tcBorders>
              <w:top w:val="nil"/>
              <w:left w:val="nil"/>
              <w:bottom w:val="nil"/>
              <w:right w:val="nil"/>
            </w:tcBorders>
            <w:shd w:val="clear" w:color="auto" w:fill="auto"/>
            <w:vAlign w:val="center"/>
          </w:tcPr>
          <w:p>
            <w:pPr>
              <w:jc w:val="center"/>
              <w:rPr>
                <w:b/>
                <w:bCs/>
                <w:color w:val="000000"/>
                <w:sz w:val="32"/>
                <w:szCs w:val="32"/>
              </w:rPr>
            </w:pPr>
            <w:r>
              <w:rPr>
                <w:rFonts w:hint="eastAsia"/>
                <w:b/>
                <w:bCs/>
                <w:color w:val="000000"/>
                <w:sz w:val="32"/>
                <w:szCs w:val="32"/>
              </w:rPr>
              <w:t>2020年度部门（单位）项目支出绩效自评表</w:t>
            </w:r>
          </w:p>
        </w:tc>
      </w:tr>
      <w:tr>
        <w:tblPrEx>
          <w:tblCellMar>
            <w:top w:w="0" w:type="dxa"/>
            <w:left w:w="108" w:type="dxa"/>
            <w:bottom w:w="0" w:type="dxa"/>
            <w:right w:w="108" w:type="dxa"/>
          </w:tblCellMar>
        </w:tblPrEx>
        <w:trPr>
          <w:gridAfter w:val="13"/>
          <w:wAfter w:w="6551" w:type="dxa"/>
          <w:trHeight w:val="589" w:hRule="atLeast"/>
        </w:trPr>
        <w:tc>
          <w:tcPr>
            <w:tcW w:w="3141" w:type="dxa"/>
            <w:gridSpan w:val="4"/>
            <w:tcBorders>
              <w:top w:val="nil"/>
              <w:left w:val="nil"/>
              <w:bottom w:val="single" w:color="auto" w:sz="4" w:space="0"/>
              <w:right w:val="nil"/>
            </w:tcBorders>
            <w:shd w:val="clear" w:color="auto" w:fill="auto"/>
            <w:vAlign w:val="center"/>
          </w:tcPr>
          <w:p>
            <w:pPr>
              <w:rPr>
                <w:b/>
                <w:bCs/>
                <w:color w:val="000000"/>
                <w:sz w:val="20"/>
                <w:szCs w:val="20"/>
              </w:rPr>
            </w:pPr>
            <w:r>
              <w:rPr>
                <w:rFonts w:hint="eastAsia"/>
                <w:b/>
                <w:bCs/>
                <w:color w:val="000000"/>
                <w:sz w:val="20"/>
                <w:szCs w:val="20"/>
              </w:rPr>
              <w:t>填表单位（盖章）：重庆市綦江区永乐小学</w:t>
            </w:r>
          </w:p>
        </w:tc>
      </w:tr>
      <w:tr>
        <w:tblPrEx>
          <w:tblCellMar>
            <w:top w:w="0" w:type="dxa"/>
            <w:left w:w="108" w:type="dxa"/>
            <w:bottom w:w="0" w:type="dxa"/>
            <w:right w:w="108" w:type="dxa"/>
          </w:tblCellMar>
        </w:tblPrEx>
        <w:trPr>
          <w:wAfter w:w="0" w:type="auto"/>
          <w:trHeight w:val="793" w:hRule="atLeast"/>
        </w:trPr>
        <w:tc>
          <w:tcPr>
            <w:tcW w:w="928" w:type="dxa"/>
            <w:gridSpan w:val="2"/>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4228"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2020年第一批政府债券专项资金预算-东溪中心幼儿园改扩建及设备购置</w:t>
            </w:r>
          </w:p>
        </w:tc>
        <w:tc>
          <w:tcPr>
            <w:tcW w:w="93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p>
        </w:tc>
        <w:tc>
          <w:tcPr>
            <w:tcW w:w="3603" w:type="dxa"/>
            <w:gridSpan w:val="8"/>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r>
      <w:tr>
        <w:tblPrEx>
          <w:tblCellMar>
            <w:top w:w="0" w:type="dxa"/>
            <w:left w:w="108" w:type="dxa"/>
            <w:bottom w:w="0" w:type="dxa"/>
            <w:right w:w="108" w:type="dxa"/>
          </w:tblCellMar>
        </w:tblPrEx>
        <w:trPr>
          <w:wAfter w:w="0" w:type="auto"/>
          <w:trHeight w:val="659" w:hRule="atLeast"/>
        </w:trPr>
        <w:tc>
          <w:tcPr>
            <w:tcW w:w="928" w:type="dxa"/>
            <w:gridSpan w:val="2"/>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业务主管部门</w:t>
            </w:r>
          </w:p>
        </w:tc>
        <w:tc>
          <w:tcPr>
            <w:tcW w:w="4228"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重庆市綦江区教育委员会</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3603" w:type="dxa"/>
            <w:gridSpan w:val="8"/>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黄代绪                   13996152220</w:t>
            </w:r>
          </w:p>
        </w:tc>
      </w:tr>
      <w:tr>
        <w:tblPrEx>
          <w:tblCellMar>
            <w:top w:w="0" w:type="dxa"/>
            <w:left w:w="108" w:type="dxa"/>
            <w:bottom w:w="0" w:type="dxa"/>
            <w:right w:w="108" w:type="dxa"/>
          </w:tblCellMar>
        </w:tblPrEx>
        <w:trPr>
          <w:wAfter w:w="0" w:type="auto"/>
          <w:trHeight w:val="793" w:hRule="atLeast"/>
        </w:trPr>
        <w:tc>
          <w:tcPr>
            <w:tcW w:w="928" w:type="dxa"/>
            <w:gridSpan w:val="2"/>
            <w:vMerge w:val="restart"/>
            <w:tcBorders>
              <w:top w:val="nil"/>
              <w:left w:val="single" w:color="auto" w:sz="4" w:space="0"/>
              <w:bottom w:val="single" w:color="000000"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项目资金（万元）</w:t>
            </w:r>
          </w:p>
        </w:tc>
        <w:tc>
          <w:tcPr>
            <w:tcW w:w="2213" w:type="dxa"/>
            <w:gridSpan w:val="2"/>
            <w:tcBorders>
              <w:top w:val="nil"/>
              <w:left w:val="nil"/>
              <w:bottom w:val="single" w:color="auto" w:sz="4" w:space="0"/>
              <w:right w:val="nil"/>
            </w:tcBorders>
            <w:shd w:val="clear" w:color="auto" w:fill="auto"/>
            <w:vAlign w:val="center"/>
          </w:tcPr>
          <w:p>
            <w:pPr>
              <w:rPr>
                <w:color w:val="000000"/>
                <w:sz w:val="20"/>
                <w:szCs w:val="20"/>
              </w:rPr>
            </w:pPr>
            <w:r>
              <w:rPr>
                <w:rFonts w:hint="eastAsia"/>
                <w:color w:val="000000"/>
                <w:sz w:val="20"/>
                <w:szCs w:val="20"/>
              </w:rPr>
              <w:t>　</w:t>
            </w:r>
          </w:p>
        </w:tc>
        <w:tc>
          <w:tcPr>
            <w:tcW w:w="2015" w:type="dxa"/>
            <w:gridSpan w:val="3"/>
            <w:tcBorders>
              <w:top w:val="single" w:color="auto" w:sz="4" w:space="0"/>
              <w:left w:val="single" w:color="auto" w:sz="4" w:space="0"/>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全年预算数（A）</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全年执行数（B）</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执行率%（B/A）</w:t>
            </w:r>
          </w:p>
        </w:tc>
        <w:tc>
          <w:tcPr>
            <w:tcW w:w="2387"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wAfter w:w="0" w:type="auto"/>
          <w:trHeight w:val="372" w:hRule="atLeast"/>
        </w:trPr>
        <w:tc>
          <w:tcPr>
            <w:tcW w:w="928" w:type="dxa"/>
            <w:gridSpan w:val="2"/>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年度资金总额：</w:t>
            </w:r>
          </w:p>
        </w:tc>
        <w:tc>
          <w:tcPr>
            <w:tcW w:w="2015" w:type="dxa"/>
            <w:gridSpan w:val="3"/>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200</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200</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2387"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wAfter w:w="0" w:type="auto"/>
          <w:trHeight w:val="372" w:hRule="atLeast"/>
        </w:trPr>
        <w:tc>
          <w:tcPr>
            <w:tcW w:w="928" w:type="dxa"/>
            <w:gridSpan w:val="2"/>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其中：中央补助</w:t>
            </w:r>
          </w:p>
        </w:tc>
        <w:tc>
          <w:tcPr>
            <w:tcW w:w="2015" w:type="dxa"/>
            <w:gridSpan w:val="3"/>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2387"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wAfter w:w="0" w:type="auto"/>
          <w:trHeight w:val="387" w:hRule="atLeast"/>
        </w:trPr>
        <w:tc>
          <w:tcPr>
            <w:tcW w:w="928" w:type="dxa"/>
            <w:gridSpan w:val="2"/>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市级补助</w:t>
            </w:r>
          </w:p>
        </w:tc>
        <w:tc>
          <w:tcPr>
            <w:tcW w:w="2015" w:type="dxa"/>
            <w:gridSpan w:val="3"/>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2387"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wAfter w:w="0" w:type="auto"/>
          <w:trHeight w:val="433" w:hRule="atLeast"/>
        </w:trPr>
        <w:tc>
          <w:tcPr>
            <w:tcW w:w="928" w:type="dxa"/>
            <w:gridSpan w:val="2"/>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区级资金</w:t>
            </w:r>
          </w:p>
        </w:tc>
        <w:tc>
          <w:tcPr>
            <w:tcW w:w="2015" w:type="dxa"/>
            <w:gridSpan w:val="3"/>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2387"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wAfter w:w="0" w:type="auto"/>
          <w:trHeight w:val="342" w:hRule="atLeast"/>
        </w:trPr>
        <w:tc>
          <w:tcPr>
            <w:tcW w:w="928" w:type="dxa"/>
            <w:gridSpan w:val="2"/>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其他资金</w:t>
            </w:r>
          </w:p>
        </w:tc>
        <w:tc>
          <w:tcPr>
            <w:tcW w:w="2015" w:type="dxa"/>
            <w:gridSpan w:val="3"/>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200</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200</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2387"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wAfter w:w="0" w:type="auto"/>
          <w:trHeight w:val="523" w:hRule="atLeast"/>
        </w:trPr>
        <w:tc>
          <w:tcPr>
            <w:tcW w:w="928" w:type="dxa"/>
            <w:gridSpan w:val="2"/>
            <w:vMerge w:val="restart"/>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年度总体目标</w:t>
            </w:r>
          </w:p>
        </w:tc>
        <w:tc>
          <w:tcPr>
            <w:tcW w:w="4228"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年初设定目标</w:t>
            </w:r>
          </w:p>
        </w:tc>
        <w:tc>
          <w:tcPr>
            <w:tcW w:w="4536" w:type="dxa"/>
            <w:gridSpan w:val="10"/>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wAfter w:w="0" w:type="auto"/>
          <w:trHeight w:val="1506"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4228" w:type="dxa"/>
            <w:gridSpan w:val="5"/>
            <w:tcBorders>
              <w:top w:val="single" w:color="auto" w:sz="4" w:space="0"/>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该项目于2020年7月5日申报，计划厕所粪便清掏转运、围墙拆除砌筑、排水管安装以及化粪池的开挖、砌筑，达到用厕放心，使用安全的效果。</w:t>
            </w:r>
          </w:p>
        </w:tc>
        <w:tc>
          <w:tcPr>
            <w:tcW w:w="4536" w:type="dxa"/>
            <w:gridSpan w:val="10"/>
            <w:tcBorders>
              <w:top w:val="single" w:color="auto" w:sz="4" w:space="0"/>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该项目于2020年7月28日动工，8月16日竣工，完成了厕所粪便清掏转运、围墙拆除砌筑、排水管安装以及化粪池的开挖、砌筑，达到了用厕放心，使用安全的效果。</w:t>
            </w:r>
          </w:p>
        </w:tc>
      </w:tr>
      <w:tr>
        <w:tblPrEx>
          <w:tblCellMar>
            <w:top w:w="0" w:type="dxa"/>
            <w:left w:w="108" w:type="dxa"/>
            <w:bottom w:w="0" w:type="dxa"/>
            <w:right w:w="108" w:type="dxa"/>
          </w:tblCellMar>
        </w:tblPrEx>
        <w:trPr>
          <w:wAfter w:w="0" w:type="auto"/>
          <w:trHeight w:val="793" w:hRule="atLeast"/>
        </w:trPr>
        <w:tc>
          <w:tcPr>
            <w:tcW w:w="928"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color w:val="000000"/>
                <w:sz w:val="20"/>
                <w:szCs w:val="20"/>
              </w:rPr>
            </w:pPr>
            <w:r>
              <w:rPr>
                <w:rFonts w:hint="eastAsia"/>
                <w:color w:val="000000"/>
                <w:sz w:val="20"/>
                <w:szCs w:val="20"/>
              </w:rPr>
              <w:t>绩效指标</w:t>
            </w: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指标名称</w:t>
            </w:r>
            <w:r>
              <w:rPr>
                <w:rFonts w:hint="eastAsia"/>
                <w:color w:val="000000"/>
                <w:sz w:val="20"/>
                <w:szCs w:val="20"/>
              </w:rPr>
              <w:br w:type="textWrapping"/>
            </w:r>
            <w:r>
              <w:rPr>
                <w:rFonts w:hint="eastAsia"/>
                <w:color w:val="000000"/>
                <w:sz w:val="20"/>
                <w:szCs w:val="20"/>
              </w:rPr>
              <w:t>（三级指标）</w:t>
            </w:r>
          </w:p>
        </w:tc>
        <w:tc>
          <w:tcPr>
            <w:tcW w:w="81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计量单位</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指标权重</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指标值</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全年完成值</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得分系数（%）</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指标得分</w:t>
            </w:r>
            <w:r>
              <w:rPr>
                <w:rFonts w:hint="eastAsia"/>
                <w:color w:val="000000"/>
                <w:sz w:val="20"/>
                <w:szCs w:val="20"/>
              </w:rPr>
              <w:br w:type="textWrapping"/>
            </w:r>
            <w:r>
              <w:rPr>
                <w:rFonts w:hint="eastAsia"/>
                <w:color w:val="000000"/>
                <w:sz w:val="20"/>
                <w:szCs w:val="20"/>
              </w:rPr>
              <w:t>（分)</w:t>
            </w:r>
          </w:p>
        </w:tc>
      </w:tr>
      <w:tr>
        <w:tblPrEx>
          <w:tblCellMar>
            <w:top w:w="0" w:type="dxa"/>
            <w:left w:w="108" w:type="dxa"/>
            <w:bottom w:w="0" w:type="dxa"/>
            <w:right w:w="108" w:type="dxa"/>
          </w:tblCellMar>
        </w:tblPrEx>
        <w:trPr>
          <w:wAfter w:w="0" w:type="auto"/>
          <w:trHeight w:val="599"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改造维修面积</w:t>
            </w:r>
          </w:p>
        </w:tc>
        <w:tc>
          <w:tcPr>
            <w:tcW w:w="81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立方米</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4255</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4255</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wAfter w:w="0" w:type="auto"/>
          <w:trHeight w:val="659"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工程验收合格率</w:t>
            </w:r>
          </w:p>
        </w:tc>
        <w:tc>
          <w:tcPr>
            <w:tcW w:w="81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933" w:type="dxa"/>
            <w:gridSpan w:val="2"/>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100</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wAfter w:w="0" w:type="auto"/>
          <w:trHeight w:val="614"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工程完成率</w:t>
            </w:r>
          </w:p>
        </w:tc>
        <w:tc>
          <w:tcPr>
            <w:tcW w:w="81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15</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15</w:t>
            </w:r>
          </w:p>
        </w:tc>
      </w:tr>
      <w:tr>
        <w:tblPrEx>
          <w:tblCellMar>
            <w:top w:w="0" w:type="dxa"/>
            <w:left w:w="108" w:type="dxa"/>
            <w:bottom w:w="0" w:type="dxa"/>
            <w:right w:w="108" w:type="dxa"/>
          </w:tblCellMar>
        </w:tblPrEx>
        <w:trPr>
          <w:wAfter w:w="0" w:type="auto"/>
          <w:trHeight w:val="629"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维修成本</w:t>
            </w:r>
          </w:p>
        </w:tc>
        <w:tc>
          <w:tcPr>
            <w:tcW w:w="81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元/立方米</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15</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470</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470</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15</w:t>
            </w:r>
          </w:p>
        </w:tc>
      </w:tr>
      <w:tr>
        <w:tblPrEx>
          <w:tblCellMar>
            <w:top w:w="0" w:type="dxa"/>
            <w:left w:w="108" w:type="dxa"/>
            <w:bottom w:w="0" w:type="dxa"/>
            <w:right w:w="108" w:type="dxa"/>
          </w:tblCellMar>
        </w:tblPrEx>
        <w:trPr>
          <w:wAfter w:w="0" w:type="auto"/>
          <w:trHeight w:val="629"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师生满意率</w:t>
            </w:r>
          </w:p>
        </w:tc>
        <w:tc>
          <w:tcPr>
            <w:tcW w:w="81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134</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134</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wAfter w:w="0" w:type="auto"/>
          <w:trHeight w:val="644" w:hRule="atLeast"/>
        </w:trPr>
        <w:tc>
          <w:tcPr>
            <w:tcW w:w="928" w:type="dxa"/>
            <w:gridSpan w:val="2"/>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221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社会满意率</w:t>
            </w:r>
          </w:p>
        </w:tc>
        <w:tc>
          <w:tcPr>
            <w:tcW w:w="81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1205" w:type="dxa"/>
            <w:gridSpan w:val="2"/>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933"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82</w:t>
            </w:r>
          </w:p>
        </w:tc>
        <w:tc>
          <w:tcPr>
            <w:tcW w:w="1216"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82</w:t>
            </w:r>
          </w:p>
        </w:tc>
        <w:tc>
          <w:tcPr>
            <w:tcW w:w="790" w:type="dxa"/>
            <w:gridSpan w:val="2"/>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597" w:type="dxa"/>
            <w:gridSpan w:val="3"/>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wAfter w:w="0" w:type="auto"/>
          <w:trHeight w:val="2438" w:hRule="atLeast"/>
        </w:trPr>
        <w:tc>
          <w:tcPr>
            <w:tcW w:w="928" w:type="dxa"/>
            <w:gridSpan w:val="2"/>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未完成绩效目标或偏离较多的原因、改进措施及其他说明</w:t>
            </w:r>
          </w:p>
        </w:tc>
        <w:tc>
          <w:tcPr>
            <w:tcW w:w="8764" w:type="dxa"/>
            <w:gridSpan w:val="1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bl>
    <w:p>
      <w:pPr>
        <w:ind w:firstLine="560" w:firstLineChars="200"/>
        <w:rPr>
          <w:sz w:val="28"/>
          <w:szCs w:val="28"/>
        </w:rPr>
      </w:pPr>
      <w:r>
        <w:rPr>
          <w:rFonts w:hint="eastAsia"/>
          <w:sz w:val="28"/>
          <w:szCs w:val="28"/>
        </w:rPr>
        <w:t>2.绩效自评报告或案例</w:t>
      </w:r>
    </w:p>
    <w:p>
      <w:pPr>
        <w:ind w:firstLine="560" w:firstLineChars="200"/>
        <w:rPr>
          <w:sz w:val="28"/>
          <w:szCs w:val="28"/>
        </w:rPr>
      </w:pPr>
      <w:r>
        <w:rPr>
          <w:rFonts w:hint="eastAsia"/>
          <w:sz w:val="28"/>
          <w:szCs w:val="28"/>
        </w:rPr>
        <w:t>我校未委托第三方开展绩效自评。</w:t>
      </w:r>
    </w:p>
    <w:p>
      <w:pPr>
        <w:ind w:firstLine="560" w:firstLineChars="200"/>
        <w:rPr>
          <w:sz w:val="28"/>
          <w:szCs w:val="28"/>
        </w:rPr>
      </w:pPr>
      <w:r>
        <w:rPr>
          <w:rFonts w:hint="eastAsia"/>
          <w:sz w:val="28"/>
          <w:szCs w:val="28"/>
        </w:rPr>
        <w:t>（三）重点绩效评价结果</w:t>
      </w:r>
    </w:p>
    <w:p>
      <w:pPr>
        <w:ind w:firstLine="560" w:firstLineChars="200"/>
        <w:rPr>
          <w:sz w:val="28"/>
          <w:szCs w:val="28"/>
        </w:rPr>
      </w:pPr>
      <w:r>
        <w:rPr>
          <w:rFonts w:hint="eastAsia"/>
          <w:sz w:val="28"/>
          <w:szCs w:val="28"/>
        </w:rPr>
        <w:t>我校未委托第三方开展绩效自评。</w:t>
      </w:r>
    </w:p>
    <w:p>
      <w:pPr>
        <w:ind w:firstLine="560" w:firstLineChars="200"/>
        <w:rPr>
          <w:sz w:val="28"/>
          <w:szCs w:val="28"/>
        </w:rPr>
      </w:pPr>
      <w:r>
        <w:rPr>
          <w:rFonts w:hint="eastAsia"/>
          <w:sz w:val="28"/>
          <w:szCs w:val="28"/>
        </w:rPr>
        <w:t>六、专业名词解释</w:t>
      </w:r>
    </w:p>
    <w:p>
      <w:pPr>
        <w:ind w:firstLine="560" w:firstLineChars="200"/>
        <w:rPr>
          <w:sz w:val="28"/>
          <w:szCs w:val="28"/>
        </w:rPr>
      </w:pPr>
      <w:r>
        <w:rPr>
          <w:rFonts w:hint="eastAsia"/>
          <w:sz w:val="28"/>
          <w:szCs w:val="28"/>
        </w:rPr>
        <w:t>以下为常见专业名词解释目录，仅供参考，部门应根据实际情况进行解释和增减。比如可将类级功能科目和经济科目细化解释到项级。若有删减注意调整段落序号。</w:t>
      </w:r>
    </w:p>
    <w:p>
      <w:pPr>
        <w:ind w:firstLine="560" w:firstLineChars="200"/>
        <w:rPr>
          <w:sz w:val="28"/>
          <w:szCs w:val="28"/>
        </w:rPr>
      </w:pPr>
      <w:r>
        <w:rPr>
          <w:rFonts w:hint="eastAsia"/>
          <w:sz w:val="28"/>
          <w:szCs w:val="28"/>
        </w:rPr>
        <w:t>（一）财政拨款收入：指本年度从本级财政部门取得的财政拨款，包括一般公共预算财政拨款和政府性基金预算财政拨款。</w:t>
      </w:r>
    </w:p>
    <w:p>
      <w:pPr>
        <w:ind w:firstLine="560" w:firstLineChars="200"/>
        <w:rPr>
          <w:sz w:val="28"/>
          <w:szCs w:val="28"/>
        </w:rPr>
      </w:pPr>
      <w:r>
        <w:rPr>
          <w:rFonts w:hint="eastAsia"/>
          <w:sz w:val="28"/>
          <w:szCs w:val="28"/>
        </w:rPr>
        <w:t>（二）事业收入：指事业单位开展专业业务活动及其辅助活动取得的现金流入；事业单位收到的财政专户实际核拨的教育收费等资金在此反映。</w:t>
      </w:r>
    </w:p>
    <w:p>
      <w:pPr>
        <w:ind w:firstLine="560" w:firstLineChars="200"/>
        <w:rPr>
          <w:sz w:val="28"/>
          <w:szCs w:val="28"/>
        </w:rPr>
      </w:pPr>
      <w:r>
        <w:rPr>
          <w:rFonts w:hint="eastAsia"/>
          <w:sz w:val="28"/>
          <w:szCs w:val="28"/>
        </w:rPr>
        <w:t>（三）经营收入：指事业单位在专业业务活动及其辅助活动之外开展非独立核算经营活动取得的现金流入。</w:t>
      </w:r>
    </w:p>
    <w:p>
      <w:pPr>
        <w:ind w:firstLine="560" w:firstLineChars="200"/>
        <w:rPr>
          <w:sz w:val="28"/>
          <w:szCs w:val="28"/>
        </w:rPr>
      </w:pPr>
      <w:r>
        <w:rPr>
          <w:rFonts w:hint="eastAsia"/>
          <w:sz w:val="28"/>
          <w:szCs w:val="28"/>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ind w:firstLine="560" w:firstLineChars="200"/>
        <w:rPr>
          <w:sz w:val="28"/>
          <w:szCs w:val="28"/>
        </w:rPr>
      </w:pPr>
      <w:r>
        <w:rPr>
          <w:rFonts w:hint="eastAsia"/>
          <w:sz w:val="28"/>
          <w:szCs w:val="28"/>
        </w:rPr>
        <w:t>（五）使用非财政拨款结余：指单位在当年的“财政拨款收入”、“事业收入”、“经营收入”、“其他收入”等不足以安排当年支出的情况下，使用以前年度积累的非财政拨款结余弥补本年度收支缺口的资金。</w:t>
      </w:r>
    </w:p>
    <w:p>
      <w:pPr>
        <w:ind w:firstLine="560" w:firstLineChars="200"/>
        <w:rPr>
          <w:sz w:val="28"/>
          <w:szCs w:val="28"/>
        </w:rPr>
      </w:pPr>
      <w:r>
        <w:rPr>
          <w:rFonts w:hint="eastAsia"/>
          <w:sz w:val="28"/>
          <w:szCs w:val="28"/>
        </w:rPr>
        <w:t>（六）年初结转和结余：指单位上年结转本年使用的基本支出结转、项目支出结转和结余、经营结余。</w:t>
      </w:r>
    </w:p>
    <w:p>
      <w:pPr>
        <w:ind w:firstLine="560" w:firstLineChars="200"/>
        <w:rPr>
          <w:sz w:val="28"/>
          <w:szCs w:val="28"/>
        </w:rPr>
      </w:pPr>
      <w:r>
        <w:rPr>
          <w:rFonts w:hint="eastAsia"/>
          <w:sz w:val="28"/>
          <w:szCs w:val="28"/>
        </w:rPr>
        <w:t>（七）结余分配：指单位按照国家有关规定，缴纳所得税、提取专用基金、转入非财政拨款结余等当年结余的分配情况。</w:t>
      </w:r>
    </w:p>
    <w:p>
      <w:pPr>
        <w:ind w:firstLine="560" w:firstLineChars="200"/>
        <w:rPr>
          <w:sz w:val="28"/>
          <w:szCs w:val="28"/>
        </w:rPr>
      </w:pPr>
      <w:r>
        <w:rPr>
          <w:rFonts w:hint="eastAsia"/>
          <w:sz w:val="28"/>
          <w:szCs w:val="28"/>
        </w:rPr>
        <w:t>（八）年末结转和结余：指单位结转下年的基本支出结转、项目支出结转和结余、经营结余。</w:t>
      </w:r>
    </w:p>
    <w:p>
      <w:pPr>
        <w:ind w:firstLine="560" w:firstLineChars="200"/>
        <w:rPr>
          <w:sz w:val="28"/>
          <w:szCs w:val="28"/>
        </w:rPr>
      </w:pPr>
      <w:r>
        <w:rPr>
          <w:rFonts w:hint="eastAsia"/>
          <w:sz w:val="28"/>
          <w:szCs w:val="28"/>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560" w:firstLineChars="200"/>
        <w:rPr>
          <w:sz w:val="28"/>
          <w:szCs w:val="28"/>
        </w:rPr>
      </w:pPr>
      <w:r>
        <w:rPr>
          <w:rFonts w:hint="eastAsia"/>
          <w:sz w:val="28"/>
          <w:szCs w:val="28"/>
        </w:rPr>
        <w:t>（十）项目支出：指在基本支出之外为完成特定行政任务和事业发展目标所发生的支出。</w:t>
      </w:r>
    </w:p>
    <w:p>
      <w:pPr>
        <w:ind w:firstLine="560" w:firstLineChars="200"/>
        <w:rPr>
          <w:sz w:val="28"/>
          <w:szCs w:val="28"/>
        </w:rPr>
      </w:pPr>
      <w:r>
        <w:rPr>
          <w:rFonts w:hint="eastAsia"/>
          <w:sz w:val="28"/>
          <w:szCs w:val="28"/>
        </w:rPr>
        <w:t>（十一）经营支出：指事业单位在专业业务活动及其辅助活动之外开展非独立核算经营活动发生的支出。</w:t>
      </w:r>
    </w:p>
    <w:p>
      <w:pPr>
        <w:ind w:firstLine="560" w:firstLineChars="200"/>
        <w:rPr>
          <w:sz w:val="28"/>
          <w:szCs w:val="28"/>
        </w:rPr>
      </w:pPr>
      <w:r>
        <w:rPr>
          <w:rFonts w:hint="eastAsia"/>
          <w:sz w:val="28"/>
          <w:szCs w:val="28"/>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560" w:firstLineChars="200"/>
        <w:rPr>
          <w:sz w:val="28"/>
          <w:szCs w:val="28"/>
        </w:rPr>
      </w:pPr>
      <w:r>
        <w:rPr>
          <w:rFonts w:hint="eastAsia"/>
          <w:sz w:val="28"/>
          <w:szCs w:val="28"/>
        </w:rPr>
        <w:t>（十三）机关运行经费：为保障行政单位（含参照公务员法管理的事业单位）运行用于购买货物和服务等的各项公用经费，包括办公及印刷费、邮电费、差旅费、会议费、福利费、日常维护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ind w:firstLine="560" w:firstLineChars="200"/>
        <w:rPr>
          <w:sz w:val="28"/>
          <w:szCs w:val="28"/>
        </w:rPr>
      </w:pPr>
      <w:r>
        <w:rPr>
          <w:rFonts w:hint="eastAsia"/>
          <w:sz w:val="28"/>
          <w:szCs w:val="28"/>
        </w:rPr>
        <w:t>（十四）工资福利支出（支出经济分类科目类级）：反映单位开支的在职职工和编制外长期聘用人员的各类劳动报酬，以及为上述人员缴纳的各项社会保险费等。</w:t>
      </w:r>
    </w:p>
    <w:p>
      <w:pPr>
        <w:ind w:firstLine="560" w:firstLineChars="200"/>
        <w:rPr>
          <w:sz w:val="28"/>
          <w:szCs w:val="28"/>
        </w:rPr>
      </w:pPr>
      <w:r>
        <w:rPr>
          <w:rFonts w:hint="eastAsia"/>
          <w:sz w:val="28"/>
          <w:szCs w:val="28"/>
        </w:rPr>
        <w:t>（十五）商品和服务支出（支出经济分类科目类级）：反映单位购买商品和服务的支出（不包括用于购置固定资产的支出、战略性和应急储备支出）。</w:t>
      </w:r>
    </w:p>
    <w:p>
      <w:pPr>
        <w:ind w:firstLine="560" w:firstLineChars="200"/>
        <w:rPr>
          <w:sz w:val="28"/>
          <w:szCs w:val="28"/>
        </w:rPr>
      </w:pPr>
      <w:r>
        <w:rPr>
          <w:rFonts w:hint="eastAsia"/>
          <w:sz w:val="28"/>
          <w:szCs w:val="28"/>
        </w:rPr>
        <w:t>（十六）对个人和家庭的补助（支出经济分类科目类级）：反映用于对个人和家庭的补助支出。</w:t>
      </w:r>
    </w:p>
    <w:p>
      <w:pPr>
        <w:ind w:firstLine="560" w:firstLineChars="200"/>
        <w:rPr>
          <w:sz w:val="28"/>
          <w:szCs w:val="28"/>
        </w:rPr>
      </w:pPr>
      <w:r>
        <w:rPr>
          <w:rFonts w:hint="eastAsia"/>
          <w:sz w:val="28"/>
          <w:szCs w:val="28"/>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ind w:firstLine="560" w:firstLineChars="200"/>
        <w:rPr>
          <w:sz w:val="28"/>
          <w:szCs w:val="28"/>
        </w:rPr>
      </w:pPr>
      <w:r>
        <w:rPr>
          <w:rFonts w:hint="eastAsia"/>
          <w:sz w:val="28"/>
          <w:szCs w:val="28"/>
        </w:rPr>
        <w:t>七、决算公开联系方式及信息反馈渠道</w:t>
      </w:r>
    </w:p>
    <w:p>
      <w:pPr>
        <w:ind w:firstLine="560" w:firstLineChars="200"/>
        <w:rPr>
          <w:sz w:val="28"/>
          <w:szCs w:val="28"/>
        </w:rPr>
      </w:pPr>
      <w:r>
        <w:rPr>
          <w:rFonts w:hint="eastAsia"/>
          <w:sz w:val="28"/>
          <w:szCs w:val="28"/>
        </w:rPr>
        <w:t>本单位决算公开信息反馈和联系方式：13996152220。</w:t>
      </w:r>
    </w:p>
    <w:p>
      <w:pPr>
        <w:ind w:firstLine="560" w:firstLineChars="200"/>
        <w:rPr>
          <w:sz w:val="28"/>
          <w:szCs w:val="28"/>
        </w:rPr>
      </w:pPr>
      <w:r>
        <w:rPr>
          <w:rFonts w:hint="eastAsia"/>
          <w:sz w:val="28"/>
          <w:szCs w:val="28"/>
        </w:rPr>
        <w:t>不需要在本文末尾落款单位名称和时间。</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2QzOWU2OThlZTU0ZDM0MWQ0NWYwODQ4MWQ5MmFiZmMifQ=="/>
  </w:docVars>
  <w:rsids>
    <w:rsidRoot w:val="00E9447E"/>
    <w:rsid w:val="000E2486"/>
    <w:rsid w:val="00103FA4"/>
    <w:rsid w:val="00A1401E"/>
    <w:rsid w:val="00A365E6"/>
    <w:rsid w:val="00AA4582"/>
    <w:rsid w:val="00E9447E"/>
    <w:rsid w:val="02085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100" w:beforeAutospacing="1" w:after="100" w:afterAutospacing="1"/>
    </w:pPr>
  </w:style>
  <w:style w:type="character" w:customStyle="1" w:styleId="8">
    <w:name w:val="页眉 Char"/>
    <w:basedOn w:val="7"/>
    <w:link w:val="4"/>
    <w:semiHidden/>
    <w:locked/>
    <w:uiPriority w:val="99"/>
    <w:rPr>
      <w:rFonts w:hint="eastAsia" w:ascii="宋体" w:hAnsi="宋体" w:eastAsia="宋体" w:cs="宋体"/>
      <w:sz w:val="18"/>
      <w:szCs w:val="18"/>
    </w:rPr>
  </w:style>
  <w:style w:type="character" w:customStyle="1" w:styleId="9">
    <w:name w:val="页脚 Char"/>
    <w:basedOn w:val="7"/>
    <w:link w:val="3"/>
    <w:semiHidden/>
    <w:locked/>
    <w:uiPriority w:val="99"/>
    <w:rPr>
      <w:rFonts w:hint="eastAsia" w:ascii="宋体" w:hAnsi="宋体" w:eastAsia="宋体" w:cs="宋体"/>
      <w:sz w:val="18"/>
      <w:szCs w:val="18"/>
    </w:rPr>
  </w:style>
  <w:style w:type="character" w:customStyle="1" w:styleId="10">
    <w:name w:val="批注框文本 Char"/>
    <w:basedOn w:val="7"/>
    <w:link w:val="2"/>
    <w:semiHidden/>
    <w:locked/>
    <w:uiPriority w:val="99"/>
    <w:rPr>
      <w:rFonts w:hint="eastAsia" w:ascii="宋体" w:hAnsi="宋体" w:eastAsia="宋体"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Win7w.Com</Company>
  <Pages>13</Pages>
  <Words>5964</Words>
  <Characters>6695</Characters>
  <Lines>11</Lines>
  <Paragraphs>14</Paragraphs>
  <TotalTime>7</TotalTime>
  <ScaleCrop>false</ScaleCrop>
  <LinksUpToDate>false</LinksUpToDate>
  <CharactersWithSpaces>6837</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2022-09-02T01:27:00Z</dcterms:created>
  <dc:creator>Win7w</dc:creator>
  <cp:lastModifiedBy>陈列</cp:lastModifiedBy>
  <dcterms:modified xsi:type="dcterms:W3CDTF">2022-09-02T03:16:50Z</dcterms:modified>
  <dc:title>公开报告模板</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76E935ABED36466EBD0651EF9FFBB252</vt:lpwstr>
  </property>
</Properties>
</file>