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jc w:val="center"/>
        <w:textAlignment w:val="auto"/>
        <w:rPr>
          <w:rFonts w:ascii="方正小标宋_GBK" w:eastAsia="方正小标宋_GBK"/>
          <w:sz w:val="44"/>
          <w:szCs w:val="44"/>
        </w:rPr>
      </w:pP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jc w:val="center"/>
        <w:textAlignment w:val="auto"/>
        <w:rPr>
          <w:rFonts w:ascii="方正小标宋_GBK" w:eastAsia="方正小标宋_GBK"/>
          <w:sz w:val="44"/>
          <w:szCs w:val="44"/>
        </w:rPr>
      </w:pPr>
      <w:r>
        <w:rPr>
          <w:rFonts w:hint="eastAsia" w:ascii="方正小标宋_GBK" w:eastAsia="方正小标宋_GBK"/>
          <w:sz w:val="44"/>
          <w:szCs w:val="44"/>
        </w:rPr>
        <w:t>重庆市綦江区永新中学</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jc w:val="center"/>
        <w:textAlignment w:val="auto"/>
      </w:pPr>
      <w:r>
        <w:rPr>
          <w:rFonts w:hint="eastAsia" w:ascii="方正小标宋_GBK" w:eastAsia="方正小标宋_GBK"/>
          <w:sz w:val="44"/>
          <w:szCs w:val="44"/>
        </w:rPr>
        <w:t>2020年度部门决算公开说明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jc w:val="both"/>
        <w:textAlignment w:val="auto"/>
      </w:pPr>
      <w:r>
        <w:rPr>
          <w:rFonts w:hint="eastAsia"/>
        </w:rPr>
        <w:t> </w:t>
      </w:r>
    </w:p>
    <w:p>
      <w:pPr>
        <w:pStyle w:val="4"/>
        <w:keepNext w:val="0"/>
        <w:keepLines w:val="0"/>
        <w:pageBreakBefore w:val="0"/>
        <w:widowControl/>
        <w:numPr>
          <w:ilvl w:val="0"/>
          <w:numId w:val="1"/>
        </w:numPr>
        <w:shd w:val="clear" w:color="auto" w:fill="FFFFFF"/>
        <w:kinsoku/>
        <w:wordWrap/>
        <w:overflowPunct/>
        <w:topLinePunct w:val="0"/>
        <w:autoSpaceDE/>
        <w:autoSpaceDN/>
        <w:bidi w:val="0"/>
        <w:adjustRightInd/>
        <w:snapToGrid/>
        <w:spacing w:before="0" w:beforeAutospacing="0" w:after="0" w:afterAutospacing="0" w:line="600" w:lineRule="atLeast"/>
        <w:jc w:val="both"/>
        <w:textAlignment w:val="auto"/>
        <w:rPr>
          <w:rFonts w:eastAsia="方正黑体_GBK"/>
          <w:sz w:val="32"/>
          <w:szCs w:val="32"/>
        </w:rPr>
      </w:pPr>
      <w:r>
        <w:rPr>
          <w:rFonts w:hint="eastAsia" w:eastAsia="方正黑体_GBK"/>
          <w:sz w:val="32"/>
          <w:szCs w:val="32"/>
        </w:rPr>
        <w:t>单位基本情况</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楷体_GBK"/>
          <w:bCs/>
          <w:color w:val="333333"/>
          <w:sz w:val="32"/>
          <w:szCs w:val="32"/>
        </w:rPr>
        <w:t>（一）</w:t>
      </w:r>
      <w:r>
        <w:rPr>
          <w:rFonts w:hint="eastAsia" w:eastAsia="方正楷体_GBK"/>
          <w:color w:val="333333"/>
          <w:sz w:val="32"/>
          <w:szCs w:val="32"/>
        </w:rPr>
        <w:t>职能职责</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1.贯彻执行党和国家的教育方针、政策和法律法规，依法施教。负责本校的教育教学改革、校本课程教材建设及教育科研工作。</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2.实施义务教育，在区政府和区教委的组织和指导下，负责推进义务教育均衡发展和促进教育公平，实施基础教育教学改革，全面实施素质教育。</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3.在区教委指导下，对学生实施思想政治、德育、体育卫生艺术教育、国防教育等工作。</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4.负责本校干部和教师队伍建设；组织实施学校干部、教师的岗位培训和继续教育工作，负责本校教职工考核、职称评审和奖惩工作。</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pPr>
      <w:r>
        <w:rPr>
          <w:rFonts w:hint="eastAsia"/>
          <w:sz w:val="27"/>
          <w:szCs w:val="27"/>
        </w:rPr>
        <w:t xml:space="preserve">  </w:t>
      </w:r>
      <w:r>
        <w:rPr>
          <w:rFonts w:hint="eastAsia" w:eastAsia="方正楷体_GBK"/>
          <w:color w:val="333333"/>
          <w:sz w:val="32"/>
          <w:szCs w:val="32"/>
        </w:rPr>
        <w:t>（二）机构设置</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rPr>
          <w:sz w:val="27"/>
          <w:szCs w:val="27"/>
        </w:rPr>
      </w:pPr>
      <w:r>
        <w:rPr>
          <w:rFonts w:hint="eastAsia"/>
          <w:color w:val="FF0000"/>
          <w:sz w:val="27"/>
          <w:szCs w:val="27"/>
        </w:rPr>
        <w:t xml:space="preserve">  </w:t>
      </w:r>
      <w:r>
        <w:rPr>
          <w:rFonts w:hint="eastAsia" w:eastAsia="方正仿宋_GBK"/>
          <w:sz w:val="32"/>
          <w:szCs w:val="32"/>
        </w:rPr>
        <w:t>本单位机构数为1个，内设办公室、总务处、教务处、学生处。</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pPr>
      <w:r>
        <w:rPr>
          <w:rFonts w:hint="eastAsia"/>
          <w:sz w:val="27"/>
          <w:szCs w:val="27"/>
        </w:rPr>
        <w:t xml:space="preserve">  </w:t>
      </w:r>
      <w:r>
        <w:rPr>
          <w:rFonts w:hint="eastAsia" w:eastAsia="方正楷体_GBK"/>
          <w:b/>
          <w:bCs/>
          <w:color w:val="333333"/>
          <w:sz w:val="32"/>
          <w:szCs w:val="32"/>
        </w:rPr>
        <w:t>（</w:t>
      </w:r>
      <w:r>
        <w:rPr>
          <w:rFonts w:hint="eastAsia" w:eastAsia="方正楷体_GBK"/>
          <w:color w:val="333333"/>
          <w:sz w:val="32"/>
          <w:szCs w:val="32"/>
        </w:rPr>
        <w:t>三）单位构成</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2" w:firstLineChars="200"/>
        <w:jc w:val="both"/>
        <w:textAlignment w:val="auto"/>
      </w:pPr>
      <w:r>
        <w:rPr>
          <w:rStyle w:val="7"/>
          <w:rFonts w:hint="eastAsia"/>
          <w:sz w:val="27"/>
          <w:szCs w:val="27"/>
        </w:rPr>
        <w:t> </w:t>
      </w:r>
      <w:r>
        <w:rPr>
          <w:rFonts w:hint="eastAsia" w:eastAsia="方正仿宋_GBK"/>
          <w:sz w:val="32"/>
          <w:szCs w:val="32"/>
        </w:rPr>
        <w:t xml:space="preserve"> 本单位无下</w:t>
      </w:r>
      <w:r>
        <w:rPr>
          <w:rFonts w:eastAsia="方正仿宋_GBK"/>
          <w:sz w:val="32"/>
          <w:szCs w:val="32"/>
        </w:rPr>
        <w:t>级</w:t>
      </w:r>
      <w:r>
        <w:rPr>
          <w:rFonts w:hint="eastAsia" w:eastAsia="方正仿宋_GBK"/>
          <w:sz w:val="32"/>
          <w:szCs w:val="32"/>
        </w:rPr>
        <w:t>预算单位。</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sz w:val="32"/>
          <w:szCs w:val="32"/>
        </w:rPr>
      </w:pPr>
      <w:r>
        <w:rPr>
          <w:rFonts w:hint="eastAsia" w:eastAsia="方正黑体_GBK"/>
          <w:bCs/>
          <w:sz w:val="32"/>
          <w:szCs w:val="32"/>
        </w:rPr>
        <w:t>二、部门决算情况说明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b/>
          <w:bCs/>
          <w:color w:val="333333"/>
          <w:sz w:val="32"/>
          <w:szCs w:val="32"/>
        </w:rPr>
      </w:pPr>
      <w:r>
        <w:rPr>
          <w:rFonts w:hint="eastAsia" w:eastAsia="方正楷体_GBK"/>
          <w:color w:val="333333"/>
          <w:sz w:val="32"/>
          <w:szCs w:val="32"/>
        </w:rPr>
        <w:t>（一）收入支出决算总体情况说明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1.总体情况。2020年度收入总计3,765.10万元，支出总计3,765.10万元。收支较上年决算数 增加278.23万元、 增长 8%，主要原因是用于保障在职人员工资福利及社会保险缴费，离休人员离休费，退休人员补助等的人员类经费及社保费增加；同时为保障疫情防控常态化工作，维护本单位正常运转的各项商品服务支出增加。</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收入情况。2020年度收入合计3,173.50万元，较上年决算数增加286.60万元，增长9.9%，主要原因是保障在职人员工资福利及社会保险缴费等的人员类经费及社保费、维护本单位正常运转的各项商品服务支出增加。其中：财政拨款收入3,093.36万元，占97.5%；事业收入80.13万元，占2.5%。此外，年初结转和结余591.60万元。</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3.支出情况。2020年度支出合计3,548.71万元，较上年决算数增加433.09万元，增长13.9%，主要原因是2020年秋季学期因区域办学调整，周边初中并入永新中学，使得永新中学师生人数大幅增加，从而形成人员经费及公用支出较上年增加。其中：基本支出 3,040.06万元，占85.7%；项目支出508.65万元，占14.3%。</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4.结转结余情况。2020年度年末结转和结余216.39万元，较上年决算数减少154.85万元，下降41.7%，主要原因是本年末财政加大对教育投入，本年预算执行力度较大，同时上年度部分应返还额度也在本年实际支付，从而使本年末结转和结余大幅下降。</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楷体_GBK"/>
          <w:color w:val="333333"/>
          <w:sz w:val="32"/>
          <w:szCs w:val="32"/>
        </w:rPr>
        <w:t>（</w:t>
      </w:r>
      <w:r>
        <w:rPr>
          <w:rFonts w:hint="eastAsia" w:eastAsia="方正楷体_GBK"/>
          <w:bCs/>
          <w:color w:val="333333"/>
          <w:sz w:val="32"/>
          <w:szCs w:val="32"/>
        </w:rPr>
        <w:t>二）财政拨款收入支出决算总体情况说明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pPr>
      <w:r>
        <w:rPr>
          <w:rFonts w:hint="eastAsia"/>
          <w:sz w:val="27"/>
          <w:szCs w:val="27"/>
        </w:rPr>
        <w:t> </w:t>
      </w:r>
      <w:r>
        <w:rPr>
          <w:rFonts w:hint="eastAsia" w:eastAsia="方正仿宋_GBK"/>
          <w:sz w:val="32"/>
          <w:szCs w:val="32"/>
        </w:rPr>
        <w:t>2020年度财政拨款收、支总计3,678.96万元。与2019年相比，财政拨款收、支总计各增加287.61万 元，增长8.5%。主要原因是本年因区域办学调整，周边初中学生和部分教师并入本单位，使得本单位人员经费及公用支出拨款增加。</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bCs/>
          <w:color w:val="333333"/>
          <w:sz w:val="32"/>
          <w:szCs w:val="32"/>
        </w:rPr>
      </w:pPr>
      <w:r>
        <w:rPr>
          <w:rFonts w:hint="eastAsia" w:eastAsia="方正楷体_GBK"/>
          <w:color w:val="333333"/>
          <w:sz w:val="32"/>
          <w:szCs w:val="32"/>
        </w:rPr>
        <w:t>（三）一般公共预算财政拨款支出决算情况说明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1.收入情况。2020年度一般公共预算财政拨款收入3,088.36万元，较上年决算数增加301.98万元，增长10.8%。主要原因是本年学生及教师人数大幅增加所致。较年初预算数增加402.59万元，增长15%。主要原因是本年秋期办学调整，教师及学生人数增加未列入年初预算，从而使实际收入比预算数有大幅增长。此外，年初财政拨款结转和结余585.60万元。</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2.支出情况。2020年度一般公共预算财政拨款支出3,462.63万元，较上年决算数增加447.52万元，增长14.8%。主要原因是本年学生及教师人数大幅增加所致。较年初预算数 增加405.62万 元，增长13.3%。主要原因是本年秋期办学调整，教师及学生人数增加未列入年初预算，从而使实际收入比预算数有大幅增长。</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3.结转结余情况。2020年度年末一般公共预算财政拨款结转和结余211.33万元，较上年决算数减少159.91万元，下降43.1%，主要原因是本年末财政加大对教育投入，本年预算执行力度较大，同时上年度部分应返还额度也在本年实际支付，从而使本年末结转和结余大幅下降。</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 xml:space="preserve">4.比较情况。本部门2020年度一般公共预算财政拨款支出主要用于以下几个方面： </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（1）教育支出2,705.82万元，占78.1%，较年初预算数增加348.02万 元，增长14.8%，主要原因是年初预算以上年末人数为基数，而本年学生及教师人数大幅增加未列入年初预算所致。</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（2）社会保障与就业支出430.08万元，占12.4%，较年初预算数增加51.74万 元，增长13.7%，主要原因是年初预算以上年末人数为基数，而本年人员工资上涨，同时因秋期教师新增35人，相应的社会保障与就业支出未列入年初预算所致。</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（3）卫生健康支出159.05万元，占4.6%，较年初预算数增加6.70万 元，增长4.4%，主要原因是年初预算以上年末人数为基数，而本年人员工资上涨，同时因秋期教师新增35人，相应的卫生健康支出未列入年初预算所致。</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（4）住房保障支出167.67万元，占4.8%，较年初预算数减少0.86万元，下降0.5%，主要原因是本年增加部分公积金未在年末实际解缴，而是结转至下年，造成本年住房保障支出较年初预算减少。</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color w:val="333333"/>
          <w:sz w:val="32"/>
          <w:szCs w:val="32"/>
        </w:rPr>
      </w:pPr>
      <w:r>
        <w:rPr>
          <w:rFonts w:hint="eastAsia" w:eastAsia="方正楷体_GBK"/>
          <w:bCs/>
          <w:color w:val="333333"/>
          <w:sz w:val="32"/>
          <w:szCs w:val="32"/>
        </w:rPr>
        <w:t>（四）一般公共预算财政拨款基本支出决算情况说明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pPr>
      <w:r>
        <w:rPr>
          <w:rFonts w:hint="eastAsia"/>
          <w:sz w:val="27"/>
          <w:szCs w:val="27"/>
        </w:rPr>
        <w:t> </w:t>
      </w:r>
      <w:r>
        <w:rPr>
          <w:rFonts w:hint="eastAsia" w:eastAsia="方正仿宋_GBK"/>
          <w:sz w:val="32"/>
          <w:szCs w:val="32"/>
        </w:rPr>
        <w:t>2020年度一般公共财政拨款基本支出3,040.06万元。其中：人员经费2,875.10万元，较上年决算数增加309.39万 元，增长12.1%，主要原因是本年人员工资上涨，同时因秋期教师新增35人，相应的人员经费也比上年增加。人员经费用途主要包括工资、绩效、社会保障及公积金。公用经费164.96万元，较上年决算数减少28.52万元，下降14.7%，主要原因是初中学生人数比上年有所减少，相应公用经费也下降。公用经费用途主要包括办公费、水费、电费、差旅费、劳务费及维修维护费。</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bCs/>
          <w:color w:val="333333"/>
          <w:sz w:val="32"/>
          <w:szCs w:val="32"/>
        </w:rPr>
      </w:pPr>
      <w:r>
        <w:rPr>
          <w:rFonts w:hint="eastAsia" w:eastAsia="方正楷体_GBK"/>
          <w:color w:val="333333"/>
          <w:sz w:val="32"/>
          <w:szCs w:val="32"/>
        </w:rPr>
        <w:t>（五）政府性基金预算收支决算情况说明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rPr>
          <w:rFonts w:eastAsia="方正仿宋_GBK"/>
          <w:sz w:val="32"/>
          <w:szCs w:val="32"/>
        </w:rPr>
      </w:pPr>
      <w:r>
        <w:rPr>
          <w:rFonts w:hint="eastAsia"/>
          <w:sz w:val="27"/>
          <w:szCs w:val="27"/>
        </w:rPr>
        <w:t> </w:t>
      </w:r>
      <w:r>
        <w:rPr>
          <w:rFonts w:hint="eastAsia" w:eastAsia="方正仿宋_GBK"/>
          <w:sz w:val="32"/>
          <w:szCs w:val="32"/>
        </w:rPr>
        <w:t>2020年度政府性基金预算财政拨款年初结转结余0.00万元，年末结转结余5.00万元。本年收入5.00万元，较上年决算数增加0.00万元，增长0%，主要原因是本年收到乡村少年宫建设补助5万元未在当年使用。本年支出0.00万元，较上年决算数减少5.00万元，下降100%，主要原因是上年收到乡村少年宫建设补助5万元已在当年执行，而当年的未执行。</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sz w:val="27"/>
          <w:szCs w:val="27"/>
        </w:rPr>
      </w:pPr>
      <w:r>
        <w:rPr>
          <w:rFonts w:hint="eastAsia" w:eastAsia="方正楷体_GBK"/>
          <w:bCs/>
          <w:color w:val="333333"/>
          <w:sz w:val="32"/>
          <w:szCs w:val="32"/>
        </w:rPr>
        <w:t>（六）国有资本经营预算财政拨款</w:t>
      </w:r>
      <w:r>
        <w:rPr>
          <w:rFonts w:hint="eastAsia" w:eastAsia="方正楷体_GBK"/>
          <w:bCs/>
          <w:color w:val="333333"/>
          <w:sz w:val="32"/>
          <w:szCs w:val="32"/>
          <w:lang w:eastAsia="zh-CN"/>
        </w:rPr>
        <w:t>支出</w:t>
      </w:r>
      <w:r>
        <w:rPr>
          <w:rFonts w:hint="eastAsia" w:eastAsia="方正楷体_GBK"/>
          <w:bCs/>
          <w:color w:val="333333"/>
          <w:sz w:val="32"/>
          <w:szCs w:val="32"/>
        </w:rPr>
        <w:t>决算情况说明。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540" w:firstLineChars="200"/>
        <w:jc w:val="both"/>
        <w:textAlignment w:val="auto"/>
        <w:rPr>
          <w:sz w:val="27"/>
          <w:szCs w:val="27"/>
        </w:rPr>
      </w:pPr>
      <w:r>
        <w:rPr>
          <w:rFonts w:hint="eastAsia"/>
          <w:sz w:val="27"/>
          <w:szCs w:val="27"/>
        </w:rPr>
        <w:t> </w:t>
      </w:r>
      <w:r>
        <w:rPr>
          <w:rFonts w:hint="eastAsia" w:eastAsia="方正仿宋_GBK"/>
          <w:sz w:val="32"/>
          <w:szCs w:val="32"/>
        </w:rPr>
        <w:t>本部门2020年度无国有资本经营预算财政拨款支出。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b/>
          <w:bCs/>
          <w:sz w:val="32"/>
          <w:szCs w:val="32"/>
        </w:rPr>
      </w:pPr>
      <w:r>
        <w:rPr>
          <w:rFonts w:hint="eastAsia" w:eastAsia="方正黑体_GBK"/>
          <w:sz w:val="32"/>
          <w:szCs w:val="32"/>
        </w:rPr>
        <w:t>三、“三公”经费情况说明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楷体_GBK"/>
          <w:bCs/>
          <w:color w:val="333333"/>
          <w:sz w:val="32"/>
          <w:szCs w:val="32"/>
        </w:rPr>
        <w:t>（</w:t>
      </w:r>
      <w:r>
        <w:rPr>
          <w:rFonts w:hint="eastAsia" w:eastAsia="方正楷体_GBK"/>
          <w:color w:val="333333"/>
          <w:sz w:val="32"/>
          <w:szCs w:val="32"/>
        </w:rPr>
        <w:t>一）“三公”经费支出总体情况说明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仿宋_GBK"/>
          <w:sz w:val="32"/>
          <w:szCs w:val="32"/>
        </w:rPr>
        <w:t>2020年度“三公”经费支出共计0.00万元，较年初预算数增加0.00万元，与上年持平，主要原因是本单位2020年无“三公”经费预算。 较上年支出数增加0.00万 元，与上年持平，主要原因是本单位2020年未发生“三公”经费支出。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color w:val="333333"/>
          <w:sz w:val="32"/>
          <w:szCs w:val="32"/>
        </w:rPr>
      </w:pPr>
      <w:r>
        <w:rPr>
          <w:rFonts w:hint="eastAsia" w:eastAsia="方正楷体_GBK"/>
          <w:bCs/>
          <w:color w:val="333333"/>
          <w:sz w:val="32"/>
          <w:szCs w:val="32"/>
        </w:rPr>
        <w:t>（二）“三公”经费分项支出情况</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2020年度本部门因公出国（境）费用0.00万元。费用支出较年初预算数增加0.00万元，增长%，主要原因是未发生因公出国（境）支出。较上年支出数增加0.00万元，增长%，主要原因是未发生因公出国（境）支出。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公务车购置费0.00万元。费用支出较年初预算数增加0.00万元，增长%，主要原因是未购置公务用车。较上年支出数增加0.00万元，增长%，主要原因是未购置公务用车。</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公务车运行维护费0.00万元。费用支出较年初预算数增加0.00万元，增长%，主要原因是未购置公务用车。较上年支出数增加0.00万元，增长%，主要原因是未购置公务用车。</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仿宋_GBK"/>
          <w:sz w:val="32"/>
          <w:szCs w:val="32"/>
        </w:rPr>
        <w:t>公务接待费0.00万元。费用支出较年初预算数增加0.00万元，增长%，主要原因是未发生公务接待。较上年支出数增加0.00万元，增长%，主要原因是发生公务接待。</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bCs/>
          <w:color w:val="333333"/>
          <w:sz w:val="32"/>
          <w:szCs w:val="32"/>
        </w:rPr>
      </w:pPr>
      <w:r>
        <w:rPr>
          <w:rFonts w:hint="eastAsia" w:eastAsia="方正楷体_GBK"/>
          <w:color w:val="333333"/>
          <w:sz w:val="32"/>
          <w:szCs w:val="32"/>
        </w:rPr>
        <w:t>（三）“三公”经费实物量情况</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仿宋_GBK"/>
          <w:sz w:val="32"/>
          <w:szCs w:val="32"/>
        </w:rPr>
        <w:t>2020年度本部门因公出国（境）共计0个团组，0人；公务用车购置0辆，公务车保有量为0辆；国内公务接待0批次0人，其中：国内外事接待0批次，0人；国（境）外公务接待0批次，0人。2020年本部门人均接待费0.00元，车均购置费0.00万元，车均维护费0.00万元。</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sz w:val="32"/>
          <w:szCs w:val="32"/>
        </w:rPr>
      </w:pPr>
      <w:r>
        <w:rPr>
          <w:rFonts w:hint="eastAsia" w:eastAsia="方正黑体_GBK"/>
          <w:sz w:val="32"/>
          <w:szCs w:val="32"/>
        </w:rPr>
        <w:t>四、其他需要说明的事项</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color w:val="333333"/>
          <w:sz w:val="32"/>
          <w:szCs w:val="32"/>
        </w:rPr>
      </w:pPr>
      <w:r>
        <w:rPr>
          <w:rFonts w:hint="eastAsia" w:eastAsia="方正楷体_GBK"/>
          <w:bCs/>
          <w:color w:val="333333"/>
          <w:sz w:val="32"/>
          <w:szCs w:val="32"/>
        </w:rPr>
        <w:t>（一）机关运行经费情况说明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我单位不在机关运行经费统计范围之内。</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本年度会议费支出5.70万元，较上年决算数增加1.93万元，增长51.2%，主要原因是本年度因疫情及秋期办学调整，为协调相关工作造成会议费增加。本年度培训费支出 9.82万元，较上年决算数增加0.38万元，增长4%，主要原因是秋期新增35名教师，为提升教学质量，对新进教师加大了培训力度。</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pPr>
      <w:r>
        <w:rPr>
          <w:rFonts w:hint="eastAsia" w:eastAsia="方正楷体_GBK"/>
          <w:bCs/>
          <w:color w:val="333333"/>
          <w:sz w:val="32"/>
          <w:szCs w:val="32"/>
        </w:rPr>
        <w:t>（</w:t>
      </w:r>
      <w:r>
        <w:rPr>
          <w:rFonts w:hint="eastAsia" w:eastAsia="方正楷体_GBK"/>
          <w:color w:val="333333"/>
          <w:sz w:val="32"/>
          <w:szCs w:val="32"/>
        </w:rPr>
        <w:t>二）国有资产占用情况说明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截至2020年12月31日，本部门共有车辆0辆，其中，副部（省）级及以上领导用车0辆、主要领导干部用车0辆、机要通信用车0辆、应急保障用车0辆、执法执勤用车0辆，特种专业技术用车0辆，离退休干部用车0辆，其他用车0辆。单价50万元（含）以上通用设备0台（套），单价100万元（含）以上专用设备0台（套）。</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color w:val="333333"/>
          <w:sz w:val="32"/>
          <w:szCs w:val="32"/>
        </w:rPr>
      </w:pPr>
      <w:r>
        <w:rPr>
          <w:rFonts w:hint="eastAsia" w:eastAsia="方正楷体_GBK"/>
          <w:bCs/>
          <w:color w:val="333333"/>
          <w:sz w:val="32"/>
          <w:szCs w:val="32"/>
        </w:rPr>
        <w:t>（三）政府采购支出情况说明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2020年度本部门政府采购支出总额26.77万元，其中：政府采购货物支出26.77万元、政府采购工程支出0.00万元、政府采购服务支出0.00万元。授予中小企业合同金额26.77万元，占政府采购支出总额的100%，其中：授予小微企业合同金额 26.77万元，占政府采购支出总额的100%。主要用于采购办公电脑、办公桌椅及学生寝室空调。</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b/>
          <w:bCs/>
          <w:sz w:val="32"/>
          <w:szCs w:val="32"/>
        </w:rPr>
      </w:pPr>
      <w:r>
        <w:rPr>
          <w:rFonts w:hint="eastAsia" w:eastAsia="方正黑体_GBK"/>
          <w:sz w:val="32"/>
          <w:szCs w:val="32"/>
        </w:rPr>
        <w:t>五、预算绩效管理情况说明</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bCs/>
          <w:color w:val="333333"/>
          <w:sz w:val="32"/>
          <w:szCs w:val="32"/>
        </w:rPr>
      </w:pPr>
      <w:r>
        <w:rPr>
          <w:rFonts w:hint="eastAsia" w:eastAsia="方正楷体_GBK"/>
          <w:color w:val="333333"/>
          <w:sz w:val="32"/>
          <w:szCs w:val="32"/>
        </w:rPr>
        <w:t>（一）预算绩效管理工作开展情况</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仿宋_GBK"/>
          <w:sz w:val="32"/>
          <w:szCs w:val="32"/>
        </w:rPr>
      </w:pPr>
      <w:r>
        <w:rPr>
          <w:rFonts w:hint="eastAsia" w:eastAsia="方正仿宋_GBK"/>
          <w:sz w:val="32"/>
          <w:szCs w:val="32"/>
        </w:rPr>
        <w:t>根据预算绩效管理要求，本部门对10个项目开展了绩效自评，其中，以填报目标自评表形式开展自评10项，涉及资金522.34万元；从评价情况来看，本单位所有项目绩效评价均为优秀。</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楷体_GBK"/>
          <w:color w:val="333333"/>
          <w:sz w:val="32"/>
          <w:szCs w:val="32"/>
        </w:rPr>
      </w:pPr>
      <w:r>
        <w:rPr>
          <w:rFonts w:hint="eastAsia" w:eastAsia="方正楷体_GBK"/>
          <w:bCs/>
          <w:color w:val="333333"/>
          <w:sz w:val="32"/>
          <w:szCs w:val="32"/>
        </w:rPr>
        <w:t>（二）绩效自评结果</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rPr>
          <w:rFonts w:hint="eastAsia" w:eastAsia="方正仿宋_GBK"/>
          <w:sz w:val="32"/>
          <w:szCs w:val="32"/>
        </w:rPr>
      </w:pPr>
      <w:r>
        <w:rPr>
          <w:rFonts w:hint="eastAsia" w:eastAsia="方正仿宋_GBK"/>
          <w:bCs/>
          <w:sz w:val="32"/>
          <w:szCs w:val="32"/>
        </w:rPr>
        <w:t>绩效自评表（见</w:t>
      </w:r>
      <w:r>
        <w:rPr>
          <w:rFonts w:eastAsia="方正仿宋_GBK"/>
          <w:bCs/>
          <w:sz w:val="32"/>
          <w:szCs w:val="32"/>
        </w:rPr>
        <w:t>下页）</w:t>
      </w:r>
    </w:p>
    <w:tbl>
      <w:tblPr>
        <w:tblStyle w:val="5"/>
        <w:tblW w:w="8154" w:type="dxa"/>
        <w:jc w:val="center"/>
        <w:tblLayout w:type="autofit"/>
        <w:tblCellMar>
          <w:top w:w="9" w:type="dxa"/>
          <w:left w:w="9" w:type="dxa"/>
          <w:bottom w:w="0" w:type="dxa"/>
          <w:right w:w="9" w:type="dxa"/>
        </w:tblCellMar>
      </w:tblPr>
      <w:tblGrid>
        <w:gridCol w:w="820"/>
        <w:gridCol w:w="1503"/>
        <w:gridCol w:w="1029"/>
        <w:gridCol w:w="609"/>
        <w:gridCol w:w="1393"/>
        <w:gridCol w:w="1341"/>
        <w:gridCol w:w="940"/>
        <w:gridCol w:w="461"/>
        <w:gridCol w:w="43"/>
        <w:gridCol w:w="15"/>
      </w:tblGrid>
      <w:tr>
        <w:tblPrEx>
          <w:tblCellMar>
            <w:top w:w="9" w:type="dxa"/>
            <w:left w:w="9" w:type="dxa"/>
            <w:bottom w:w="0" w:type="dxa"/>
            <w:right w:w="9" w:type="dxa"/>
          </w:tblCellMar>
        </w:tblPrEx>
        <w:trPr>
          <w:gridAfter w:val="1"/>
          <w:wAfter w:w="15" w:type="dxa"/>
          <w:trHeight w:val="585" w:hRule="atLeast"/>
          <w:jc w:val="center"/>
        </w:trPr>
        <w:tc>
          <w:tcPr>
            <w:tcW w:w="8139" w:type="dxa"/>
            <w:gridSpan w:val="9"/>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rFonts w:hint="eastAsia"/>
                <w:b/>
                <w:bCs/>
                <w:color w:val="000000"/>
                <w:sz w:val="32"/>
                <w:szCs w:val="32"/>
              </w:rPr>
            </w:pPr>
          </w:p>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b/>
                <w:bCs/>
                <w:color w:val="000000"/>
                <w:sz w:val="32"/>
                <w:szCs w:val="32"/>
              </w:rPr>
            </w:pPr>
            <w:r>
              <w:rPr>
                <w:rFonts w:hint="eastAsia" w:ascii="方正小标宋_GBK" w:hAnsi="方正小标宋_GBK" w:eastAsia="方正小标宋_GBK" w:cs="方正小标宋_GBK"/>
                <w:bCs/>
                <w:color w:val="000000"/>
                <w:sz w:val="32"/>
                <w:szCs w:val="32"/>
                <w:lang w:bidi="ar"/>
              </w:rPr>
              <w:t>2020年度部门（单位）项目支出绩效自评表</w:t>
            </w:r>
          </w:p>
        </w:tc>
      </w:tr>
      <w:tr>
        <w:tblPrEx>
          <w:tblCellMar>
            <w:top w:w="9" w:type="dxa"/>
            <w:left w:w="9" w:type="dxa"/>
            <w:bottom w:w="0" w:type="dxa"/>
            <w:right w:w="9" w:type="dxa"/>
          </w:tblCellMar>
        </w:tblPrEx>
        <w:trPr>
          <w:gridAfter w:val="2"/>
          <w:wAfter w:w="58" w:type="dxa"/>
          <w:trHeight w:val="585" w:hRule="atLeast"/>
          <w:jc w:val="center"/>
        </w:trPr>
        <w:tc>
          <w:tcPr>
            <w:tcW w:w="7635" w:type="dxa"/>
            <w:gridSpan w:val="7"/>
            <w:tcBorders>
              <w:top w:val="nil"/>
              <w:left w:val="nil"/>
              <w:bottom w:val="single" w:color="auto" w:sz="4" w:space="0"/>
              <w:right w:val="nil"/>
            </w:tcBorders>
            <w:noWrap/>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b/>
                <w:bCs/>
                <w:color w:val="000000"/>
                <w:sz w:val="32"/>
                <w:szCs w:val="32"/>
              </w:rPr>
            </w:pPr>
            <w:r>
              <w:rPr>
                <w:rFonts w:hint="eastAsia"/>
                <w:color w:val="000000"/>
                <w:sz w:val="18"/>
                <w:szCs w:val="18"/>
                <w:lang w:bidi="ar"/>
              </w:rPr>
              <w:t>填表单位（</w:t>
            </w:r>
            <w:r>
              <w:rPr>
                <w:color w:val="000000"/>
                <w:sz w:val="18"/>
                <w:szCs w:val="18"/>
                <w:lang w:bidi="ar"/>
              </w:rPr>
              <w:t>盖章</w:t>
            </w:r>
            <w:r>
              <w:rPr>
                <w:rFonts w:hint="eastAsia"/>
                <w:color w:val="000000"/>
                <w:sz w:val="18"/>
                <w:szCs w:val="18"/>
                <w:lang w:bidi="ar"/>
              </w:rPr>
              <w:t>）：重庆市綦江区永新中学江区永新中学</w:t>
            </w:r>
          </w:p>
        </w:tc>
        <w:tc>
          <w:tcPr>
            <w:tcW w:w="461" w:type="dxa"/>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b/>
                <w:bCs/>
                <w:color w:val="000000"/>
                <w:sz w:val="32"/>
                <w:szCs w:val="32"/>
              </w:rPr>
            </w:pPr>
          </w:p>
        </w:tc>
      </w:tr>
      <w:tr>
        <w:tblPrEx>
          <w:tblCellMar>
            <w:top w:w="9" w:type="dxa"/>
            <w:left w:w="9" w:type="dxa"/>
            <w:bottom w:w="0" w:type="dxa"/>
            <w:right w:w="9" w:type="dxa"/>
          </w:tblCellMar>
        </w:tblPrEx>
        <w:trPr>
          <w:trHeight w:val="645" w:hRule="atLeast"/>
          <w:jc w:val="center"/>
        </w:trPr>
        <w:tc>
          <w:tcPr>
            <w:tcW w:w="82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项目名称</w:t>
            </w:r>
          </w:p>
        </w:tc>
        <w:tc>
          <w:tcPr>
            <w:tcW w:w="314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助学金</w:t>
            </w:r>
          </w:p>
        </w:tc>
        <w:tc>
          <w:tcPr>
            <w:tcW w:w="139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自评总分</w:t>
            </w:r>
            <w:r>
              <w:rPr>
                <w:rFonts w:hint="eastAsia"/>
                <w:color w:val="000000"/>
                <w:sz w:val="20"/>
                <w:szCs w:val="20"/>
              </w:rPr>
              <w:br w:type="textWrapping"/>
            </w:r>
            <w:r>
              <w:rPr>
                <w:rFonts w:hint="eastAsia"/>
                <w:color w:val="000000"/>
                <w:sz w:val="20"/>
                <w:szCs w:val="20"/>
              </w:rPr>
              <w:t>（分)</w:t>
            </w:r>
          </w:p>
        </w:tc>
        <w:tc>
          <w:tcPr>
            <w:tcW w:w="2800"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r>
      <w:tr>
        <w:tblPrEx>
          <w:tblCellMar>
            <w:top w:w="9" w:type="dxa"/>
            <w:left w:w="9" w:type="dxa"/>
            <w:bottom w:w="0" w:type="dxa"/>
            <w:right w:w="9" w:type="dxa"/>
          </w:tblCellMar>
        </w:tblPrEx>
        <w:trPr>
          <w:trHeight w:val="645" w:hRule="atLeast"/>
          <w:jc w:val="center"/>
        </w:trPr>
        <w:tc>
          <w:tcPr>
            <w:tcW w:w="82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业务主管部门</w:t>
            </w:r>
          </w:p>
        </w:tc>
        <w:tc>
          <w:tcPr>
            <w:tcW w:w="314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重庆市綦江区教育委员会</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联系人</w:t>
            </w:r>
            <w:r>
              <w:rPr>
                <w:rFonts w:hint="eastAsia"/>
                <w:color w:val="000000"/>
                <w:sz w:val="20"/>
                <w:szCs w:val="20"/>
              </w:rPr>
              <w:br w:type="textWrapping"/>
            </w:r>
            <w:r>
              <w:rPr>
                <w:rFonts w:hint="eastAsia"/>
                <w:color w:val="000000"/>
                <w:sz w:val="20"/>
                <w:szCs w:val="20"/>
              </w:rPr>
              <w:t>及电话</w:t>
            </w:r>
          </w:p>
        </w:tc>
        <w:tc>
          <w:tcPr>
            <w:tcW w:w="2800"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李福13648474001</w:t>
            </w:r>
          </w:p>
        </w:tc>
      </w:tr>
      <w:tr>
        <w:tblPrEx>
          <w:tblCellMar>
            <w:top w:w="9" w:type="dxa"/>
            <w:left w:w="9" w:type="dxa"/>
            <w:bottom w:w="0" w:type="dxa"/>
            <w:right w:w="9" w:type="dxa"/>
          </w:tblCellMar>
        </w:tblPrEx>
        <w:trPr>
          <w:gridAfter w:val="1"/>
          <w:wAfter w:w="15" w:type="dxa"/>
          <w:trHeight w:val="360" w:hRule="atLeast"/>
          <w:jc w:val="center"/>
        </w:trPr>
        <w:tc>
          <w:tcPr>
            <w:tcW w:w="820"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项目资金（万元）</w:t>
            </w:r>
          </w:p>
        </w:tc>
        <w:tc>
          <w:tcPr>
            <w:tcW w:w="1503" w:type="dxa"/>
            <w:tcBorders>
              <w:top w:val="nil"/>
              <w:left w:val="nil"/>
              <w:bottom w:val="single" w:color="auto" w:sz="4" w:space="0"/>
              <w:right w:val="nil"/>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r>
              <w:rPr>
                <w:rFonts w:hint="eastAsia"/>
                <w:color w:val="000000"/>
                <w:sz w:val="20"/>
                <w:szCs w:val="20"/>
              </w:rPr>
              <w:t>　</w:t>
            </w:r>
          </w:p>
        </w:tc>
        <w:tc>
          <w:tcPr>
            <w:tcW w:w="1638"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全年预算数（A）</w:t>
            </w:r>
          </w:p>
        </w:tc>
        <w:tc>
          <w:tcPr>
            <w:tcW w:w="139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全年执行数（B）</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执行率%（B/A）</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执行率得分（分）</w:t>
            </w:r>
          </w:p>
        </w:tc>
      </w:tr>
      <w:tr>
        <w:tblPrEx>
          <w:tblCellMar>
            <w:top w:w="9" w:type="dxa"/>
            <w:left w:w="9" w:type="dxa"/>
            <w:bottom w:w="0" w:type="dxa"/>
            <w:right w:w="9" w:type="dxa"/>
          </w:tblCellMar>
        </w:tblPrEx>
        <w:trPr>
          <w:gridAfter w:val="1"/>
          <w:wAfter w:w="15" w:type="dxa"/>
          <w:trHeight w:val="360" w:hRule="atLeast"/>
          <w:jc w:val="center"/>
        </w:trPr>
        <w:tc>
          <w:tcPr>
            <w:tcW w:w="0" w:type="auto"/>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r>
              <w:rPr>
                <w:rFonts w:hint="eastAsia"/>
                <w:color w:val="000000"/>
                <w:sz w:val="20"/>
                <w:szCs w:val="20"/>
              </w:rPr>
              <w:t>年度资金总额：</w:t>
            </w:r>
          </w:p>
        </w:tc>
        <w:tc>
          <w:tcPr>
            <w:tcW w:w="163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797681</w:t>
            </w:r>
          </w:p>
        </w:tc>
        <w:tc>
          <w:tcPr>
            <w:tcW w:w="139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797681</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w:t>
            </w:r>
          </w:p>
        </w:tc>
      </w:tr>
      <w:tr>
        <w:tblPrEx>
          <w:tblCellMar>
            <w:top w:w="9" w:type="dxa"/>
            <w:left w:w="9" w:type="dxa"/>
            <w:bottom w:w="0" w:type="dxa"/>
            <w:right w:w="9" w:type="dxa"/>
          </w:tblCellMar>
        </w:tblPrEx>
        <w:trPr>
          <w:gridAfter w:val="1"/>
          <w:wAfter w:w="15" w:type="dxa"/>
          <w:trHeight w:val="360" w:hRule="atLeast"/>
          <w:jc w:val="center"/>
        </w:trPr>
        <w:tc>
          <w:tcPr>
            <w:tcW w:w="0" w:type="auto"/>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其中：中央补助</w:t>
            </w:r>
          </w:p>
        </w:tc>
        <w:tc>
          <w:tcPr>
            <w:tcW w:w="163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499837.5</w:t>
            </w:r>
          </w:p>
        </w:tc>
        <w:tc>
          <w:tcPr>
            <w:tcW w:w="1393"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499837.5</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r>
      <w:tr>
        <w:tblPrEx>
          <w:tblCellMar>
            <w:top w:w="9" w:type="dxa"/>
            <w:left w:w="9" w:type="dxa"/>
            <w:bottom w:w="0" w:type="dxa"/>
            <w:right w:w="9" w:type="dxa"/>
          </w:tblCellMar>
        </w:tblPrEx>
        <w:trPr>
          <w:gridAfter w:val="1"/>
          <w:wAfter w:w="15" w:type="dxa"/>
          <w:trHeight w:val="375" w:hRule="atLeast"/>
          <w:jc w:val="center"/>
        </w:trPr>
        <w:tc>
          <w:tcPr>
            <w:tcW w:w="0" w:type="auto"/>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xml:space="preserve">     市级补助</w:t>
            </w:r>
          </w:p>
        </w:tc>
        <w:tc>
          <w:tcPr>
            <w:tcW w:w="163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157187.5</w:t>
            </w:r>
          </w:p>
        </w:tc>
        <w:tc>
          <w:tcPr>
            <w:tcW w:w="1393"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157187.5</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r>
      <w:tr>
        <w:tblPrEx>
          <w:tblCellMar>
            <w:top w:w="9" w:type="dxa"/>
            <w:left w:w="9" w:type="dxa"/>
            <w:bottom w:w="0" w:type="dxa"/>
            <w:right w:w="9" w:type="dxa"/>
          </w:tblCellMar>
        </w:tblPrEx>
        <w:trPr>
          <w:gridAfter w:val="1"/>
          <w:wAfter w:w="15" w:type="dxa"/>
          <w:trHeight w:val="420" w:hRule="atLeast"/>
          <w:jc w:val="center"/>
        </w:trPr>
        <w:tc>
          <w:tcPr>
            <w:tcW w:w="0" w:type="auto"/>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xml:space="preserve">     区级资金</w:t>
            </w:r>
          </w:p>
        </w:tc>
        <w:tc>
          <w:tcPr>
            <w:tcW w:w="163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140656</w:t>
            </w:r>
          </w:p>
        </w:tc>
        <w:tc>
          <w:tcPr>
            <w:tcW w:w="1393"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140656</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r>
      <w:tr>
        <w:tblPrEx>
          <w:tblCellMar>
            <w:top w:w="9" w:type="dxa"/>
            <w:left w:w="9" w:type="dxa"/>
            <w:bottom w:w="0" w:type="dxa"/>
            <w:right w:w="9" w:type="dxa"/>
          </w:tblCellMar>
        </w:tblPrEx>
        <w:trPr>
          <w:gridAfter w:val="1"/>
          <w:wAfter w:w="15" w:type="dxa"/>
          <w:trHeight w:val="330" w:hRule="atLeast"/>
          <w:jc w:val="center"/>
        </w:trPr>
        <w:tc>
          <w:tcPr>
            <w:tcW w:w="0" w:type="auto"/>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xml:space="preserve">     其他资金</w:t>
            </w:r>
          </w:p>
        </w:tc>
        <w:tc>
          <w:tcPr>
            <w:tcW w:w="163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w:t>
            </w:r>
          </w:p>
        </w:tc>
        <w:tc>
          <w:tcPr>
            <w:tcW w:w="139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w:t>
            </w:r>
          </w:p>
        </w:tc>
        <w:tc>
          <w:tcPr>
            <w:tcW w:w="14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r>
      <w:tr>
        <w:tblPrEx>
          <w:tblCellMar>
            <w:top w:w="9" w:type="dxa"/>
            <w:left w:w="9" w:type="dxa"/>
            <w:bottom w:w="0" w:type="dxa"/>
            <w:right w:w="9" w:type="dxa"/>
          </w:tblCellMar>
        </w:tblPrEx>
        <w:trPr>
          <w:gridAfter w:val="1"/>
          <w:wAfter w:w="15" w:type="dxa"/>
          <w:trHeight w:val="510" w:hRule="atLeast"/>
          <w:jc w:val="center"/>
        </w:trPr>
        <w:tc>
          <w:tcPr>
            <w:tcW w:w="820"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年度总体目标</w:t>
            </w:r>
          </w:p>
        </w:tc>
        <w:tc>
          <w:tcPr>
            <w:tcW w:w="314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年初设定目标</w:t>
            </w:r>
          </w:p>
        </w:tc>
        <w:tc>
          <w:tcPr>
            <w:tcW w:w="4178"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全年目标实际完成情况</w:t>
            </w:r>
          </w:p>
        </w:tc>
      </w:tr>
      <w:tr>
        <w:tblPrEx>
          <w:tblCellMar>
            <w:top w:w="9" w:type="dxa"/>
            <w:left w:w="9" w:type="dxa"/>
            <w:bottom w:w="0" w:type="dxa"/>
            <w:right w:w="9" w:type="dxa"/>
          </w:tblCellMar>
        </w:tblPrEx>
        <w:trPr>
          <w:gridAfter w:val="1"/>
          <w:wAfter w:w="15" w:type="dxa"/>
          <w:trHeight w:val="1485"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314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改善学生营养状况，增加午餐营养，提高学生身体素质，降低营养不良检出率1%，营养不良率低于全市平均水平，促进学生身心健康发展，营养改善计划的实施，让社会充分肯定。</w:t>
            </w:r>
          </w:p>
        </w:tc>
        <w:tc>
          <w:tcPr>
            <w:tcW w:w="4178"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改善学生营养状况，增加午餐营养，降低营养不良检出率1.46%，促进学生健康发展，营养改善计划效果明显，得到社会充分肯定。</w:t>
            </w:r>
          </w:p>
        </w:tc>
      </w:tr>
      <w:tr>
        <w:tblPrEx>
          <w:tblCellMar>
            <w:top w:w="9" w:type="dxa"/>
            <w:left w:w="9" w:type="dxa"/>
            <w:bottom w:w="0" w:type="dxa"/>
            <w:right w:w="9" w:type="dxa"/>
          </w:tblCellMar>
        </w:tblPrEx>
        <w:trPr>
          <w:trHeight w:val="645" w:hRule="atLeast"/>
          <w:jc w:val="center"/>
        </w:trPr>
        <w:tc>
          <w:tcPr>
            <w:tcW w:w="820" w:type="dxa"/>
            <w:vMerge w:val="restart"/>
            <w:tcBorders>
              <w:top w:val="nil"/>
              <w:left w:val="single" w:color="auto" w:sz="4" w:space="0"/>
              <w:bottom w:val="single" w:color="auto" w:sz="4" w:space="0"/>
              <w:right w:val="single" w:color="auto" w:sz="4" w:space="0"/>
            </w:tcBorders>
            <w:textDirection w:val="tbRlV"/>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绩效指标</w:t>
            </w:r>
          </w:p>
        </w:tc>
        <w:tc>
          <w:tcPr>
            <w:tcW w:w="15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指标名称</w:t>
            </w:r>
            <w:r>
              <w:rPr>
                <w:rFonts w:hint="eastAsia"/>
                <w:color w:val="000000"/>
                <w:sz w:val="20"/>
                <w:szCs w:val="20"/>
              </w:rPr>
              <w:br w:type="textWrapping"/>
            </w:r>
            <w:r>
              <w:rPr>
                <w:rFonts w:hint="eastAsia"/>
                <w:color w:val="000000"/>
                <w:sz w:val="20"/>
                <w:szCs w:val="20"/>
              </w:rPr>
              <w:t>（三级指标）</w:t>
            </w:r>
          </w:p>
        </w:tc>
        <w:tc>
          <w:tcPr>
            <w:tcW w:w="1029" w:type="dxa"/>
            <w:tcBorders>
              <w:top w:val="nil"/>
              <w:left w:val="nil"/>
              <w:bottom w:val="single" w:color="auto" w:sz="4" w:space="0"/>
              <w:right w:val="single" w:color="auto" w:sz="4" w:space="0"/>
            </w:tcBorders>
            <w:noWrap/>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计量单位</w:t>
            </w:r>
          </w:p>
        </w:tc>
        <w:tc>
          <w:tcPr>
            <w:tcW w:w="609"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指标权重</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指标值</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全年完成值</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得分系数（%）</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指标得分</w:t>
            </w:r>
            <w:r>
              <w:rPr>
                <w:rFonts w:hint="eastAsia"/>
                <w:color w:val="000000"/>
                <w:sz w:val="20"/>
                <w:szCs w:val="20"/>
              </w:rPr>
              <w:br w:type="textWrapping"/>
            </w:r>
            <w:r>
              <w:rPr>
                <w:rFonts w:hint="eastAsia"/>
                <w:color w:val="000000"/>
                <w:sz w:val="20"/>
                <w:szCs w:val="20"/>
              </w:rPr>
              <w:t>（分)</w:t>
            </w:r>
          </w:p>
        </w:tc>
      </w:tr>
      <w:tr>
        <w:tblPrEx>
          <w:tblCellMar>
            <w:top w:w="9" w:type="dxa"/>
            <w:left w:w="9" w:type="dxa"/>
            <w:bottom w:w="0" w:type="dxa"/>
            <w:right w:w="9" w:type="dxa"/>
          </w:tblCellMar>
        </w:tblPrEx>
        <w:trPr>
          <w:trHeight w:val="444"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18"/>
                <w:szCs w:val="20"/>
              </w:rPr>
              <w:t>免费午餐享受人数</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人</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20</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16</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16</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20</w:t>
            </w:r>
          </w:p>
        </w:tc>
      </w:tr>
      <w:tr>
        <w:tblPrEx>
          <w:tblCellMar>
            <w:top w:w="9" w:type="dxa"/>
            <w:left w:w="9" w:type="dxa"/>
            <w:bottom w:w="0" w:type="dxa"/>
            <w:right w:w="9" w:type="dxa"/>
          </w:tblCellMar>
        </w:tblPrEx>
        <w:trPr>
          <w:trHeight w:val="645"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应享受营养午餐覆盖率</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20</w:t>
            </w:r>
          </w:p>
        </w:tc>
        <w:tc>
          <w:tcPr>
            <w:tcW w:w="1393" w:type="dxa"/>
            <w:tcBorders>
              <w:top w:val="nil"/>
              <w:left w:val="nil"/>
              <w:bottom w:val="single" w:color="auto" w:sz="4" w:space="0"/>
              <w:right w:val="single" w:color="auto" w:sz="4" w:space="0"/>
            </w:tcBorders>
            <w:noWrap/>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20</w:t>
            </w:r>
          </w:p>
        </w:tc>
      </w:tr>
      <w:tr>
        <w:tblPrEx>
          <w:tblCellMar>
            <w:top w:w="9" w:type="dxa"/>
            <w:left w:w="9" w:type="dxa"/>
            <w:bottom w:w="0" w:type="dxa"/>
            <w:right w:w="9" w:type="dxa"/>
          </w:tblCellMar>
        </w:tblPrEx>
        <w:trPr>
          <w:trHeight w:val="459"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免费午餐标准</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元/天</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w:t>
            </w:r>
          </w:p>
        </w:tc>
      </w:tr>
      <w:tr>
        <w:tblPrEx>
          <w:tblCellMar>
            <w:top w:w="9" w:type="dxa"/>
            <w:left w:w="9" w:type="dxa"/>
            <w:bottom w:w="0" w:type="dxa"/>
            <w:right w:w="9" w:type="dxa"/>
          </w:tblCellMar>
        </w:tblPrEx>
        <w:trPr>
          <w:trHeight w:val="615"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营养不良检出率比上年降低</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百分点</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30</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30</w:t>
            </w:r>
          </w:p>
        </w:tc>
      </w:tr>
      <w:tr>
        <w:tblPrEx>
          <w:tblCellMar>
            <w:top w:w="9" w:type="dxa"/>
            <w:left w:w="9" w:type="dxa"/>
            <w:bottom w:w="0" w:type="dxa"/>
            <w:right w:w="9" w:type="dxa"/>
          </w:tblCellMar>
        </w:tblPrEx>
        <w:trPr>
          <w:trHeight w:val="475"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家长学生满意率</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5</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95</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98</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5</w:t>
            </w:r>
          </w:p>
        </w:tc>
      </w:tr>
      <w:tr>
        <w:tblPrEx>
          <w:tblCellMar>
            <w:top w:w="9" w:type="dxa"/>
            <w:left w:w="9" w:type="dxa"/>
            <w:bottom w:w="0" w:type="dxa"/>
            <w:right w:w="9" w:type="dxa"/>
          </w:tblCellMar>
        </w:tblPrEx>
        <w:trPr>
          <w:trHeight w:val="397"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0"/>
                <w:szCs w:val="20"/>
              </w:rPr>
            </w:pPr>
          </w:p>
        </w:tc>
        <w:tc>
          <w:tcPr>
            <w:tcW w:w="1503"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社会满意率</w:t>
            </w:r>
          </w:p>
        </w:tc>
        <w:tc>
          <w:tcPr>
            <w:tcW w:w="1029" w:type="dxa"/>
            <w:tcBorders>
              <w:top w:val="nil"/>
              <w:left w:val="nil"/>
              <w:bottom w:val="single" w:color="auto" w:sz="8" w:space="0"/>
              <w:right w:val="single" w:color="auto" w:sz="8"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w:t>
            </w:r>
          </w:p>
        </w:tc>
        <w:tc>
          <w:tcPr>
            <w:tcW w:w="6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5</w:t>
            </w:r>
          </w:p>
        </w:tc>
        <w:tc>
          <w:tcPr>
            <w:tcW w:w="139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95</w:t>
            </w:r>
          </w:p>
        </w:tc>
        <w:tc>
          <w:tcPr>
            <w:tcW w:w="134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98</w:t>
            </w:r>
          </w:p>
        </w:tc>
        <w:tc>
          <w:tcPr>
            <w:tcW w:w="94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100%</w:t>
            </w:r>
          </w:p>
        </w:tc>
        <w:tc>
          <w:tcPr>
            <w:tcW w:w="519"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5</w:t>
            </w:r>
          </w:p>
        </w:tc>
      </w:tr>
      <w:tr>
        <w:tblPrEx>
          <w:tblCellMar>
            <w:top w:w="9" w:type="dxa"/>
            <w:left w:w="9" w:type="dxa"/>
            <w:bottom w:w="0" w:type="dxa"/>
            <w:right w:w="9" w:type="dxa"/>
          </w:tblCellMar>
        </w:tblPrEx>
        <w:trPr>
          <w:gridAfter w:val="1"/>
          <w:wAfter w:w="15" w:type="dxa"/>
          <w:trHeight w:val="1866" w:hRule="atLeast"/>
          <w:jc w:val="center"/>
        </w:trPr>
        <w:tc>
          <w:tcPr>
            <w:tcW w:w="82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未完成绩效目标或偏离较多的原因、改进措施及其他说明</w:t>
            </w:r>
          </w:p>
        </w:tc>
        <w:tc>
          <w:tcPr>
            <w:tcW w:w="7319" w:type="dxa"/>
            <w:gridSpan w:val="8"/>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jc w:val="center"/>
              <w:textAlignment w:val="auto"/>
              <w:rPr>
                <w:color w:val="000000"/>
                <w:sz w:val="20"/>
                <w:szCs w:val="20"/>
              </w:rPr>
            </w:pPr>
            <w:r>
              <w:rPr>
                <w:rFonts w:hint="eastAsia"/>
                <w:color w:val="000000"/>
                <w:sz w:val="20"/>
                <w:szCs w:val="20"/>
              </w:rPr>
              <w:t>　</w:t>
            </w:r>
          </w:p>
        </w:tc>
      </w:tr>
      <w:tr>
        <w:tblPrEx>
          <w:tblCellMar>
            <w:top w:w="9" w:type="dxa"/>
            <w:left w:w="9" w:type="dxa"/>
            <w:bottom w:w="0" w:type="dxa"/>
            <w:right w:w="9" w:type="dxa"/>
          </w:tblCellMar>
        </w:tblPrEx>
        <w:trPr>
          <w:gridAfter w:val="1"/>
          <w:wAfter w:w="15" w:type="dxa"/>
          <w:trHeight w:val="280" w:hRule="atLeast"/>
          <w:jc w:val="center"/>
        </w:trPr>
        <w:tc>
          <w:tcPr>
            <w:tcW w:w="8139" w:type="dxa"/>
            <w:gridSpan w:val="9"/>
            <w:vAlign w:val="center"/>
          </w:tcPr>
          <w:p>
            <w:pPr>
              <w:keepNext w:val="0"/>
              <w:keepLines w:val="0"/>
              <w:pageBreakBefore w:val="0"/>
              <w:widowControl/>
              <w:kinsoku/>
              <w:wordWrap/>
              <w:overflowPunct/>
              <w:topLinePunct w:val="0"/>
              <w:autoSpaceDE/>
              <w:autoSpaceDN/>
              <w:bidi w:val="0"/>
              <w:adjustRightInd/>
              <w:snapToGrid/>
              <w:spacing w:beforeAutospacing="0" w:afterAutospacing="0" w:line="600" w:lineRule="atLeast"/>
              <w:textAlignment w:val="auto"/>
              <w:rPr>
                <w:color w:val="000000"/>
                <w:sz w:val="22"/>
                <w:szCs w:val="22"/>
              </w:rPr>
            </w:pPr>
            <w:bookmarkStart w:id="0" w:name="_GoBack"/>
            <w:bookmarkEnd w:id="0"/>
            <w:r>
              <w:rPr>
                <w:rFonts w:hint="eastAsia"/>
                <w:sz w:val="20"/>
                <w:szCs w:val="20"/>
              </w:rPr>
              <w:t xml:space="preserve"> 预算单位主要领导：赵强         绩效评价负责人：李福         经办人：张小波          </w:t>
            </w:r>
          </w:p>
        </w:tc>
      </w:tr>
    </w:tbl>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sz w:val="32"/>
          <w:szCs w:val="32"/>
        </w:rPr>
      </w:pPr>
      <w:r>
        <w:rPr>
          <w:rFonts w:hint="eastAsia" w:eastAsia="方正黑体_GBK"/>
          <w:sz w:val="32"/>
          <w:szCs w:val="32"/>
        </w:rPr>
        <w:t>六、专业名词解释</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（一）财政拨款收入</w:t>
      </w:r>
      <w:r>
        <w:rPr>
          <w:rFonts w:hint="eastAsia" w:eastAsia="方正楷体_GBK"/>
          <w:bCs/>
          <w:color w:val="333333"/>
          <w:sz w:val="32"/>
          <w:szCs w:val="32"/>
        </w:rPr>
        <w:t>：</w:t>
      </w:r>
      <w:r>
        <w:rPr>
          <w:rFonts w:hint="eastAsia" w:eastAsia="方正仿宋_GBK"/>
          <w:sz w:val="32"/>
          <w:szCs w:val="32"/>
        </w:rPr>
        <w:t>指本年度从本级财政部门取得的财政拨款，包括一般公共预算财政拨款和政府性基金预算财政拨款。</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（二）事业收入</w:t>
      </w:r>
      <w:r>
        <w:rPr>
          <w:rFonts w:hint="eastAsia"/>
          <w:sz w:val="27"/>
          <w:szCs w:val="27"/>
        </w:rPr>
        <w:t>：</w:t>
      </w:r>
      <w:r>
        <w:rPr>
          <w:rFonts w:hint="eastAsia" w:eastAsia="方正仿宋_GBK"/>
          <w:sz w:val="32"/>
          <w:szCs w:val="32"/>
        </w:rPr>
        <w:t>指事业单位开展专业业务活动及其辅助活动取得的现金流入；事业单位收到的财政专户实际核拨的教育收费等资金在此反映。</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（三）经营收入</w:t>
      </w:r>
      <w:r>
        <w:rPr>
          <w:rFonts w:hint="eastAsia" w:eastAsia="方正楷体_GBK"/>
          <w:bCs/>
          <w:color w:val="333333"/>
          <w:sz w:val="32"/>
          <w:szCs w:val="32"/>
        </w:rPr>
        <w:t>：</w:t>
      </w:r>
      <w:r>
        <w:rPr>
          <w:rFonts w:hint="eastAsia" w:eastAsia="方正仿宋_GBK"/>
          <w:sz w:val="32"/>
          <w:szCs w:val="32"/>
        </w:rPr>
        <w:t>指事业单位在专业业务活动及其辅助活动之外开展非独立核算经营活动取得的现金流入。</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（四）其他收入</w:t>
      </w:r>
      <w:r>
        <w:rPr>
          <w:rFonts w:hint="eastAsia" w:eastAsia="方正楷体_GBK"/>
          <w:color w:val="333333"/>
          <w:sz w:val="32"/>
          <w:szCs w:val="32"/>
        </w:rPr>
        <w:t>：</w:t>
      </w:r>
      <w:r>
        <w:rPr>
          <w:rFonts w:hint="eastAsia" w:eastAsia="方正仿宋_GBK"/>
          <w:sz w:val="32"/>
          <w:szCs w:val="32"/>
        </w:rPr>
        <w:t>指单位取得的除“财政拨款收入”、“事业收入”、“经营收入”等以外的收入，包括未纳入财政预算或财政专户管理的投资收益、银行存款利息收入、租金收入、捐赠收入，现金盘盈收入、存货盘盈收入、收回已核销的应收及预付款项、无法偿付的应付及预收款项等。各单位从本级财政部门以外的同级单位取得的经费、从非本级财政部门取得的经费，以及行政单位收到的财政专户管理资金反映在本项内。</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（五）使用非财政拨款结余</w:t>
      </w:r>
      <w:r>
        <w:rPr>
          <w:rFonts w:hint="eastAsia" w:eastAsia="方正楷体_GBK"/>
          <w:bCs/>
          <w:color w:val="333333"/>
          <w:sz w:val="32"/>
          <w:szCs w:val="32"/>
        </w:rPr>
        <w:t>：</w:t>
      </w:r>
      <w:r>
        <w:rPr>
          <w:rFonts w:hint="eastAsia" w:eastAsia="方正仿宋_GBK"/>
          <w:sz w:val="32"/>
          <w:szCs w:val="32"/>
        </w:rPr>
        <w:t>指单位在当年的“财政拨款收入”、“事业收入”、“经营收入”、“其他收入”等不足以安排当年支出的情况下，使用以前年度积累的非财政拨款结余弥补本年度收支缺口的资金。</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（六）年初结转和结余</w:t>
      </w:r>
      <w:r>
        <w:rPr>
          <w:rFonts w:hint="eastAsia" w:eastAsia="方正楷体_GBK"/>
          <w:color w:val="333333"/>
          <w:sz w:val="32"/>
          <w:szCs w:val="32"/>
        </w:rPr>
        <w:t>：</w:t>
      </w:r>
      <w:r>
        <w:rPr>
          <w:rFonts w:hint="eastAsia" w:eastAsia="方正仿宋_GBK"/>
          <w:sz w:val="32"/>
          <w:szCs w:val="32"/>
        </w:rPr>
        <w:t>指单位上年结转本年使用的基本支出结转、项目支出结转和结余、经营结余。</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w:t>
      </w:r>
      <w:r>
        <w:rPr>
          <w:rFonts w:hint="eastAsia" w:eastAsia="方正楷体_GBK"/>
          <w:color w:val="333333"/>
          <w:sz w:val="32"/>
          <w:szCs w:val="32"/>
        </w:rPr>
        <w:t>七）结余分配</w:t>
      </w:r>
      <w:r>
        <w:rPr>
          <w:rFonts w:hint="eastAsia" w:eastAsia="方正楷体_GBK"/>
          <w:bCs/>
          <w:color w:val="333333"/>
          <w:sz w:val="32"/>
          <w:szCs w:val="32"/>
        </w:rPr>
        <w:t>：</w:t>
      </w:r>
      <w:r>
        <w:rPr>
          <w:rFonts w:hint="eastAsia" w:eastAsia="方正仿宋_GBK"/>
          <w:sz w:val="32"/>
          <w:szCs w:val="32"/>
        </w:rPr>
        <w:t>指单位按照国家有关规定，缴纳所得税、提取专用基金、转入非财政拨款结余等当年结余的分配情况。</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（八）年末结转和结余</w:t>
      </w:r>
      <w:r>
        <w:rPr>
          <w:rFonts w:hint="eastAsia" w:eastAsia="方正楷体_GBK"/>
          <w:color w:val="333333"/>
          <w:sz w:val="32"/>
          <w:szCs w:val="32"/>
        </w:rPr>
        <w:t>：</w:t>
      </w:r>
      <w:r>
        <w:rPr>
          <w:rFonts w:hint="eastAsia" w:eastAsia="方正仿宋_GBK"/>
          <w:sz w:val="32"/>
          <w:szCs w:val="32"/>
        </w:rPr>
        <w:t>指单位结转下年的基本支出结转、项目支出结转和结余、经营结余。</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w:t>
      </w:r>
      <w:r>
        <w:rPr>
          <w:rFonts w:hint="eastAsia" w:eastAsia="方正楷体_GBK"/>
          <w:bCs/>
          <w:color w:val="333333"/>
          <w:sz w:val="32"/>
          <w:szCs w:val="32"/>
        </w:rPr>
        <w:t>九）基</w:t>
      </w:r>
      <w:r>
        <w:rPr>
          <w:rFonts w:hint="eastAsia" w:eastAsia="方正楷体_GBK"/>
          <w:color w:val="333333"/>
          <w:sz w:val="32"/>
          <w:szCs w:val="32"/>
        </w:rPr>
        <w:t>本支出</w:t>
      </w:r>
      <w:r>
        <w:rPr>
          <w:rFonts w:hint="eastAsia" w:eastAsia="方正楷体_GBK"/>
          <w:bCs/>
          <w:color w:val="333333"/>
          <w:sz w:val="32"/>
          <w:szCs w:val="32"/>
        </w:rPr>
        <w:t>：</w:t>
      </w:r>
      <w:r>
        <w:rPr>
          <w:rFonts w:hint="eastAsia" w:eastAsia="方正仿宋_GBK"/>
          <w:sz w:val="32"/>
          <w:szCs w:val="32"/>
        </w:rPr>
        <w:t>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w:t>
      </w:r>
      <w:r>
        <w:rPr>
          <w:rFonts w:hint="eastAsia" w:eastAsia="方正楷体_GBK"/>
          <w:bCs/>
          <w:color w:val="333333"/>
          <w:sz w:val="32"/>
          <w:szCs w:val="32"/>
        </w:rPr>
        <w:t>十）项目支出：</w:t>
      </w:r>
      <w:r>
        <w:rPr>
          <w:rFonts w:hint="eastAsia" w:eastAsia="方正仿宋_GBK"/>
          <w:sz w:val="32"/>
          <w:szCs w:val="32"/>
        </w:rPr>
        <w:t>指在基本支出之外为完成特定行政任务和事业发展目标所发生的支出。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（十一）经营支出</w:t>
      </w:r>
      <w:r>
        <w:rPr>
          <w:rFonts w:hint="eastAsia" w:eastAsia="方正楷体_GBK"/>
          <w:bCs/>
          <w:color w:val="333333"/>
          <w:sz w:val="32"/>
          <w:szCs w:val="32"/>
        </w:rPr>
        <w:t>：</w:t>
      </w:r>
      <w:r>
        <w:rPr>
          <w:rFonts w:hint="eastAsia" w:eastAsia="方正仿宋_GBK"/>
          <w:sz w:val="32"/>
          <w:szCs w:val="32"/>
        </w:rPr>
        <w:t>指事业单位在专业业务活动及其辅助活动之外开展非独立核算经营活动发生的支出。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（十二）“三公”经费</w:t>
      </w:r>
      <w:r>
        <w:rPr>
          <w:rFonts w:hint="eastAsia" w:eastAsia="方正楷体_GBK"/>
          <w:color w:val="333333"/>
          <w:sz w:val="32"/>
          <w:szCs w:val="32"/>
        </w:rPr>
        <w:t>：</w:t>
      </w:r>
      <w:r>
        <w:rPr>
          <w:rFonts w:hint="eastAsia" w:eastAsia="方正仿宋_GBK"/>
          <w:sz w:val="32"/>
          <w:szCs w:val="32"/>
        </w:rPr>
        <w:t>指用一般公共预算财政拨款安排的因公出国（境）费、公务用车购置及运行维护费、公务接待费。其中，因公出国（境）费反映单位公务出国（境）的国际旅费、国外城市间交通费、住宿费、伙食费、培训费、公杂费等支出；公务用车购置费反映单位公务用车购置支出（含车辆购置税）；公务用车运行维护费反映单位按规定保留的公务用车燃料费、维修费、过路过桥费、保险费、安全奖励费用等支出；公务接待费反映单位按规定开支的各类公务接待（含外宾接待）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（十三）机关运行经费</w:t>
      </w:r>
      <w:r>
        <w:rPr>
          <w:rFonts w:hint="eastAsia" w:eastAsia="方正楷体_GBK"/>
          <w:bCs/>
          <w:color w:val="333333"/>
          <w:sz w:val="32"/>
          <w:szCs w:val="32"/>
        </w:rPr>
        <w:t>：</w:t>
      </w:r>
      <w:r>
        <w:rPr>
          <w:rFonts w:hint="eastAsia" w:eastAsia="方正仿宋_GBK"/>
          <w:sz w:val="32"/>
          <w:szCs w:val="32"/>
        </w:rPr>
        <w:t>为保障行政单位（含参照公务员法管理的事业单位）运行用于购买货物和服务等的各项公用经费，包括办公及印刷费、邮电费、差旅费、会议费、福利费、日常维护 费、专用材料及一般设备购置费、办公用房水电费、办公用房取暖费、办公用房物业管理费、公务用车运行维护费以及其他费用。</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bCs/>
          <w:color w:val="333333"/>
          <w:sz w:val="32"/>
          <w:szCs w:val="32"/>
        </w:rPr>
        <w:t>（十四）工资福利支出（支出经济分类科目类级）</w:t>
      </w:r>
      <w:r>
        <w:rPr>
          <w:rFonts w:hint="eastAsia" w:eastAsia="方正楷体_GBK"/>
          <w:color w:val="333333"/>
          <w:sz w:val="32"/>
          <w:szCs w:val="32"/>
        </w:rPr>
        <w:t>：</w:t>
      </w:r>
      <w:r>
        <w:rPr>
          <w:rFonts w:hint="eastAsia" w:eastAsia="方正仿宋_GBK"/>
          <w:sz w:val="32"/>
          <w:szCs w:val="32"/>
        </w:rPr>
        <w:t>反映单位开支的在职职工和编制外长期聘用人员的各类劳动报酬，以及为上述人员缴纳的各项社会保险费等。</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（十五）商品和服务支出（支出经济分类科目类级）</w:t>
      </w:r>
      <w:r>
        <w:rPr>
          <w:rFonts w:hint="eastAsia" w:eastAsia="方正楷体_GBK"/>
          <w:bCs/>
          <w:color w:val="333333"/>
          <w:sz w:val="32"/>
          <w:szCs w:val="32"/>
        </w:rPr>
        <w:t>：</w:t>
      </w:r>
      <w:r>
        <w:rPr>
          <w:rFonts w:hint="eastAsia" w:eastAsia="方正仿宋_GBK"/>
          <w:sz w:val="32"/>
          <w:szCs w:val="32"/>
        </w:rPr>
        <w:t>反映单位购买商品和服务的支出（不包括用于购置固定资产的支出、战略性和应急储备支出）。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rPr>
          <w:sz w:val="27"/>
          <w:szCs w:val="27"/>
        </w:rPr>
      </w:pPr>
      <w:r>
        <w:rPr>
          <w:rFonts w:hint="eastAsia" w:eastAsia="方正楷体_GBK"/>
          <w:bCs/>
          <w:color w:val="333333"/>
          <w:sz w:val="32"/>
          <w:szCs w:val="32"/>
        </w:rPr>
        <w:t>（十六）对个人和家庭的补助（支出经济分类科目类级）</w:t>
      </w:r>
      <w:r>
        <w:rPr>
          <w:rFonts w:hint="eastAsia"/>
          <w:sz w:val="27"/>
          <w:szCs w:val="27"/>
        </w:rPr>
        <w:t>：</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仿宋_GBK"/>
          <w:sz w:val="32"/>
          <w:szCs w:val="32"/>
        </w:rPr>
        <w:t>反映用于对个人和家庭的补助支出。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pPr>
      <w:r>
        <w:rPr>
          <w:rFonts w:hint="eastAsia" w:eastAsia="方正楷体_GBK"/>
          <w:color w:val="333333"/>
          <w:sz w:val="32"/>
          <w:szCs w:val="32"/>
        </w:rPr>
        <w:t>（十七）其他资本性支出（支出经济分类科目类级）</w:t>
      </w:r>
      <w:r>
        <w:rPr>
          <w:rFonts w:hint="eastAsia"/>
          <w:sz w:val="27"/>
          <w:szCs w:val="27"/>
        </w:rPr>
        <w:t>：</w:t>
      </w:r>
      <w:r>
        <w:rPr>
          <w:rFonts w:hint="eastAsia" w:eastAsia="方正仿宋_GBK"/>
          <w:sz w:val="32"/>
          <w:szCs w:val="32"/>
        </w:rPr>
        <w:t>反映非各级发展与改革部门集中安排的用于购置固定资产、战略性和应急性储备、土地和无形资产，以及构建基础设施、大型修缮和财政支持企业更新改造所发生的支出。</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jc w:val="both"/>
        <w:textAlignment w:val="auto"/>
        <w:rPr>
          <w:rFonts w:eastAsia="方正黑体_GBK"/>
          <w:sz w:val="32"/>
          <w:szCs w:val="32"/>
        </w:rPr>
      </w:pPr>
      <w:r>
        <w:rPr>
          <w:rFonts w:hint="eastAsia" w:eastAsia="方正黑体_GBK"/>
          <w:sz w:val="32"/>
          <w:szCs w:val="32"/>
        </w:rPr>
        <w:t>七、决算公开联系方式及信息反馈渠道</w:t>
      </w:r>
    </w:p>
    <w:p>
      <w:pPr>
        <w:pStyle w:val="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600" w:lineRule="atLeast"/>
        <w:ind w:firstLine="640" w:firstLineChars="200"/>
        <w:textAlignment w:val="auto"/>
        <w:rPr>
          <w:rFonts w:eastAsia="方正仿宋_GBK"/>
          <w:sz w:val="32"/>
          <w:szCs w:val="32"/>
        </w:rPr>
      </w:pPr>
      <w:r>
        <w:rPr>
          <w:rFonts w:hint="eastAsia" w:eastAsia="方正仿宋_GBK"/>
          <w:sz w:val="32"/>
          <w:szCs w:val="32"/>
        </w:rPr>
        <w:t>本单位决算公开信息反馈和联系方式：15178776608</w:t>
      </w:r>
    </w:p>
    <w:p>
      <w:pPr>
        <w:pStyle w:val="4"/>
        <w:keepNext w:val="0"/>
        <w:keepLines w:val="0"/>
        <w:pageBreakBefore w:val="0"/>
        <w:widowControl/>
        <w:shd w:val="clear" w:color="auto" w:fill="FFFFFF"/>
        <w:kinsoku/>
        <w:wordWrap/>
        <w:overflowPunct/>
        <w:topLinePunct w:val="0"/>
        <w:autoSpaceDE/>
        <w:autoSpaceDN/>
        <w:bidi w:val="0"/>
        <w:adjustRightInd/>
        <w:snapToGrid/>
        <w:spacing w:beforeAutospacing="0" w:afterAutospacing="0" w:line="600" w:lineRule="atLeast"/>
        <w:textAlignment w:val="auto"/>
      </w:pPr>
    </w:p>
    <w:sectPr>
      <w:pgSz w:w="11907" w:h="16840"/>
      <w:pgMar w:top="1276"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0FF59E62-6DD3-4322-8786-848C01301D9A}"/>
  </w:font>
  <w:font w:name="Arial">
    <w:panose1 w:val="020B0604020202020204"/>
    <w:charset w:val="01"/>
    <w:family w:val="swiss"/>
    <w:pitch w:val="default"/>
    <w:sig w:usb0="E0002AFF" w:usb1="C0007843" w:usb2="00000009" w:usb3="00000000" w:csb0="400001FF" w:csb1="FFFF0000"/>
    <w:embedRegular r:id="rId2" w:fontKey="{9DDC921F-68E0-4F18-9E69-AF6DDABE4A5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E911CD3-E771-4DE6-AB8D-2CA5DFA2AD78}"/>
  </w:font>
  <w:font w:name="Symbol">
    <w:panose1 w:val="05050102010706020507"/>
    <w:charset w:val="02"/>
    <w:family w:val="roman"/>
    <w:pitch w:val="default"/>
    <w:sig w:usb0="00000000" w:usb1="00000000" w:usb2="00000000" w:usb3="00000000" w:csb0="80000000" w:csb1="00000000"/>
    <w:embedRegular r:id="rId4" w:fontKey="{7988B4A1-EB95-4593-9C19-2B003337D4FF}"/>
  </w:font>
  <w:font w:name="Calibri">
    <w:panose1 w:val="020F0502020204030204"/>
    <w:charset w:val="00"/>
    <w:family w:val="swiss"/>
    <w:pitch w:val="default"/>
    <w:sig w:usb0="E00002FF" w:usb1="4000ACFF" w:usb2="00000001" w:usb3="00000000" w:csb0="2000019F" w:csb1="00000000"/>
    <w:embedRegular r:id="rId5" w:fontKey="{2EECF5AD-39D4-45BA-9701-C2CAC4F6CF24}"/>
  </w:font>
  <w:font w:name="方正小标宋_GBK">
    <w:panose1 w:val="03000509000000000000"/>
    <w:charset w:val="86"/>
    <w:family w:val="script"/>
    <w:pitch w:val="default"/>
    <w:sig w:usb0="00000001" w:usb1="080E0000" w:usb2="00000000" w:usb3="00000000" w:csb0="00040000" w:csb1="00000000"/>
    <w:embedRegular r:id="rId6" w:fontKey="{B4CA7C03-020F-419B-AAA2-B73AF8B63FE2}"/>
  </w:font>
  <w:font w:name="方正黑体_GBK">
    <w:panose1 w:val="03000509000000000000"/>
    <w:charset w:val="86"/>
    <w:family w:val="script"/>
    <w:pitch w:val="default"/>
    <w:sig w:usb0="00000001" w:usb1="080E0000" w:usb2="00000000" w:usb3="00000000" w:csb0="00040000" w:csb1="00000000"/>
    <w:embedRegular r:id="rId7" w:fontKey="{1FD7E021-892C-419B-A2E8-8C295A0B4651}"/>
  </w:font>
  <w:font w:name="方正楷体_GBK">
    <w:panose1 w:val="03000509000000000000"/>
    <w:charset w:val="86"/>
    <w:family w:val="script"/>
    <w:pitch w:val="default"/>
    <w:sig w:usb0="00000001" w:usb1="080E0000" w:usb2="00000000" w:usb3="00000000" w:csb0="00040000" w:csb1="00000000"/>
    <w:embedRegular r:id="rId8" w:fontKey="{B055E70C-3F4E-4B10-9646-6043DF890E96}"/>
  </w:font>
  <w:font w:name="方正仿宋_GBK">
    <w:panose1 w:val="03000509000000000000"/>
    <w:charset w:val="86"/>
    <w:family w:val="script"/>
    <w:pitch w:val="default"/>
    <w:sig w:usb0="00000001" w:usb1="080E0000" w:usb2="00000000" w:usb3="00000000" w:csb0="00040000" w:csb1="00000000"/>
    <w:embedRegular r:id="rId9" w:fontKey="{66F903BC-66C7-44F8-8F31-815911FD678A}"/>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CC436C9"/>
    <w:multiLevelType w:val="multilevel"/>
    <w:tmpl w:val="7CC436C9"/>
    <w:lvl w:ilvl="0" w:tentative="0">
      <w:start w:val="1"/>
      <w:numFmt w:val="japaneseCounting"/>
      <w:lvlText w:val="%1、"/>
      <w:lvlJc w:val="left"/>
      <w:pPr>
        <w:ind w:left="1360" w:hanging="72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noPunctuationKerning w:val="1"/>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EzYWYxYTY4NzQ3ZjAxZTg4Njg0OTUxNTYxM2Y5ZGQifQ=="/>
  </w:docVars>
  <w:rsids>
    <w:rsidRoot w:val="00EE72E1"/>
    <w:rsid w:val="000820B8"/>
    <w:rsid w:val="00155707"/>
    <w:rsid w:val="00341A15"/>
    <w:rsid w:val="003F31F2"/>
    <w:rsid w:val="00753313"/>
    <w:rsid w:val="008010F0"/>
    <w:rsid w:val="00907537"/>
    <w:rsid w:val="00AC6514"/>
    <w:rsid w:val="00B71C2C"/>
    <w:rsid w:val="00C10E4F"/>
    <w:rsid w:val="00C96DC3"/>
    <w:rsid w:val="00E37D83"/>
    <w:rsid w:val="00EE72E1"/>
    <w:rsid w:val="00F24AE2"/>
    <w:rsid w:val="00FB13A2"/>
    <w:rsid w:val="02EF742E"/>
    <w:rsid w:val="3B6E2304"/>
    <w:rsid w:val="491545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pPr>
    <w:rPr>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uiPriority w:val="99"/>
    <w:pPr>
      <w:spacing w:before="100" w:beforeAutospacing="1" w:after="100" w:afterAutospacing="1"/>
    </w:pPr>
  </w:style>
  <w:style w:type="character" w:styleId="7">
    <w:name w:val="Strong"/>
    <w:basedOn w:val="6"/>
    <w:qFormat/>
    <w:uiPriority w:val="22"/>
    <w:rPr>
      <w:b/>
      <w:bCs/>
    </w:rPr>
  </w:style>
  <w:style w:type="character" w:customStyle="1" w:styleId="8">
    <w:name w:val="页眉 Char"/>
    <w:basedOn w:val="6"/>
    <w:link w:val="3"/>
    <w:locked/>
    <w:uiPriority w:val="99"/>
    <w:rPr>
      <w:rFonts w:hint="eastAsia" w:ascii="宋体" w:hAnsi="宋体" w:eastAsia="宋体" w:cs="宋体"/>
      <w:sz w:val="18"/>
      <w:szCs w:val="18"/>
    </w:rPr>
  </w:style>
  <w:style w:type="character" w:customStyle="1" w:styleId="9">
    <w:name w:val="页脚 Char"/>
    <w:basedOn w:val="6"/>
    <w:link w:val="2"/>
    <w:qFormat/>
    <w:locked/>
    <w:uiPriority w:val="99"/>
    <w:rPr>
      <w:rFonts w:hint="eastAsia" w:ascii="宋体" w:hAnsi="宋体" w:eastAsia="宋体" w:cs="宋体"/>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黑体"/>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5302</Words>
  <Characters>5939</Characters>
  <Lines>44</Lines>
  <Paragraphs>12</Paragraphs>
  <TotalTime>15</TotalTime>
  <ScaleCrop>false</ScaleCrop>
  <LinksUpToDate>false</LinksUpToDate>
  <CharactersWithSpaces>6018</CharactersWithSpaces>
  <Application>WPS Office_11.1.0.12012_F1E327BC-269C-435d-A152-05C5408002CA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2022-08-31T10:10:00Z</dcterms:created>
  <dc:creator>admin</dc:creator>
  <cp:lastModifiedBy>陈列</cp:lastModifiedBy>
  <dcterms:modified xsi:type="dcterms:W3CDTF">2022-09-01T15:23:58Z</dcterms:modified>
  <dc:title>公开报告模板</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248773679_embed</vt:lpwstr>
  </property>
  <property fmtid="{D5CDD505-2E9C-101B-9397-08002B2CF9AE}" pid="3" name="KSOProductBuildVer">
    <vt:lpwstr>2052-11.1.0.12012</vt:lpwstr>
  </property>
  <property fmtid="{D5CDD505-2E9C-101B-9397-08002B2CF9AE}" pid="4" name="ICV">
    <vt:lpwstr>BAE2DB12088948C5BA586B573BDD64F7</vt:lpwstr>
  </property>
</Properties>
</file>