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line="600" w:lineRule="exact"/>
        <w:ind w:firstLine="880" w:firstLineChars="200"/>
        <w:jc w:val="center"/>
        <w:rPr>
          <w:rFonts w:hint="default"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重庆市綦江区沙溪小学</w:t>
      </w:r>
    </w:p>
    <w:p>
      <w:pPr>
        <w:pStyle w:val="2"/>
        <w:shd w:val="clear" w:color="auto" w:fill="FFFFFF"/>
        <w:spacing w:line="600" w:lineRule="exact"/>
        <w:ind w:firstLine="880" w:firstLineChars="200"/>
        <w:jc w:val="center"/>
        <w:rPr>
          <w:rFonts w:hint="default"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2020年度部门决算情况说明</w:t>
      </w:r>
    </w:p>
    <w:p>
      <w:pPr>
        <w:pStyle w:val="2"/>
        <w:shd w:val="clear" w:color="auto" w:fill="FFFFFF"/>
        <w:spacing w:line="600" w:lineRule="exact"/>
        <w:ind w:firstLine="640" w:firstLineChars="200"/>
        <w:rPr>
          <w:rFonts w:hint="default" w:ascii="方正黑体_GBK" w:hAnsi="方正黑体_GBK" w:eastAsia="方正黑体_GBK" w:cs="方正黑体_GBK"/>
          <w:sz w:val="32"/>
          <w:szCs w:val="32"/>
        </w:rPr>
      </w:pPr>
      <w:r>
        <w:rPr>
          <w:rFonts w:ascii="方正黑体_GBK" w:hAnsi="方正黑体_GBK" w:eastAsia="方正黑体_GBK" w:cs="方正黑体_GBK"/>
          <w:sz w:val="32"/>
          <w:szCs w:val="32"/>
        </w:rPr>
        <w:t> </w:t>
      </w:r>
    </w:p>
    <w:p>
      <w:pPr>
        <w:pStyle w:val="2"/>
        <w:shd w:val="clear" w:color="auto" w:fill="FFFFFF"/>
        <w:spacing w:before="0" w:beforeAutospacing="0" w:after="0" w:afterAutospacing="0" w:line="600" w:lineRule="exact"/>
        <w:ind w:firstLine="640" w:firstLineChars="200"/>
        <w:rPr>
          <w:rFonts w:hint="default" w:ascii="方正黑体_GBK" w:hAnsi="方正黑体_GBK" w:eastAsia="方正黑体_GBK" w:cs="方正黑体_GBK"/>
          <w:sz w:val="32"/>
          <w:szCs w:val="32"/>
        </w:rPr>
      </w:pPr>
      <w:r>
        <w:rPr>
          <w:rStyle w:val="6"/>
          <w:rFonts w:ascii="方正黑体_GBK" w:hAnsi="方正黑体_GBK" w:eastAsia="方正黑体_GBK" w:cs="方正黑体_GBK"/>
          <w:b w:val="0"/>
          <w:bCs w:val="0"/>
          <w:sz w:val="32"/>
          <w:szCs w:val="32"/>
        </w:rPr>
        <w:t>一、部门基本情况</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  （一）职能职责</w:t>
      </w:r>
    </w:p>
    <w:p>
      <w:pPr>
        <w:widowControl w:val="0"/>
        <w:spacing w:line="600" w:lineRule="exact"/>
        <w:ind w:firstLine="542" w:firstLineChars="200"/>
        <w:rPr>
          <w:rFonts w:ascii="方正仿宋_GBK" w:hAnsi="方正仿宋_GBK" w:eastAsia="方正仿宋_GBK" w:cs="方正仿宋_GBK"/>
          <w:sz w:val="32"/>
          <w:szCs w:val="32"/>
        </w:rPr>
      </w:pPr>
      <w:r>
        <w:rPr>
          <w:rStyle w:val="6"/>
          <w:rFonts w:hint="eastAsia"/>
          <w:sz w:val="27"/>
          <w:szCs w:val="27"/>
        </w:rPr>
        <w:t> </w:t>
      </w:r>
      <w:r>
        <w:rPr>
          <w:rFonts w:hint="eastAsia" w:ascii="方正仿宋_GBK" w:hAnsi="方正仿宋_GBK" w:eastAsia="方正仿宋_GBK" w:cs="方正仿宋_GBK"/>
          <w:sz w:val="32"/>
          <w:szCs w:val="32"/>
        </w:rPr>
        <w:t>本单位属义务教育阶段九年一贯制学校，主要职能职责是：实施小学/初中义务教育，促进基础教育发展。小学/初中学历教育。</w:t>
      </w:r>
    </w:p>
    <w:p>
      <w:pPr>
        <w:pStyle w:val="2"/>
        <w:shd w:val="clear" w:color="auto" w:fill="FFFFFF"/>
        <w:spacing w:before="0" w:beforeAutospacing="0" w:after="0" w:afterAutospacing="0" w:line="600" w:lineRule="exact"/>
        <w:ind w:firstLine="540" w:firstLineChars="200"/>
        <w:rPr>
          <w:rFonts w:hint="default" w:ascii="方正楷体_GBK" w:hAnsi="方正楷体_GBK" w:eastAsia="方正楷体_GBK" w:cs="方正楷体_GBK"/>
          <w:sz w:val="32"/>
          <w:szCs w:val="32"/>
        </w:rPr>
      </w:pPr>
      <w:r>
        <w:rPr>
          <w:sz w:val="27"/>
          <w:szCs w:val="27"/>
        </w:rPr>
        <w:t xml:space="preserve">  </w:t>
      </w:r>
      <w:r>
        <w:rPr>
          <w:rFonts w:ascii="方正楷体_GBK" w:hAnsi="方正楷体_GBK" w:eastAsia="方正楷体_GBK" w:cs="方正楷体_GBK"/>
          <w:sz w:val="32"/>
          <w:szCs w:val="32"/>
        </w:rPr>
        <w:t>（二）机构设置</w:t>
      </w:r>
    </w:p>
    <w:p>
      <w:pPr>
        <w:widowControl w:val="0"/>
        <w:spacing w:line="600" w:lineRule="exact"/>
        <w:ind w:firstLine="540" w:firstLineChars="200"/>
        <w:rPr>
          <w:rFonts w:ascii="方正仿宋_GBK" w:hAnsi="方正仿宋_GBK" w:eastAsia="方正仿宋_GBK" w:cs="方正仿宋_GBK"/>
          <w:sz w:val="32"/>
          <w:szCs w:val="32"/>
        </w:rPr>
      </w:pPr>
      <w:r>
        <w:rPr>
          <w:rFonts w:hint="eastAsia" w:asciiTheme="minorEastAsia" w:hAnsiTheme="minorEastAsia" w:eastAsiaTheme="minorEastAsia" w:cstheme="minorEastAsia"/>
          <w:color w:val="FF0000"/>
          <w:sz w:val="27"/>
          <w:szCs w:val="27"/>
        </w:rPr>
        <w:t> </w:t>
      </w:r>
      <w:r>
        <w:rPr>
          <w:rFonts w:hint="eastAsia" w:ascii="方正仿宋_GBK" w:hAnsi="方正仿宋_GBK" w:eastAsia="方正仿宋_GBK" w:cs="方正仿宋_GBK"/>
          <w:sz w:val="32"/>
          <w:szCs w:val="32"/>
        </w:rPr>
        <w:t>根据《重庆市机构编制委员会办公室关于调整核定教育系统各中小学及直属事业单位人员编制的复函》（綦委编办〔2020〕163号）文件，重庆市綦江区沙溪小学共设编制115人，其中小学编制113人，幼教编制2人。</w:t>
      </w:r>
    </w:p>
    <w:p>
      <w:pPr>
        <w:widowControl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按照《重庆市綦江区机构编制委员会办公室关于调整教育系统各学校校级领导职数和内设机构设置的通知》（綦编办〔2013〕187号）文件，本单位属事业单位，内设机构3个，分别为教学处、总务处、安保处。</w:t>
      </w:r>
    </w:p>
    <w:p>
      <w:pPr>
        <w:pStyle w:val="2"/>
        <w:shd w:val="clear" w:color="auto" w:fill="FFFFFF"/>
        <w:spacing w:before="0" w:beforeAutospacing="0" w:after="0" w:afterAutospacing="0" w:line="600" w:lineRule="exact"/>
        <w:ind w:firstLine="540" w:firstLineChars="200"/>
        <w:rPr>
          <w:rFonts w:hint="default"/>
        </w:rPr>
      </w:pPr>
      <w:r>
        <w:rPr>
          <w:sz w:val="27"/>
          <w:szCs w:val="27"/>
        </w:rPr>
        <w:t xml:space="preserve">  </w:t>
      </w:r>
      <w:r>
        <w:rPr>
          <w:rFonts w:ascii="方正楷体_GBK" w:hAnsi="方正楷体_GBK" w:eastAsia="方正楷体_GBK" w:cs="方正楷体_GBK"/>
          <w:sz w:val="32"/>
          <w:szCs w:val="32"/>
        </w:rPr>
        <w:t>（三）单位构成</w:t>
      </w:r>
    </w:p>
    <w:p>
      <w:pPr>
        <w:widowControl w:val="0"/>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本单位为县级二级预算单位。本单位无下级预算单位。</w:t>
      </w:r>
    </w:p>
    <w:p>
      <w:pPr>
        <w:pStyle w:val="2"/>
        <w:shd w:val="clear" w:color="auto" w:fill="FFFFFF"/>
        <w:spacing w:before="0" w:beforeAutospacing="0" w:after="0" w:afterAutospacing="0" w:line="600" w:lineRule="exact"/>
        <w:ind w:firstLine="640" w:firstLineChars="200"/>
        <w:rPr>
          <w:rFonts w:hint="default"/>
        </w:rPr>
      </w:pPr>
      <w:r>
        <w:rPr>
          <w:rStyle w:val="6"/>
          <w:rFonts w:ascii="方正黑体_GBK" w:hAnsi="方正黑体_GBK" w:eastAsia="方正黑体_GBK" w:cs="方正黑体_GBK"/>
          <w:b w:val="0"/>
          <w:bCs w:val="0"/>
          <w:sz w:val="32"/>
          <w:szCs w:val="32"/>
        </w:rPr>
        <w:t>二、部门决算情况说明</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（一）收入支出决算总体情况说明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1.总体情况。2020年度收入总计2,151.33万元，支出总计2,151.33万元。收支较上年决算数 增加248.38万元、 增长 13.1%，主要原因是教育支出增加237.78万元，社会保障和就业支出减少6.43万元，卫生与健康支出增加7.14万元，住房保障支出增加4.89万元，其他支出增加5万元。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收入情况。2020年度收入合计1,867.41万元，较上年决算数增加136.14万元，增长7.9%，主要原因是教育支出增加125.55万元，社会保障和就业支出减少6.43万元，卫生与健康支出增加7.14万元，住房保障支出增加4.89万元，其他支出增加5万元。其中：财政拨款收入1,862.67万元，占99.7%；事业收入4.74万元，占0.3%。此外年初结转和结余283.92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3.支出情况。2020年度支出合计2,025.84万元，较上年决算数增加290.40万元，增长16.7%，主要原因是教育支出增加266.48万元，社会保障和就业支出增加0.59万元，卫生与健康支出增加9.92万元，住房保障支出增加8.40万元，其他支出增加5万元。其中：基本支出 1,886.03万元，占93.1%；项目支出139.81万元，占6.9%。此外，结</w:t>
      </w:r>
      <w:r>
        <w:rPr>
          <w:rFonts w:ascii="方正仿宋_GBK" w:eastAsia="方正仿宋_GBK"/>
          <w:sz w:val="32"/>
          <w:szCs w:val="32"/>
        </w:rPr>
        <w:t>余分配</w:t>
      </w:r>
      <w:r>
        <w:rPr>
          <w:rFonts w:ascii="方正仿宋_GBK" w:hAnsi="方正仿宋_GBK" w:eastAsia="方正仿宋_GBK" w:cs="方正仿宋_GBK"/>
          <w:sz w:val="32"/>
          <w:szCs w:val="32"/>
        </w:rPr>
        <w:t>0.00万元。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4.结转结余情况。2020年度年末结转和结余125.50万元，较上年决算数减少42.00万元，下降25.1%，主要原因教育支出结转和结余减少28.7万元，社会保障和就业支出减少7.02万元，卫生与健康支出减少2.78万元，住房保障支出减少3.51万元。</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（二）财政拨款收入支出决算总体情况说明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2020年度财政拨款收、支总计2,146.60万元。与2019年相比，财政拨款收、支总计各增加296.97万 元，增长16.1%。主要原因是教育支出增加286.37万元，社会保障和就业支出减少6.43万元，卫生与健康支出增加7.14万元，住房保障支出增加4.89万元，其他支出增加5万元。</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（三）一般公共预算财政拨款支出决算情况说明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1.收入情况。2020年度一般公共预算财政拨款收入1,857.67万元，较上年决算数增加179.72万元，增长10.7%。主要原因是教育支出增加174.14万元，社会保障和就业支出减少6.43万元，卫生与健康支出增加7.14万元，住房保障支出增加4.87万元。较年初预算数增加130.74万元，增长7.6%。主要原因是教育支出增加115.06万元，社会保障和就业支出增加6.63万元，卫生与健康支出增加3.86万元，住房保障支出增加5.18万元。此外，年初财政拨款结转和结余283.92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支出情况。2020年度一般公共预算财政拨款支出2,016.10万元，较上年决算数增加333.98万元，增长19.9%。主要原因是教育支出增加315.07万元，社会保障和就业支出增加0.59万元，卫生与健康支出增加9.92万元，住房保障支出增加8.4万元。较年初预算数增加121.66万 元，增长6.4%。主要原因是教育支出增加119.27万元，社会保障和就业支出减少0.38万元，卫生与健康支出增加1.08万元，住房保障支出增加1.69万元。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3.结转结余情况。2020年度年末一般公共预算财政拨款结转和结余125.50万元，较上年决算数减少42.00万元，下降25.1%，主要原因是教育支出减少42万元。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4.比较情况。本部门2020年度一般公共预算财政拨款支出主要用于以下几个方面：</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（1）教育支出1,644.75万元，占81.6%，较年初预算数增加119.27万元，增长7.8%，主要原因是补发2018年综合目标考核奖励。</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 xml:space="preserve">（2）社会保障与就业支出185.88万元，占9.2%，较年初预算数减少0.38万元，下降0.2%，主要原因是调资增加的养老保险和职业年金不能补缴。 </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（3）卫生健康支出90.65万元，占4.5%，较年初预算数增加1.08万 元，增长1.2%，主要原因是调资增加的医疗保险不能补缴。</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（四）一般公共预算财政拨款基本支出决算情况说明</w:t>
      </w:r>
    </w:p>
    <w:p>
      <w:pPr>
        <w:pStyle w:val="2"/>
        <w:shd w:val="clear" w:color="auto" w:fill="FFFFFF"/>
        <w:spacing w:before="0" w:beforeAutospacing="0" w:after="0" w:afterAutospacing="0" w:line="600" w:lineRule="exact"/>
        <w:ind w:firstLine="540" w:firstLineChars="200"/>
        <w:rPr>
          <w:rFonts w:hint="default" w:ascii="方正仿宋_GBK" w:hAnsi="方正仿宋_GBK" w:eastAsia="方正仿宋_GBK" w:cs="方正仿宋_GBK"/>
          <w:sz w:val="32"/>
          <w:szCs w:val="32"/>
        </w:rPr>
      </w:pPr>
      <w:r>
        <w:rPr>
          <w:sz w:val="27"/>
          <w:szCs w:val="27"/>
        </w:rPr>
        <w:t> </w:t>
      </w:r>
      <w:r>
        <w:rPr>
          <w:rFonts w:ascii="方正仿宋_GBK" w:hAnsi="方正仿宋_GBK" w:eastAsia="方正仿宋_GBK" w:cs="方正仿宋_GBK"/>
          <w:sz w:val="32"/>
          <w:szCs w:val="32"/>
        </w:rPr>
        <w:t xml:space="preserve"> 2020年度一般公共财政拨款基本支出1,886.03万元。其中：人员经费1,732.25万元，较上年决算数增加253.42万 元，增长17.1%，主要原因是补发2018年综合目标考核奖励，另2020年新进14名教师。人员经费用途主要包括工资、绩效、社保、公积金等。公用经费153.77万元，较上年决算数减少5.93万元，下降3.7%，主要原因是随着办学规模的扩大，师生增加，公用支出增加。公用经费用途主要包括办公费、差旅费、培训费、工会经费、福利费等。</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（五）政府性基金预算收支决算情况说明</w:t>
      </w:r>
    </w:p>
    <w:p>
      <w:pPr>
        <w:pStyle w:val="2"/>
        <w:shd w:val="clear" w:color="auto" w:fill="FFFFFF"/>
        <w:spacing w:before="0" w:beforeAutospacing="0" w:after="0" w:afterAutospacing="0" w:line="600" w:lineRule="exact"/>
        <w:ind w:firstLine="540" w:firstLineChars="200"/>
        <w:rPr>
          <w:rFonts w:hint="default" w:ascii="方正仿宋_GBK" w:hAnsi="方正仿宋_GBK" w:eastAsia="方正仿宋_GBK" w:cs="方正仿宋_GBK"/>
          <w:sz w:val="32"/>
          <w:szCs w:val="32"/>
        </w:rPr>
      </w:pPr>
      <w:r>
        <w:rPr>
          <w:sz w:val="27"/>
          <w:szCs w:val="27"/>
        </w:rPr>
        <w:t> </w:t>
      </w:r>
      <w:r>
        <w:rPr>
          <w:rFonts w:ascii="方正仿宋_GBK" w:hAnsi="方正仿宋_GBK" w:eastAsia="方正仿宋_GBK" w:cs="方正仿宋_GBK"/>
          <w:sz w:val="32"/>
          <w:szCs w:val="32"/>
        </w:rPr>
        <w:t xml:space="preserve"> 2020年度政府性基金预算财政拨款年初结转结余0.00万元，年末结转结余0.00万元。本年收入5.00万元，较上年决算数增加5.00万元，增长%，主要原因是青少年体育三级训练基地建设及青少年足球经费增加5.00万元。本年支出5.00万元，较上年决算数增加5.00万元，增长%，主要原因是青少年体育三级训练基地建设及青少年足球经费增加5.00万元。</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（六）国有资本经营预算财政拨款支</w:t>
      </w:r>
      <w:r>
        <w:rPr>
          <w:rFonts w:hint="eastAsia" w:ascii="方正楷体_GBK" w:hAnsi="方正楷体_GBK" w:eastAsia="方正楷体_GBK" w:cs="方正楷体_GBK"/>
          <w:sz w:val="32"/>
          <w:szCs w:val="32"/>
          <w:lang w:eastAsia="zh-CN"/>
        </w:rPr>
        <w:t>出</w:t>
      </w:r>
      <w:r>
        <w:rPr>
          <w:rFonts w:ascii="方正楷体_GBK" w:hAnsi="方正楷体_GBK" w:eastAsia="方正楷体_GBK" w:cs="方正楷体_GBK"/>
          <w:sz w:val="32"/>
          <w:szCs w:val="32"/>
        </w:rPr>
        <w:t>决算情况说明。</w:t>
      </w:r>
      <w:r>
        <w:rPr>
          <w:rFonts w:ascii="方正楷体_GBK" w:hAnsi="方正楷体_GBK" w:eastAsia="方正楷体_GBK" w:cs="方正楷体_GBK"/>
          <w:sz w:val="32"/>
          <w:szCs w:val="32"/>
        </w:rPr>
        <w:br w:type="textWrapping"/>
      </w:r>
      <w:r>
        <w:rPr>
          <w:rFonts w:ascii="方正仿宋_GBK" w:hAnsi="方正仿宋_GBK" w:eastAsia="方正仿宋_GBK" w:cs="方正仿宋_GBK"/>
          <w:sz w:val="32"/>
          <w:szCs w:val="32"/>
        </w:rPr>
        <w:t> 本部门2020年度无国有资本经营预算财政拨款支出。</w:t>
      </w:r>
    </w:p>
    <w:p>
      <w:pPr>
        <w:pStyle w:val="2"/>
        <w:shd w:val="clear" w:color="auto" w:fill="FFFFFF"/>
        <w:spacing w:before="0" w:beforeAutospacing="0" w:after="0" w:afterAutospacing="0" w:line="600" w:lineRule="exact"/>
        <w:ind w:firstLine="640" w:firstLineChars="200"/>
        <w:rPr>
          <w:rStyle w:val="6"/>
          <w:rFonts w:hint="default" w:ascii="方正黑体_GBK" w:hAnsi="方正黑体_GBK" w:eastAsia="方正黑体_GBK" w:cs="方正黑体_GBK"/>
          <w:b w:val="0"/>
          <w:bCs w:val="0"/>
          <w:sz w:val="32"/>
          <w:szCs w:val="32"/>
        </w:rPr>
      </w:pPr>
      <w:r>
        <w:rPr>
          <w:rStyle w:val="6"/>
          <w:rFonts w:ascii="方正黑体_GBK" w:hAnsi="方正黑体_GBK" w:eastAsia="方正黑体_GBK" w:cs="方正黑体_GBK"/>
          <w:b w:val="0"/>
          <w:bCs w:val="0"/>
          <w:sz w:val="32"/>
          <w:szCs w:val="32"/>
        </w:rPr>
        <w:t>三、“三公”经费情况说明</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（一）“三公”经费支出总体情况说明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2020年度“三公”经费支出共计0.00万元，较年初预算数减少0.50万元，下降100%， 较上年支出数增加0.00万 元，增长0.00%，主要原因是未发生因公出国（境）、公务用车、公务接待等支出。</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（二）“三公”经费分项支出情况</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2020年度本部门因公出国（境）费用0.00万元。费用支出较年初预算数增加0.00万元，增长0.00%，主要原因是未发生因公出国（境）支出。较上年支出数增加0.00万元，增长0.00%，主要原因是未发生因公出国（境）支出。</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公务车购置费0.00万元。费用支出较年初预算数增加0.00万元，增长%，主要原因是未购置公务用车。较上年支出数增加0.00万元，增长0.00%，主要原因是未购置公务用车。</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公务车运行维护费0.00万元，费用支出较年初预算数增加0.00万元，增长%，主要原因是未购置公务用车。较上年支出数增加0.00万元，增长0.00%，主要原因是未购置公务用车。</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公务接待费0.00万元。费用支出较年初预算数减少0.50万元，下降100%，主要原因是未发生公务接待。较上年支出数增加0.00万元，增长0.00%，主要原因是未发生公务接待。</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（三）“三公”经费实物量情况</w:t>
      </w:r>
    </w:p>
    <w:p>
      <w:pPr>
        <w:pStyle w:val="2"/>
        <w:shd w:val="clear" w:color="auto" w:fill="FFFFFF"/>
        <w:spacing w:before="0" w:beforeAutospacing="0" w:after="0" w:afterAutospacing="0" w:line="600" w:lineRule="exact"/>
        <w:ind w:firstLine="640" w:firstLineChars="200"/>
        <w:rPr>
          <w:rFonts w:hint="default"/>
        </w:rPr>
      </w:pPr>
      <w:r>
        <w:rPr>
          <w:rFonts w:ascii="方正仿宋_GBK" w:hAnsi="方正仿宋_GBK" w:eastAsia="方正仿宋_GBK" w:cs="方正仿宋_GBK"/>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2"/>
        <w:shd w:val="clear" w:color="auto" w:fill="FFFFFF"/>
        <w:spacing w:before="0" w:beforeAutospacing="0" w:after="0" w:afterAutospacing="0" w:line="600" w:lineRule="exact"/>
        <w:ind w:firstLine="640" w:firstLineChars="200"/>
        <w:rPr>
          <w:rFonts w:hint="default"/>
        </w:rPr>
      </w:pPr>
      <w:r>
        <w:rPr>
          <w:rStyle w:val="6"/>
          <w:rFonts w:ascii="方正黑体_GBK" w:hAnsi="方正黑体_GBK" w:eastAsia="方正黑体_GBK" w:cs="方正黑体_GBK"/>
          <w:b w:val="0"/>
          <w:bCs w:val="0"/>
          <w:sz w:val="32"/>
          <w:szCs w:val="32"/>
        </w:rPr>
        <w:t>四、其他需要说明的事项</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（一）机关运行经费情况说明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2020年度本部门机关运行经费支出0.00万元。 机关运行经费较上年决算数增加0.00万元，增长0.00%，主要原因是按照部门决算列报口径，我单位不在机关运行经费统计范围之内。</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本年度会议费支出2.47万元，较上年决算数减少0.55万元，下降18.2%，主要原因是厉行节约，教职会议用餐减少。本年度培训费支出 11.04万元，较上年决算数增加1.11万元，增长11.2%，主要原因是教师增加，同时培训教师力度加大，投入费用相应增加。</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（二）国有资产占用情况说明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（三）政府采购支出情况说明</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2020年度本部门政府采购支出总额0.00万元，其中：政府采购货物支出0.00万元、政府采购工程支出0.00万元、政府采购服务支出0.00万元。授予中小企业合同金额0.00万元，占政府采购支出总额的0.00%，其中：授予小微企业合同金额 0.00万元，占政府采购支出总额的0.00%。</w:t>
      </w:r>
    </w:p>
    <w:p>
      <w:pPr>
        <w:pStyle w:val="2"/>
        <w:shd w:val="clear" w:color="auto" w:fill="FFFFFF"/>
        <w:spacing w:before="0" w:beforeAutospacing="0" w:after="0" w:afterAutospacing="0" w:line="600" w:lineRule="exact"/>
        <w:ind w:firstLine="640" w:firstLineChars="200"/>
        <w:rPr>
          <w:rStyle w:val="6"/>
          <w:rFonts w:hint="default" w:ascii="方正黑体_GBK" w:hAnsi="方正黑体_GBK" w:eastAsia="方正黑体_GBK" w:cs="方正黑体_GBK"/>
          <w:b w:val="0"/>
          <w:bCs w:val="0"/>
          <w:sz w:val="32"/>
          <w:szCs w:val="32"/>
        </w:rPr>
      </w:pPr>
      <w:r>
        <w:rPr>
          <w:rStyle w:val="6"/>
          <w:rFonts w:ascii="方正黑体_GBK" w:hAnsi="方正黑体_GBK" w:eastAsia="方正黑体_GBK" w:cs="方正黑体_GBK"/>
          <w:b w:val="0"/>
          <w:bCs w:val="0"/>
          <w:sz w:val="32"/>
          <w:szCs w:val="32"/>
        </w:rPr>
        <w:t>五、预算绩效管理情况说明</w:t>
      </w:r>
    </w:p>
    <w:p>
      <w:pPr>
        <w:pStyle w:val="2"/>
        <w:shd w:val="clear" w:color="auto" w:fill="FFFFFF"/>
        <w:spacing w:before="0" w:beforeAutospacing="0" w:after="0" w:afterAutospacing="0" w:line="600" w:lineRule="exact"/>
        <w:ind w:firstLine="640" w:firstLineChars="200"/>
        <w:rPr>
          <w:rFonts w:hint="default" w:ascii="方正楷体_GBK" w:hAnsi="方正楷体_GBK" w:eastAsia="方正楷体_GBK" w:cs="方正楷体_GBK"/>
          <w:sz w:val="32"/>
          <w:szCs w:val="32"/>
        </w:rPr>
      </w:pPr>
      <w:r>
        <w:rPr>
          <w:rFonts w:ascii="方正楷体_GBK" w:hAnsi="方正楷体_GBK" w:eastAsia="方正楷体_GBK" w:cs="方正楷体_GBK"/>
          <w:sz w:val="32"/>
          <w:szCs w:val="32"/>
        </w:rPr>
        <w:t>（一）预算绩效管理工作开展情况</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根据预算绩效管理要求，本部门对14个项目开展了绩效自评，其中，以填报目标自评表形式开展自评14项，涉及资金173.65万元；从评价情况来看，本部门绩效完成情况为优秀。</w:t>
      </w:r>
    </w:p>
    <w:p>
      <w:pPr>
        <w:pStyle w:val="2"/>
        <w:shd w:val="clear" w:color="auto" w:fill="FFFFFF"/>
        <w:spacing w:before="0" w:beforeAutospacing="0" w:after="0" w:afterAutospacing="0" w:line="600" w:lineRule="exact"/>
        <w:ind w:firstLine="640" w:firstLineChars="200"/>
        <w:rPr>
          <w:rStyle w:val="6"/>
          <w:rFonts w:hint="default"/>
          <w:sz w:val="27"/>
          <w:szCs w:val="27"/>
        </w:rPr>
      </w:pPr>
      <w:r>
        <w:rPr>
          <w:rFonts w:ascii="方正楷体_GBK" w:hAnsi="方正楷体_GBK" w:eastAsia="方正楷体_GBK" w:cs="方正楷体_GBK"/>
          <w:sz w:val="32"/>
          <w:szCs w:val="32"/>
        </w:rPr>
        <w:t>（二）绩效自评结果</w:t>
      </w:r>
    </w:p>
    <w:tbl>
      <w:tblPr>
        <w:tblStyle w:val="4"/>
        <w:tblW w:w="9059" w:type="dxa"/>
        <w:tblInd w:w="93" w:type="dxa"/>
        <w:tblLayout w:type="fixed"/>
        <w:tblCellMar>
          <w:top w:w="0" w:type="dxa"/>
          <w:left w:w="108" w:type="dxa"/>
          <w:bottom w:w="0" w:type="dxa"/>
          <w:right w:w="108" w:type="dxa"/>
        </w:tblCellMar>
      </w:tblPr>
      <w:tblGrid>
        <w:gridCol w:w="944"/>
        <w:gridCol w:w="1830"/>
        <w:gridCol w:w="900"/>
        <w:gridCol w:w="1380"/>
        <w:gridCol w:w="855"/>
        <w:gridCol w:w="1335"/>
        <w:gridCol w:w="975"/>
        <w:gridCol w:w="840"/>
      </w:tblGrid>
      <w:tr>
        <w:tblPrEx>
          <w:tblCellMar>
            <w:top w:w="0" w:type="dxa"/>
            <w:left w:w="108" w:type="dxa"/>
            <w:bottom w:w="0" w:type="dxa"/>
            <w:right w:w="108" w:type="dxa"/>
          </w:tblCellMar>
        </w:tblPrEx>
        <w:trPr>
          <w:trHeight w:val="585" w:hRule="atLeast"/>
        </w:trPr>
        <w:tc>
          <w:tcPr>
            <w:tcW w:w="9059" w:type="dxa"/>
            <w:gridSpan w:val="8"/>
            <w:tcBorders>
              <w:top w:val="nil"/>
              <w:left w:val="nil"/>
              <w:bottom w:val="nil"/>
              <w:right w:val="nil"/>
            </w:tcBorders>
            <w:shd w:val="clear" w:color="auto" w:fill="auto"/>
            <w:vAlign w:val="center"/>
          </w:tcPr>
          <w:p>
            <w:pPr>
              <w:jc w:val="center"/>
              <w:textAlignment w:val="center"/>
              <w:rPr>
                <w:b/>
                <w:bCs/>
                <w:color w:val="000000"/>
                <w:sz w:val="32"/>
                <w:szCs w:val="32"/>
              </w:rPr>
            </w:pPr>
            <w:r>
              <w:rPr>
                <w:rFonts w:hint="eastAsia"/>
                <w:b/>
                <w:bCs/>
                <w:color w:val="000000"/>
                <w:sz w:val="32"/>
                <w:szCs w:val="32"/>
                <w:lang w:bidi="ar"/>
              </w:rPr>
              <w:t xml:space="preserve">2019年度区级预算单位项目支出绩效自评表  </w:t>
            </w:r>
          </w:p>
        </w:tc>
      </w:tr>
      <w:tr>
        <w:tblPrEx>
          <w:tblCellMar>
            <w:top w:w="0" w:type="dxa"/>
            <w:left w:w="108" w:type="dxa"/>
            <w:bottom w:w="0" w:type="dxa"/>
            <w:right w:w="108" w:type="dxa"/>
          </w:tblCellMar>
        </w:tblPrEx>
        <w:trPr>
          <w:trHeight w:val="585" w:hRule="atLeast"/>
        </w:trPr>
        <w:tc>
          <w:tcPr>
            <w:tcW w:w="5054" w:type="dxa"/>
            <w:gridSpan w:val="4"/>
            <w:tcBorders>
              <w:top w:val="nil"/>
              <w:left w:val="nil"/>
              <w:bottom w:val="single" w:color="000000" w:sz="4" w:space="0"/>
              <w:right w:val="nil"/>
            </w:tcBorders>
            <w:shd w:val="clear" w:color="auto" w:fill="auto"/>
            <w:vAlign w:val="center"/>
          </w:tcPr>
          <w:p>
            <w:pPr>
              <w:textAlignment w:val="center"/>
              <w:rPr>
                <w:b/>
                <w:bCs/>
                <w:color w:val="000000"/>
                <w:sz w:val="20"/>
                <w:szCs w:val="20"/>
              </w:rPr>
            </w:pPr>
            <w:r>
              <w:rPr>
                <w:rFonts w:hint="eastAsia"/>
                <w:b/>
                <w:bCs/>
                <w:color w:val="000000"/>
                <w:sz w:val="20"/>
                <w:szCs w:val="20"/>
                <w:lang w:bidi="ar"/>
              </w:rPr>
              <w:t>填表单位（盖章）：重庆市綦江区沙溪小学</w:t>
            </w:r>
          </w:p>
        </w:tc>
        <w:tc>
          <w:tcPr>
            <w:tcW w:w="855" w:type="dxa"/>
            <w:tcBorders>
              <w:top w:val="nil"/>
              <w:left w:val="nil"/>
              <w:bottom w:val="nil"/>
              <w:right w:val="nil"/>
            </w:tcBorders>
            <w:shd w:val="clear" w:color="auto" w:fill="auto"/>
            <w:vAlign w:val="center"/>
          </w:tcPr>
          <w:p>
            <w:pPr>
              <w:jc w:val="center"/>
              <w:rPr>
                <w:b/>
                <w:bCs/>
                <w:color w:val="000000"/>
                <w:sz w:val="32"/>
                <w:szCs w:val="32"/>
              </w:rPr>
            </w:pPr>
          </w:p>
        </w:tc>
        <w:tc>
          <w:tcPr>
            <w:tcW w:w="1335" w:type="dxa"/>
            <w:tcBorders>
              <w:top w:val="nil"/>
              <w:left w:val="nil"/>
              <w:bottom w:val="nil"/>
              <w:right w:val="nil"/>
            </w:tcBorders>
            <w:shd w:val="clear" w:color="auto" w:fill="auto"/>
            <w:vAlign w:val="center"/>
          </w:tcPr>
          <w:p>
            <w:pPr>
              <w:jc w:val="center"/>
              <w:rPr>
                <w:b/>
                <w:bCs/>
                <w:color w:val="000000"/>
                <w:sz w:val="32"/>
                <w:szCs w:val="32"/>
              </w:rPr>
            </w:pPr>
          </w:p>
        </w:tc>
        <w:tc>
          <w:tcPr>
            <w:tcW w:w="975" w:type="dxa"/>
            <w:tcBorders>
              <w:top w:val="nil"/>
              <w:left w:val="nil"/>
              <w:bottom w:val="nil"/>
              <w:right w:val="nil"/>
            </w:tcBorders>
            <w:shd w:val="clear" w:color="auto" w:fill="auto"/>
            <w:vAlign w:val="center"/>
          </w:tcPr>
          <w:p>
            <w:pPr>
              <w:jc w:val="center"/>
              <w:rPr>
                <w:b/>
                <w:bCs/>
                <w:color w:val="000000"/>
                <w:sz w:val="32"/>
                <w:szCs w:val="32"/>
              </w:rPr>
            </w:pPr>
          </w:p>
        </w:tc>
        <w:tc>
          <w:tcPr>
            <w:tcW w:w="840"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603" w:hRule="atLeast"/>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项目名称</w:t>
            </w: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贫困生生活补助</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自评总分</w:t>
            </w:r>
            <w:r>
              <w:rPr>
                <w:rFonts w:hint="eastAsia"/>
                <w:color w:val="000000"/>
                <w:sz w:val="20"/>
                <w:szCs w:val="20"/>
                <w:lang w:bidi="ar"/>
              </w:rPr>
              <w:br w:type="textWrapping"/>
            </w:r>
            <w:r>
              <w:rPr>
                <w:rFonts w:hint="eastAsia"/>
                <w:color w:val="000000"/>
                <w:sz w:val="20"/>
                <w:szCs w:val="20"/>
                <w:lang w:bidi="ar"/>
              </w:rPr>
              <w:t>（分</w:t>
            </w:r>
            <w:r>
              <w:rPr>
                <w:rFonts w:hint="eastAsia"/>
                <w:color w:val="000000"/>
                <w:sz w:val="20"/>
                <w:szCs w:val="20"/>
                <w:lang w:eastAsia="zh-CN" w:bidi="ar"/>
              </w:rPr>
              <w:t>）</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r>
      <w:tr>
        <w:tblPrEx>
          <w:tblCellMar>
            <w:top w:w="0" w:type="dxa"/>
            <w:left w:w="108" w:type="dxa"/>
            <w:bottom w:w="0" w:type="dxa"/>
            <w:right w:w="108" w:type="dxa"/>
          </w:tblCellMar>
        </w:tblPrEx>
        <w:trPr>
          <w:trHeight w:val="575" w:hRule="atLeast"/>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业务主管部门</w:t>
            </w: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重庆市綦江区教育委员会</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联系人</w:t>
            </w:r>
            <w:r>
              <w:rPr>
                <w:rFonts w:hint="eastAsia"/>
                <w:color w:val="000000"/>
                <w:sz w:val="20"/>
                <w:szCs w:val="20"/>
                <w:lang w:bidi="ar"/>
              </w:rPr>
              <w:br w:type="textWrapping"/>
            </w:r>
            <w:r>
              <w:rPr>
                <w:rFonts w:hint="eastAsia"/>
                <w:color w:val="000000"/>
                <w:sz w:val="20"/>
                <w:szCs w:val="20"/>
                <w:lang w:bidi="ar"/>
              </w:rPr>
              <w:t>及电话</w:t>
            </w:r>
          </w:p>
        </w:tc>
        <w:tc>
          <w:tcPr>
            <w:tcW w:w="3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赵小洪18223293123</w:t>
            </w:r>
          </w:p>
        </w:tc>
      </w:tr>
      <w:tr>
        <w:tblPrEx>
          <w:tblCellMar>
            <w:top w:w="0" w:type="dxa"/>
            <w:left w:w="108" w:type="dxa"/>
            <w:bottom w:w="0" w:type="dxa"/>
            <w:right w:w="108" w:type="dxa"/>
          </w:tblCellMar>
        </w:tblPrEx>
        <w:trPr>
          <w:trHeight w:val="663" w:hRule="atLeast"/>
        </w:trPr>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项目资金（万元）</w:t>
            </w:r>
          </w:p>
        </w:tc>
        <w:tc>
          <w:tcPr>
            <w:tcW w:w="1830" w:type="dxa"/>
            <w:tcBorders>
              <w:top w:val="single" w:color="000000" w:sz="4" w:space="0"/>
              <w:left w:val="single" w:color="000000" w:sz="4" w:space="0"/>
              <w:bottom w:val="single" w:color="000000" w:sz="4" w:space="0"/>
              <w:right w:val="nil"/>
            </w:tcBorders>
            <w:shd w:val="clear" w:color="auto" w:fill="auto"/>
            <w:vAlign w:val="center"/>
          </w:tcPr>
          <w:p>
            <w:pPr>
              <w:rPr>
                <w:color w:val="000000"/>
                <w:sz w:val="20"/>
                <w:szCs w:val="20"/>
              </w:rPr>
            </w:pP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全年预算数（A）</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全年执行数（B）</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执行率%（B/A）</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执行率得分（分）</w:t>
            </w:r>
          </w:p>
        </w:tc>
      </w:tr>
      <w:tr>
        <w:tblPrEx>
          <w:tblCellMar>
            <w:top w:w="0" w:type="dxa"/>
            <w:left w:w="108" w:type="dxa"/>
            <w:bottom w:w="0" w:type="dxa"/>
            <w:right w:w="108" w:type="dxa"/>
          </w:tblCellMar>
        </w:tblPrEx>
        <w:trPr>
          <w:trHeight w:val="448"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color w:val="000000"/>
                <w:sz w:val="20"/>
                <w:szCs w:val="20"/>
              </w:rPr>
            </w:pPr>
            <w:r>
              <w:rPr>
                <w:rFonts w:hint="eastAsia"/>
                <w:color w:val="000000"/>
                <w:sz w:val="20"/>
                <w:szCs w:val="20"/>
                <w:lang w:bidi="ar"/>
              </w:rPr>
              <w:t>年度资金总额：</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3.181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3.181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w:t>
            </w:r>
          </w:p>
        </w:tc>
      </w:tr>
      <w:tr>
        <w:tblPrEx>
          <w:tblCellMar>
            <w:top w:w="0" w:type="dxa"/>
            <w:left w:w="108" w:type="dxa"/>
            <w:bottom w:w="0" w:type="dxa"/>
            <w:right w:w="108" w:type="dxa"/>
          </w:tblCellMar>
        </w:tblPrEx>
        <w:trPr>
          <w:trHeight w:val="343"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其中：中央补助</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2.231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2.231</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r>
      <w:tr>
        <w:tblPrEx>
          <w:tblCellMar>
            <w:top w:w="0" w:type="dxa"/>
            <w:left w:w="108" w:type="dxa"/>
            <w:bottom w:w="0" w:type="dxa"/>
            <w:right w:w="108" w:type="dxa"/>
          </w:tblCellMar>
        </w:tblPrEx>
        <w:trPr>
          <w:trHeight w:val="375"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市级补助</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0.95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0.95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r>
      <w:tr>
        <w:tblPrEx>
          <w:tblCellMar>
            <w:top w:w="0" w:type="dxa"/>
            <w:left w:w="108" w:type="dxa"/>
            <w:bottom w:w="0" w:type="dxa"/>
            <w:right w:w="108" w:type="dxa"/>
          </w:tblCellMar>
        </w:tblPrEx>
        <w:trPr>
          <w:trHeight w:val="32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区级资金</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r>
      <w:tr>
        <w:tblPrEx>
          <w:tblCellMar>
            <w:top w:w="0" w:type="dxa"/>
            <w:left w:w="108" w:type="dxa"/>
            <w:bottom w:w="0" w:type="dxa"/>
            <w:right w:w="108" w:type="dxa"/>
          </w:tblCellMar>
        </w:tblPrEx>
        <w:trPr>
          <w:trHeight w:val="33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其他资金</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color w:val="000000"/>
                <w:sz w:val="20"/>
                <w:szCs w:val="20"/>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r>
      <w:tr>
        <w:tblPrEx>
          <w:tblCellMar>
            <w:top w:w="0" w:type="dxa"/>
            <w:left w:w="108" w:type="dxa"/>
            <w:bottom w:w="0" w:type="dxa"/>
            <w:right w:w="108" w:type="dxa"/>
          </w:tblCellMar>
        </w:tblPrEx>
        <w:trPr>
          <w:trHeight w:val="410" w:hRule="atLeast"/>
        </w:trPr>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年度总体目标</w:t>
            </w: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年初设定目标</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全年目标实际完成情况</w:t>
            </w:r>
          </w:p>
        </w:tc>
      </w:tr>
      <w:tr>
        <w:tblPrEx>
          <w:tblCellMar>
            <w:top w:w="0" w:type="dxa"/>
            <w:left w:w="108" w:type="dxa"/>
            <w:bottom w:w="0" w:type="dxa"/>
            <w:right w:w="108" w:type="dxa"/>
          </w:tblCellMar>
        </w:tblPrEx>
        <w:trPr>
          <w:trHeight w:val="1485"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准备解决学校7名贫困幼儿保教教育费和生活补助，每人每期1080元（2020春期因疫情未开学未补助），另解决春期46名/秋期51名贫困学生生活补助费用，每人每期250元，促进教育公平和社会和谐，保证贫困学生不能因贫失学。</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解决了学校7名贫困幼儿保教教育费和生活补助，每人每期1080元（2020春期因疫情未开学未补助），另解决了春期46名/秋期51名贫困学生生活补助费用，每人每期250元，促进教育公平和社会和谐，保证贫困学生不能因贫失学。</w:t>
            </w:r>
          </w:p>
        </w:tc>
      </w:tr>
      <w:tr>
        <w:tblPrEx>
          <w:tblCellMar>
            <w:top w:w="0" w:type="dxa"/>
            <w:left w:w="108" w:type="dxa"/>
            <w:bottom w:w="0" w:type="dxa"/>
            <w:right w:w="108" w:type="dxa"/>
          </w:tblCellMar>
        </w:tblPrEx>
        <w:trPr>
          <w:trHeight w:val="90" w:hRule="atLeast"/>
        </w:trPr>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textAlignment w:val="center"/>
              <w:rPr>
                <w:color w:val="000000"/>
                <w:sz w:val="20"/>
                <w:szCs w:val="20"/>
              </w:rPr>
            </w:pPr>
            <w:r>
              <w:rPr>
                <w:rFonts w:hint="eastAsia"/>
                <w:color w:val="000000"/>
                <w:sz w:val="20"/>
                <w:szCs w:val="20"/>
                <w:lang w:bidi="ar"/>
              </w:rPr>
              <w:t>绩效指标</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指标名称</w:t>
            </w:r>
            <w:r>
              <w:rPr>
                <w:rFonts w:hint="eastAsia"/>
                <w:color w:val="000000"/>
                <w:sz w:val="20"/>
                <w:szCs w:val="20"/>
                <w:lang w:bidi="ar"/>
              </w:rPr>
              <w:br w:type="textWrapping"/>
            </w:r>
            <w:r>
              <w:rPr>
                <w:rFonts w:hint="eastAsia"/>
                <w:color w:val="000000"/>
                <w:sz w:val="20"/>
                <w:szCs w:val="20"/>
                <w:lang w:bidi="ar"/>
              </w:rPr>
              <w:t>（三级指标）</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计量单位</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指标权重</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指标值</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全年完成值</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得分系数（%）</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指标得分</w:t>
            </w:r>
            <w:r>
              <w:rPr>
                <w:rFonts w:hint="eastAsia"/>
                <w:color w:val="000000"/>
                <w:sz w:val="20"/>
                <w:szCs w:val="20"/>
                <w:lang w:bidi="ar"/>
              </w:rPr>
              <w:br w:type="textWrapping"/>
            </w:r>
            <w:r>
              <w:rPr>
                <w:rFonts w:hint="eastAsia"/>
                <w:color w:val="000000"/>
                <w:sz w:val="20"/>
                <w:szCs w:val="20"/>
                <w:lang w:bidi="ar"/>
              </w:rPr>
              <w:t>（分</w:t>
            </w:r>
            <w:r>
              <w:rPr>
                <w:rFonts w:hint="eastAsia"/>
                <w:color w:val="000000"/>
                <w:sz w:val="20"/>
                <w:szCs w:val="20"/>
                <w:lang w:eastAsia="zh-CN" w:bidi="ar"/>
              </w:rPr>
              <w:t>）</w:t>
            </w:r>
          </w:p>
        </w:tc>
      </w:tr>
      <w:tr>
        <w:tblPrEx>
          <w:tblCellMar>
            <w:top w:w="0" w:type="dxa"/>
            <w:left w:w="108" w:type="dxa"/>
            <w:bottom w:w="0" w:type="dxa"/>
            <w:right w:w="108" w:type="dxa"/>
          </w:tblCellMar>
        </w:tblPrEx>
        <w:trPr>
          <w:trHeight w:val="47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资助人次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人次</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7/97</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7/97</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r>
      <w:tr>
        <w:tblPrEx>
          <w:tblCellMar>
            <w:top w:w="0" w:type="dxa"/>
            <w:left w:w="108" w:type="dxa"/>
            <w:bottom w:w="0" w:type="dxa"/>
            <w:right w:w="108" w:type="dxa"/>
          </w:tblCellMar>
        </w:tblPrEx>
        <w:trPr>
          <w:trHeight w:val="515"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补助标准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元/期（天）</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1080/250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1080/250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r>
      <w:tr>
        <w:tblPrEx>
          <w:tblCellMar>
            <w:top w:w="0" w:type="dxa"/>
            <w:left w:w="108" w:type="dxa"/>
            <w:bottom w:w="0" w:type="dxa"/>
            <w:right w:w="108" w:type="dxa"/>
          </w:tblCellMar>
        </w:tblPrEx>
        <w:trPr>
          <w:trHeight w:val="403"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资助发放精准度</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eastAsia="宋体"/>
                <w:color w:val="000000"/>
                <w:sz w:val="20"/>
                <w:szCs w:val="20"/>
                <w:lang w:eastAsia="zh-CN"/>
              </w:rPr>
            </w:pPr>
            <w:bookmarkStart w:id="0" w:name="_GoBack"/>
            <w:bookmarkEnd w:id="0"/>
            <w:r>
              <w:rPr>
                <w:rFonts w:hint="eastAsia"/>
                <w:color w:val="000000"/>
                <w:sz w:val="20"/>
                <w:szCs w:val="20"/>
                <w:lang w:eastAsia="zh-CN"/>
              </w:rPr>
              <w:t>%</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r>
      <w:tr>
        <w:tblPrEx>
          <w:tblCellMar>
            <w:top w:w="0" w:type="dxa"/>
            <w:left w:w="108" w:type="dxa"/>
            <w:bottom w:w="0" w:type="dxa"/>
            <w:right w:w="108" w:type="dxa"/>
          </w:tblCellMar>
        </w:tblPrEx>
        <w:trPr>
          <w:trHeight w:val="47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资金到位准时度</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r>
      <w:tr>
        <w:tblPrEx>
          <w:tblCellMar>
            <w:top w:w="0" w:type="dxa"/>
            <w:left w:w="108" w:type="dxa"/>
            <w:bottom w:w="0" w:type="dxa"/>
            <w:right w:w="108" w:type="dxa"/>
          </w:tblCellMar>
        </w:tblPrEx>
        <w:trPr>
          <w:trHeight w:val="487"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保障贫困学生入学率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30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30</w:t>
            </w:r>
          </w:p>
        </w:tc>
      </w:tr>
      <w:tr>
        <w:tblPrEx>
          <w:tblCellMar>
            <w:top w:w="0" w:type="dxa"/>
            <w:left w:w="108" w:type="dxa"/>
            <w:bottom w:w="0" w:type="dxa"/>
            <w:right w:w="108" w:type="dxa"/>
          </w:tblCellMar>
        </w:tblPrEx>
        <w:trPr>
          <w:trHeight w:val="46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家长学校满意度</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r>
      <w:tr>
        <w:tblPrEx>
          <w:tblCellMar>
            <w:top w:w="0" w:type="dxa"/>
            <w:left w:w="108" w:type="dxa"/>
            <w:bottom w:w="0" w:type="dxa"/>
            <w:right w:w="108" w:type="dxa"/>
          </w:tblCellMar>
        </w:tblPrEx>
        <w:trPr>
          <w:trHeight w:val="420" w:hRule="atLeast"/>
        </w:trPr>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社会公众满意度</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380"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r>
      <w:tr>
        <w:tblPrEx>
          <w:tblCellMar>
            <w:top w:w="0" w:type="dxa"/>
            <w:left w:w="108" w:type="dxa"/>
            <w:bottom w:w="0" w:type="dxa"/>
            <w:right w:w="108" w:type="dxa"/>
          </w:tblCellMar>
        </w:tblPrEx>
        <w:trPr>
          <w:trHeight w:val="2084" w:hRule="atLeast"/>
        </w:trPr>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未完成绩效目标或偏离较多的原因、改进措施及其他说明</w:t>
            </w:r>
          </w:p>
        </w:tc>
        <w:tc>
          <w:tcPr>
            <w:tcW w:w="81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r>
      <w:tr>
        <w:tblPrEx>
          <w:tblCellMar>
            <w:top w:w="0" w:type="dxa"/>
            <w:left w:w="108" w:type="dxa"/>
            <w:bottom w:w="0" w:type="dxa"/>
            <w:right w:w="108" w:type="dxa"/>
          </w:tblCellMar>
        </w:tblPrEx>
        <w:trPr>
          <w:trHeight w:val="270" w:hRule="atLeast"/>
        </w:trPr>
        <w:tc>
          <w:tcPr>
            <w:tcW w:w="2774" w:type="dxa"/>
            <w:gridSpan w:val="2"/>
            <w:tcBorders>
              <w:top w:val="nil"/>
              <w:left w:val="nil"/>
              <w:bottom w:val="nil"/>
              <w:right w:val="nil"/>
            </w:tcBorders>
            <w:shd w:val="clear" w:color="auto" w:fill="auto"/>
            <w:vAlign w:val="center"/>
          </w:tcPr>
          <w:p>
            <w:pPr>
              <w:textAlignment w:val="center"/>
              <w:rPr>
                <w:color w:val="000000"/>
                <w:sz w:val="20"/>
                <w:szCs w:val="20"/>
              </w:rPr>
            </w:pPr>
            <w:r>
              <w:rPr>
                <w:rFonts w:hint="eastAsia"/>
                <w:color w:val="000000"/>
                <w:sz w:val="20"/>
                <w:szCs w:val="20"/>
                <w:lang w:bidi="ar"/>
              </w:rPr>
              <w:t xml:space="preserve"> 预算单位主要领导：封尊榴           </w:t>
            </w:r>
          </w:p>
        </w:tc>
        <w:tc>
          <w:tcPr>
            <w:tcW w:w="2280" w:type="dxa"/>
            <w:gridSpan w:val="2"/>
            <w:tcBorders>
              <w:top w:val="nil"/>
              <w:left w:val="nil"/>
              <w:bottom w:val="nil"/>
              <w:right w:val="nil"/>
            </w:tcBorders>
            <w:shd w:val="clear" w:color="auto" w:fill="auto"/>
            <w:vAlign w:val="center"/>
          </w:tcPr>
          <w:p>
            <w:pPr>
              <w:jc w:val="right"/>
              <w:textAlignment w:val="center"/>
              <w:rPr>
                <w:color w:val="000000"/>
                <w:sz w:val="20"/>
                <w:szCs w:val="20"/>
              </w:rPr>
            </w:pPr>
            <w:r>
              <w:rPr>
                <w:rFonts w:hint="eastAsia"/>
                <w:color w:val="000000"/>
                <w:sz w:val="20"/>
                <w:szCs w:val="20"/>
                <w:lang w:bidi="ar"/>
              </w:rPr>
              <w:t>绩效评价负责人：王健</w:t>
            </w:r>
          </w:p>
        </w:tc>
        <w:tc>
          <w:tcPr>
            <w:tcW w:w="2190" w:type="dxa"/>
            <w:gridSpan w:val="2"/>
            <w:tcBorders>
              <w:top w:val="nil"/>
              <w:left w:val="nil"/>
              <w:bottom w:val="nil"/>
              <w:right w:val="nil"/>
            </w:tcBorders>
            <w:shd w:val="clear" w:color="auto" w:fill="auto"/>
            <w:vAlign w:val="center"/>
          </w:tcPr>
          <w:p>
            <w:pPr>
              <w:jc w:val="right"/>
              <w:textAlignment w:val="center"/>
              <w:rPr>
                <w:color w:val="000000"/>
                <w:sz w:val="20"/>
                <w:szCs w:val="20"/>
              </w:rPr>
            </w:pPr>
            <w:r>
              <w:rPr>
                <w:rFonts w:hint="eastAsia"/>
                <w:color w:val="000000"/>
                <w:sz w:val="20"/>
                <w:szCs w:val="20"/>
                <w:lang w:bidi="ar"/>
              </w:rPr>
              <w:t>经办人：</w:t>
            </w:r>
          </w:p>
        </w:tc>
        <w:tc>
          <w:tcPr>
            <w:tcW w:w="975" w:type="dxa"/>
            <w:tcBorders>
              <w:top w:val="nil"/>
              <w:left w:val="nil"/>
              <w:bottom w:val="nil"/>
              <w:right w:val="nil"/>
            </w:tcBorders>
            <w:shd w:val="clear" w:color="auto" w:fill="auto"/>
            <w:vAlign w:val="center"/>
          </w:tcPr>
          <w:p>
            <w:pPr>
              <w:jc w:val="right"/>
              <w:textAlignment w:val="center"/>
              <w:rPr>
                <w:color w:val="000000"/>
                <w:sz w:val="20"/>
                <w:szCs w:val="20"/>
              </w:rPr>
            </w:pPr>
            <w:r>
              <w:rPr>
                <w:rFonts w:hint="eastAsia"/>
                <w:color w:val="000000"/>
                <w:sz w:val="20"/>
                <w:szCs w:val="20"/>
                <w:lang w:bidi="ar"/>
              </w:rPr>
              <w:t>赵小洪</w:t>
            </w:r>
          </w:p>
        </w:tc>
        <w:tc>
          <w:tcPr>
            <w:tcW w:w="840" w:type="dxa"/>
            <w:tcBorders>
              <w:top w:val="nil"/>
              <w:left w:val="nil"/>
              <w:bottom w:val="nil"/>
              <w:right w:val="nil"/>
            </w:tcBorders>
            <w:shd w:val="clear" w:color="auto" w:fill="auto"/>
            <w:noWrap/>
            <w:vAlign w:val="center"/>
          </w:tcPr>
          <w:p>
            <w:pPr>
              <w:rPr>
                <w:color w:val="000000"/>
                <w:sz w:val="22"/>
                <w:szCs w:val="22"/>
              </w:rPr>
            </w:pPr>
          </w:p>
        </w:tc>
      </w:tr>
    </w:tbl>
    <w:p>
      <w:pPr>
        <w:pStyle w:val="2"/>
        <w:shd w:val="clear" w:color="auto" w:fill="FFFFFF"/>
        <w:spacing w:before="0" w:beforeAutospacing="0" w:after="0" w:afterAutospacing="0" w:line="600" w:lineRule="exact"/>
        <w:ind w:firstLine="640" w:firstLineChars="200"/>
        <w:rPr>
          <w:rFonts w:hint="default"/>
        </w:rPr>
      </w:pPr>
      <w:r>
        <w:rPr>
          <w:rStyle w:val="6"/>
          <w:rFonts w:ascii="方正黑体_GBK" w:hAnsi="方正黑体_GBK" w:eastAsia="方正黑体_GBK" w:cs="方正黑体_GBK"/>
          <w:b w:val="0"/>
          <w:bCs w:val="0"/>
          <w:sz w:val="32"/>
          <w:szCs w:val="32"/>
        </w:rPr>
        <w:t>六、专业名词解释</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（一）财政拨款收入：</w:t>
      </w:r>
      <w:r>
        <w:rPr>
          <w:rFonts w:ascii="方正仿宋_GBK" w:hAnsi="方正仿宋_GBK" w:eastAsia="方正仿宋_GBK" w:cs="方正仿宋_GBK"/>
          <w:sz w:val="32"/>
          <w:szCs w:val="32"/>
        </w:rPr>
        <w:t>指本年度从本级财政部门取得的财政拨款，包括一般公共预算财政拨款和政府性基金预算财政拨款。</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（二）事业收入：</w:t>
      </w:r>
      <w:r>
        <w:rPr>
          <w:rFonts w:ascii="方正仿宋_GBK" w:hAnsi="方正仿宋_GBK" w:eastAsia="方正仿宋_GBK" w:cs="方正仿宋_GBK"/>
          <w:sz w:val="32"/>
          <w:szCs w:val="32"/>
        </w:rPr>
        <w:t>指事业单位开展专业业务活动及其辅助活动取得的现金流入；事业单位收到的财政专户实际核拨的教育收费等资金在此反映。</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（三）经营收入：</w:t>
      </w:r>
      <w:r>
        <w:rPr>
          <w:rFonts w:ascii="方正仿宋_GBK" w:hAnsi="方正仿宋_GBK" w:eastAsia="方正仿宋_GBK" w:cs="方正仿宋_GBK"/>
          <w:sz w:val="32"/>
          <w:szCs w:val="32"/>
        </w:rPr>
        <w:t>指事业单位在专业业务活动及其辅助活动之外开展非独立核算经营活动取得的现金流入。</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（四）其他收入：</w:t>
      </w:r>
      <w:r>
        <w:rPr>
          <w:rFonts w:ascii="方正仿宋_GBK" w:hAnsi="方正仿宋_GBK" w:eastAsia="方正仿宋_GBK" w:cs="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（五）使用非财政拨款结余：</w:t>
      </w:r>
      <w:r>
        <w:rPr>
          <w:rFonts w:ascii="方正仿宋_GBK" w:hAnsi="方正仿宋_GBK" w:eastAsia="方正仿宋_GBK" w:cs="方正仿宋_GBK"/>
          <w:sz w:val="32"/>
          <w:szCs w:val="32"/>
        </w:rPr>
        <w:t>指单位在当年的“财政拨款收入”、“事业收入”、“经营收入”、“其他收入”等不足以安排当年支出的情况下，使用以前年度积累的非财政拨款结余弥补本年度收支缺口的资金。</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（六）年初结转和结余：</w:t>
      </w:r>
      <w:r>
        <w:rPr>
          <w:rFonts w:ascii="方正仿宋_GBK" w:hAnsi="方正仿宋_GBK" w:eastAsia="方正仿宋_GBK" w:cs="方正仿宋_GBK"/>
          <w:sz w:val="32"/>
          <w:szCs w:val="32"/>
        </w:rPr>
        <w:t>指单位上年结转本年使用的基本支出结转、项目支出结转和结余、经营结余。</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（七）结余分配：</w:t>
      </w:r>
      <w:r>
        <w:rPr>
          <w:rFonts w:ascii="方正仿宋_GBK" w:hAnsi="方正仿宋_GBK" w:eastAsia="方正仿宋_GBK" w:cs="方正仿宋_GBK"/>
          <w:sz w:val="32"/>
          <w:szCs w:val="32"/>
        </w:rPr>
        <w:t>指单位按照国家有关规定，缴纳所得税、提取专用基金、转入非财政拨款结余等当年结余的分配情况。</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（八）年末结转和结余：</w:t>
      </w:r>
      <w:r>
        <w:rPr>
          <w:rFonts w:ascii="方正仿宋_GBK" w:hAnsi="方正仿宋_GBK" w:eastAsia="方正仿宋_GBK" w:cs="方正仿宋_GBK"/>
          <w:sz w:val="32"/>
          <w:szCs w:val="32"/>
        </w:rPr>
        <w:t>指单位结转下年的基本支出结转、项目支出结转和结余、经营结余。</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（九）基本支出：</w:t>
      </w:r>
      <w:r>
        <w:rPr>
          <w:rFonts w:ascii="方正仿宋_GBK" w:hAnsi="方正仿宋_GBK" w:eastAsia="方正仿宋_GBK" w:cs="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（十）项目支出：</w:t>
      </w:r>
      <w:r>
        <w:rPr>
          <w:rFonts w:ascii="方正仿宋_GBK" w:hAnsi="方正仿宋_GBK" w:eastAsia="方正仿宋_GBK" w:cs="方正仿宋_GBK"/>
          <w:sz w:val="32"/>
          <w:szCs w:val="32"/>
        </w:rPr>
        <w:t>指在基本支出之外为完成特定行政任务和事业发展目标所发生的支出。</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（十一）经营支出：</w:t>
      </w:r>
      <w:r>
        <w:rPr>
          <w:rFonts w:ascii="方正仿宋_GBK" w:hAnsi="方正仿宋_GBK" w:eastAsia="方正仿宋_GBK" w:cs="方正仿宋_GBK"/>
          <w:sz w:val="32"/>
          <w:szCs w:val="32"/>
        </w:rPr>
        <w:t>指事业单位在专业业务活动及其辅助活动之外开展非独立核算经营活动发生的支出。</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（十二）“三公”经费：</w:t>
      </w:r>
      <w:r>
        <w:rPr>
          <w:rFonts w:ascii="方正仿宋_GBK" w:hAnsi="方正仿宋_GBK" w:eastAsia="方正仿宋_GBK" w:cs="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（十三）机关运行经费：</w:t>
      </w:r>
      <w:r>
        <w:rPr>
          <w:rFonts w:ascii="方正仿宋_GBK" w:hAnsi="方正仿宋_GBK" w:eastAsia="方正仿宋_GBK" w:cs="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（十四）工资福利支出（支出经济分类科目类级）：</w:t>
      </w:r>
      <w:r>
        <w:rPr>
          <w:rFonts w:ascii="方正仿宋_GBK" w:hAnsi="方正仿宋_GBK" w:eastAsia="方正仿宋_GBK" w:cs="方正仿宋_GBK"/>
          <w:sz w:val="32"/>
          <w:szCs w:val="32"/>
        </w:rPr>
        <w:t>反映单位开支的在职职工和编制外长期聘用人员的各类劳动报酬，以及为上述人员缴纳的各项社会保险费等。</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（十五）商品和服务支出（支出经济分类科目类级）：</w:t>
      </w:r>
      <w:r>
        <w:rPr>
          <w:rFonts w:ascii="方正仿宋_GBK" w:hAnsi="方正仿宋_GBK" w:eastAsia="方正仿宋_GBK" w:cs="方正仿宋_GBK"/>
          <w:sz w:val="32"/>
          <w:szCs w:val="32"/>
        </w:rPr>
        <w:t>反映单位购买商品和服务的支出（不包括用于购置固定资产的支出、战略性和应急储备支出）。</w:t>
      </w:r>
    </w:p>
    <w:p>
      <w:pPr>
        <w:pStyle w:val="2"/>
        <w:shd w:val="clear" w:color="auto" w:fill="FFFFFF"/>
        <w:spacing w:before="0" w:beforeAutospacing="0" w:after="0" w:afterAutospacing="0" w:line="600" w:lineRule="exact"/>
        <w:ind w:firstLine="640" w:firstLineChars="200"/>
        <w:rPr>
          <w:rFonts w:hint="default"/>
        </w:rPr>
      </w:pPr>
      <w:r>
        <w:rPr>
          <w:rFonts w:ascii="方正楷体_GBK" w:hAnsi="方正楷体_GBK" w:eastAsia="方正楷体_GBK" w:cs="方正楷体_GBK"/>
          <w:sz w:val="32"/>
          <w:szCs w:val="32"/>
        </w:rPr>
        <w:t>（十六）对个人和家庭的补助（支出经济分类科目类级）：</w:t>
      </w:r>
      <w:r>
        <w:rPr>
          <w:rFonts w:ascii="方正仿宋_GBK" w:hAnsi="方正仿宋_GBK" w:eastAsia="方正仿宋_GBK" w:cs="方正仿宋_GBK"/>
          <w:sz w:val="32"/>
          <w:szCs w:val="32"/>
        </w:rPr>
        <w:t>反映用于对个人和家庭的补助支出。</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楷体_GBK" w:hAnsi="方正楷体_GBK" w:eastAsia="方正楷体_GBK" w:cs="方正楷体_GBK"/>
          <w:sz w:val="32"/>
          <w:szCs w:val="32"/>
        </w:rPr>
        <w:t>（十七）其他资本性支出（支出经济分类科目类级）：</w:t>
      </w:r>
      <w:r>
        <w:rPr>
          <w:rFonts w:ascii="方正仿宋_GBK" w:hAnsi="方正仿宋_GBK" w:eastAsia="方正仿宋_GBK" w:cs="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2"/>
        <w:shd w:val="clear" w:color="auto" w:fill="FFFFFF"/>
        <w:spacing w:before="0" w:beforeAutospacing="0" w:after="0" w:afterAutospacing="0" w:line="600" w:lineRule="exact"/>
        <w:ind w:firstLine="640" w:firstLineChars="200"/>
        <w:rPr>
          <w:rFonts w:hint="default"/>
        </w:rPr>
      </w:pPr>
      <w:r>
        <w:rPr>
          <w:rStyle w:val="6"/>
          <w:rFonts w:ascii="方正黑体_GBK" w:hAnsi="方正黑体_GBK" w:eastAsia="方正黑体_GBK" w:cs="方正黑体_GBK"/>
          <w:b w:val="0"/>
          <w:bCs w:val="0"/>
          <w:sz w:val="32"/>
          <w:szCs w:val="32"/>
        </w:rPr>
        <w:t>七、决算公开联系方式及信息反馈渠道</w:t>
      </w:r>
    </w:p>
    <w:p>
      <w:pPr>
        <w:pStyle w:val="2"/>
        <w:shd w:val="clear" w:color="auto" w:fill="FFFFFF"/>
        <w:spacing w:before="0" w:beforeAutospacing="0" w:after="0" w:afterAutospacing="0" w:line="600" w:lineRule="exact"/>
        <w:ind w:firstLine="640" w:firstLineChars="200"/>
        <w:rPr>
          <w:rFonts w:hint="default" w:ascii="方正仿宋_GBK" w:hAnsi="方正仿宋_GBK" w:eastAsia="方正仿宋_GBK" w:cs="方正仿宋_GBK"/>
          <w:sz w:val="32"/>
          <w:szCs w:val="32"/>
        </w:rPr>
      </w:pPr>
      <w:r>
        <w:rPr>
          <w:rFonts w:ascii="方正仿宋_GBK" w:hAnsi="方正仿宋_GBK" w:eastAsia="方正仿宋_GBK" w:cs="方正仿宋_GBK"/>
          <w:sz w:val="32"/>
          <w:szCs w:val="32"/>
        </w:rPr>
        <w:t>本单位决算公开信息反馈和联系方式：023-48612619</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compatSetting w:name="compatibilityMode" w:uri="http://schemas.microsoft.com/office/word" w:val="14"/>
  </w:compat>
  <w:docVars>
    <w:docVar w:name="commondata" w:val="eyJoZGlkIjoiNmEzYWYxYTY4NzQ3ZjAxZTg4Njg0OTUxNTYxM2Y5ZGQifQ=="/>
  </w:docVars>
  <w:rsids>
    <w:rsidRoot w:val="007B42BC"/>
    <w:rsid w:val="000D0924"/>
    <w:rsid w:val="004C79AA"/>
    <w:rsid w:val="007B42BC"/>
    <w:rsid w:val="00C50246"/>
    <w:rsid w:val="00C60230"/>
    <w:rsid w:val="00CF2DD3"/>
    <w:rsid w:val="00EC30DE"/>
    <w:rsid w:val="05A22A57"/>
    <w:rsid w:val="0A0E0714"/>
    <w:rsid w:val="0AE27F4B"/>
    <w:rsid w:val="113C3EF7"/>
    <w:rsid w:val="130424FE"/>
    <w:rsid w:val="13AE29D2"/>
    <w:rsid w:val="1A5572D9"/>
    <w:rsid w:val="1B0921C3"/>
    <w:rsid w:val="1B694A4F"/>
    <w:rsid w:val="1BCD12C5"/>
    <w:rsid w:val="1E42099B"/>
    <w:rsid w:val="1EC94CEE"/>
    <w:rsid w:val="23AE0D75"/>
    <w:rsid w:val="27137988"/>
    <w:rsid w:val="2730304F"/>
    <w:rsid w:val="278A5992"/>
    <w:rsid w:val="2A7E1E12"/>
    <w:rsid w:val="2CBB1644"/>
    <w:rsid w:val="2D961986"/>
    <w:rsid w:val="306F1D0F"/>
    <w:rsid w:val="32D9608F"/>
    <w:rsid w:val="355133A9"/>
    <w:rsid w:val="36AF60D5"/>
    <w:rsid w:val="37EF103B"/>
    <w:rsid w:val="3C0813E6"/>
    <w:rsid w:val="3EF04BF2"/>
    <w:rsid w:val="3FCA1910"/>
    <w:rsid w:val="402F1A8C"/>
    <w:rsid w:val="424A45CC"/>
    <w:rsid w:val="43422F5A"/>
    <w:rsid w:val="451D71F7"/>
    <w:rsid w:val="4777770C"/>
    <w:rsid w:val="47B37D01"/>
    <w:rsid w:val="48596232"/>
    <w:rsid w:val="4A94416D"/>
    <w:rsid w:val="4B0941EA"/>
    <w:rsid w:val="4F824D22"/>
    <w:rsid w:val="51F31E36"/>
    <w:rsid w:val="54157FEA"/>
    <w:rsid w:val="545D7674"/>
    <w:rsid w:val="548935CF"/>
    <w:rsid w:val="55527D5D"/>
    <w:rsid w:val="5ABA734A"/>
    <w:rsid w:val="5AF14BCF"/>
    <w:rsid w:val="5C637016"/>
    <w:rsid w:val="5CA04DF6"/>
    <w:rsid w:val="5EE10119"/>
    <w:rsid w:val="67072577"/>
    <w:rsid w:val="69755D9C"/>
    <w:rsid w:val="6A687461"/>
    <w:rsid w:val="6DE30949"/>
    <w:rsid w:val="6E4912E1"/>
    <w:rsid w:val="703D77F4"/>
    <w:rsid w:val="709847DC"/>
    <w:rsid w:val="719B1E3E"/>
    <w:rsid w:val="73164BEE"/>
    <w:rsid w:val="7A2D146E"/>
    <w:rsid w:val="7D736B52"/>
    <w:rsid w:val="7DAB049F"/>
    <w:rsid w:val="7E044C2D"/>
    <w:rsid w:val="7F820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Normal (Web)"/>
    <w:basedOn w:val="3"/>
    <w:semiHidden/>
    <w:unhideWhenUsed/>
    <w:qFormat/>
    <w:uiPriority w:val="99"/>
    <w:pPr>
      <w:spacing w:before="100" w:after="100"/>
    </w:pPr>
  </w:style>
  <w:style w:type="paragraph" w:customStyle="1" w:styleId="3">
    <w:name w:val="msonormal"/>
    <w:basedOn w:val="1"/>
    <w:hidden/>
    <w:qFormat/>
    <w:uiPriority w:val="0"/>
    <w:pPr>
      <w:spacing w:beforeAutospacing="1" w:afterAutospacing="1"/>
    </w:pPr>
    <w:rPr>
      <w:rFonts w:hint="eastAsia" w:cs="Times New Roman"/>
    </w:rPr>
  </w:style>
  <w:style w:type="character" w:styleId="6">
    <w:name w:val="Strong"/>
    <w:basedOn w:val="5"/>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12</Pages>
  <Words>5192</Words>
  <Characters>6005</Characters>
  <Lines>44</Lines>
  <Paragraphs>12</Paragraphs>
  <TotalTime>40</TotalTime>
  <ScaleCrop>false</ScaleCrop>
  <LinksUpToDate>false</LinksUpToDate>
  <CharactersWithSpaces>6064</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2022-08-27T07:53:00Z</dcterms:created>
  <dc:creator>NX</dc:creator>
  <cp:lastModifiedBy>陈列</cp:lastModifiedBy>
  <dcterms:modified xsi:type="dcterms:W3CDTF">2022-09-01T14:29:49Z</dcterms:modified>
  <dc:title>公开报告模板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73BD0B180E6E4D019890D0C12346CD1C</vt:lpwstr>
  </property>
</Properties>
</file>