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75E55">
      <w:pPr>
        <w:widowControl/>
        <w:shd w:val="clear" w:color="auto" w:fill="FFFFFF"/>
        <w:spacing w:line="600" w:lineRule="exact"/>
        <w:ind w:firstLine="880" w:firstLineChars="200"/>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rPr>
        <w:t>重庆市綦江区隆盛中学</w:t>
      </w:r>
    </w:p>
    <w:p w14:paraId="7344EEBC">
      <w:pPr>
        <w:widowControl/>
        <w:shd w:val="clear" w:color="auto" w:fill="FFFFFF"/>
        <w:spacing w:line="600" w:lineRule="exact"/>
        <w:ind w:firstLine="880" w:firstLineChars="200"/>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rPr>
        <w:t>2020年度部门决算情况说明</w:t>
      </w:r>
    </w:p>
    <w:p w14:paraId="5A986D0C">
      <w:pPr>
        <w:widowControl/>
        <w:shd w:val="clear" w:color="auto" w:fill="FFFFFF"/>
        <w:spacing w:line="600" w:lineRule="exact"/>
        <w:ind w:firstLine="643" w:firstLineChars="200"/>
        <w:jc w:val="left"/>
        <w:rPr>
          <w:rFonts w:ascii="方正黑体_GBK" w:hAnsi="宋体" w:eastAsia="方正黑体_GBK" w:cs="宋体"/>
          <w:kern w:val="0"/>
          <w:sz w:val="32"/>
          <w:szCs w:val="32"/>
        </w:rPr>
      </w:pPr>
      <w:r>
        <w:rPr>
          <w:rFonts w:hint="eastAsia" w:ascii="方正黑体_GBK" w:hAnsi="宋体" w:eastAsia="方正黑体_GBK" w:cs="宋体"/>
          <w:b/>
          <w:bCs/>
          <w:kern w:val="0"/>
          <w:sz w:val="32"/>
          <w:szCs w:val="32"/>
        </w:rPr>
        <w:t>一、部门基本情况</w:t>
      </w:r>
    </w:p>
    <w:p w14:paraId="4C0D0189">
      <w:pPr>
        <w:widowControl/>
        <w:shd w:val="clear" w:color="auto" w:fill="FFFFFF"/>
        <w:spacing w:line="600" w:lineRule="exact"/>
        <w:ind w:firstLine="640" w:firstLineChars="200"/>
        <w:jc w:val="left"/>
        <w:rPr>
          <w:rFonts w:ascii="方正仿宋_GBK" w:eastAsia="方正仿宋_GBK"/>
          <w:color w:val="000000"/>
          <w:sz w:val="32"/>
          <w:szCs w:val="32"/>
          <w:shd w:val="clear" w:color="auto" w:fill="FFFFFF"/>
        </w:rPr>
      </w:pPr>
      <w:r>
        <w:rPr>
          <w:rFonts w:hint="eastAsia" w:ascii="方正仿宋_GBK" w:hAnsi="仿宋" w:eastAsia="方正仿宋_GBK"/>
          <w:sz w:val="32"/>
          <w:szCs w:val="32"/>
        </w:rPr>
        <w:t>本单位是全额拨款事业单位。</w:t>
      </w:r>
      <w:r>
        <w:rPr>
          <w:rFonts w:hint="eastAsia" w:ascii="方正仿宋_GBK" w:eastAsia="方正仿宋_GBK"/>
          <w:color w:val="000000"/>
          <w:sz w:val="32"/>
          <w:szCs w:val="32"/>
          <w:shd w:val="clear" w:color="auto" w:fill="FFFFFF"/>
        </w:rPr>
        <w:t>本校为实施初中义务教育的全日制公办教育机构，具有法人资格，独立承担民事责任。学校面向镇教育行政部门规定的区域范围进行招生，招生对象为辖区内健康适龄学生，主要职责是实施初中义务教育，促进基础教育发展，初中义务教育，教育人，培养人，使其个性全面发展。</w:t>
      </w:r>
    </w:p>
    <w:p w14:paraId="37BF0021">
      <w:pPr>
        <w:widowControl/>
        <w:shd w:val="clear" w:color="auto" w:fill="FFFFFF"/>
        <w:spacing w:line="600" w:lineRule="exact"/>
        <w:ind w:firstLine="480" w:firstLineChars="150"/>
        <w:jc w:val="left"/>
        <w:rPr>
          <w:rFonts w:ascii="方正楷体_GBK" w:hAnsi="宋体" w:eastAsia="方正楷体_GBK" w:cs="宋体"/>
          <w:kern w:val="0"/>
          <w:sz w:val="32"/>
          <w:szCs w:val="32"/>
        </w:rPr>
      </w:pPr>
      <w:r>
        <w:rPr>
          <w:rFonts w:hint="eastAsia" w:ascii="方正仿宋_GBK" w:hAnsi="宋体" w:eastAsia="方正仿宋_GBK" w:cs="宋体"/>
          <w:kern w:val="0"/>
          <w:sz w:val="32"/>
          <w:szCs w:val="32"/>
        </w:rPr>
        <w:t xml:space="preserve"> </w:t>
      </w:r>
      <w:r>
        <w:rPr>
          <w:rFonts w:hint="eastAsia" w:ascii="方正楷体_GBK" w:hAnsi="宋体" w:eastAsia="方正楷体_GBK" w:cs="宋体"/>
          <w:bCs/>
          <w:kern w:val="0"/>
          <w:sz w:val="32"/>
          <w:szCs w:val="32"/>
        </w:rPr>
        <w:t>（一）职能职责</w:t>
      </w:r>
    </w:p>
    <w:p w14:paraId="7583D060">
      <w:pPr>
        <w:widowControl/>
        <w:shd w:val="clear" w:color="auto" w:fill="FFFFFF"/>
        <w:spacing w:line="600" w:lineRule="exact"/>
        <w:ind w:firstLine="640" w:firstLineChars="200"/>
        <w:jc w:val="left"/>
        <w:rPr>
          <w:rFonts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1.以校本培训为核心，以小班化教学为抓手，以提高教育教学质量为根本，建设特色校园文化，使学校办学水平上一个新台阶。</w:t>
      </w:r>
    </w:p>
    <w:p w14:paraId="2DDA1571">
      <w:pPr>
        <w:widowControl/>
        <w:shd w:val="clear" w:color="auto" w:fill="FFFFFF"/>
        <w:spacing w:line="600" w:lineRule="exact"/>
        <w:ind w:firstLine="640" w:firstLineChars="200"/>
        <w:jc w:val="left"/>
        <w:rPr>
          <w:rFonts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2.注重校园基础设施的建设，打造舒适的育人环境。</w:t>
      </w:r>
    </w:p>
    <w:p w14:paraId="29BCF67C">
      <w:pPr>
        <w:widowControl/>
        <w:shd w:val="clear" w:color="auto" w:fill="FFFFFF"/>
        <w:spacing w:line="600" w:lineRule="exact"/>
        <w:ind w:firstLine="640" w:firstLineChars="200"/>
        <w:jc w:val="left"/>
        <w:rPr>
          <w:rFonts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3.做实校本培训、确保全员参训、落实培训经费。主要是让教师全员参与国培、市培、区培和校级培训活动，覆盖率达到100%，合格率达100%。</w:t>
      </w:r>
    </w:p>
    <w:p w14:paraId="2EF802F6">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eastAsia="方正仿宋_GBK"/>
          <w:color w:val="000000"/>
          <w:sz w:val="32"/>
          <w:szCs w:val="32"/>
          <w:shd w:val="clear" w:color="auto" w:fill="FFFFFF"/>
        </w:rPr>
        <w:t>4.建立健全学校章程、管理制度，使学校的管理有法可依，让学校真正走上依法治校的轨迹。</w:t>
      </w:r>
      <w:r>
        <w:rPr>
          <w:rFonts w:hint="eastAsia" w:ascii="宋体" w:hAnsi="宋体" w:eastAsia="方正仿宋_GBK" w:cs="宋体"/>
          <w:kern w:val="0"/>
          <w:sz w:val="32"/>
          <w:szCs w:val="32"/>
        </w:rPr>
        <w:t> </w:t>
      </w:r>
    </w:p>
    <w:p w14:paraId="6541B6E3">
      <w:pPr>
        <w:widowControl/>
        <w:shd w:val="clear" w:color="auto" w:fill="FFFFFF"/>
        <w:spacing w:line="600" w:lineRule="exact"/>
        <w:ind w:firstLine="482" w:firstLineChars="150"/>
        <w:jc w:val="left"/>
        <w:rPr>
          <w:rFonts w:ascii="方正楷体_GBK" w:hAnsi="宋体" w:eastAsia="方正楷体_GBK" w:cs="宋体"/>
          <w:bCs/>
          <w:kern w:val="0"/>
          <w:sz w:val="32"/>
          <w:szCs w:val="32"/>
        </w:rPr>
      </w:pPr>
      <w:r>
        <w:rPr>
          <w:rFonts w:hint="eastAsia" w:ascii="方正楷体_GBK" w:hAnsi="宋体" w:eastAsia="方正楷体_GBK" w:cs="宋体"/>
          <w:b/>
          <w:bCs/>
          <w:kern w:val="0"/>
          <w:sz w:val="32"/>
          <w:szCs w:val="32"/>
        </w:rPr>
        <w:t xml:space="preserve"> </w:t>
      </w:r>
      <w:r>
        <w:rPr>
          <w:rFonts w:hint="eastAsia" w:ascii="方正楷体_GBK" w:hAnsi="宋体" w:eastAsia="方正楷体_GBK" w:cs="宋体"/>
          <w:bCs/>
          <w:kern w:val="0"/>
          <w:sz w:val="32"/>
          <w:szCs w:val="32"/>
        </w:rPr>
        <w:t>（二）机构设置</w:t>
      </w:r>
    </w:p>
    <w:p w14:paraId="5D6BBD61">
      <w:pPr>
        <w:spacing w:line="600" w:lineRule="exact"/>
        <w:ind w:firstLine="640" w:firstLineChars="200"/>
        <w:jc w:val="left"/>
        <w:rPr>
          <w:rFonts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 2020年，区教委确定隆盛中学内设机构4个，中层干部职数4人，2021年末该校实设内设机构4个（教务处、总务处、德育处、安保处），实有中层干部4人。</w:t>
      </w:r>
    </w:p>
    <w:p w14:paraId="7122A445">
      <w:pPr>
        <w:widowControl/>
        <w:shd w:val="clear" w:color="auto" w:fill="FFFFFF"/>
        <w:spacing w:line="600" w:lineRule="exact"/>
        <w:ind w:firstLine="482" w:firstLineChars="150"/>
        <w:jc w:val="left"/>
        <w:rPr>
          <w:rFonts w:ascii="方正楷体_GBK" w:hAnsi="宋体" w:eastAsia="方正楷体_GBK" w:cs="宋体"/>
          <w:bCs/>
          <w:kern w:val="0"/>
          <w:sz w:val="32"/>
          <w:szCs w:val="32"/>
        </w:rPr>
      </w:pPr>
      <w:r>
        <w:rPr>
          <w:rFonts w:hint="eastAsia" w:ascii="方正楷体_GBK" w:hAnsi="宋体" w:eastAsia="方正楷体_GBK" w:cs="宋体"/>
          <w:b/>
          <w:bCs/>
          <w:kern w:val="0"/>
          <w:sz w:val="32"/>
          <w:szCs w:val="32"/>
        </w:rPr>
        <w:t xml:space="preserve">  </w:t>
      </w:r>
      <w:r>
        <w:rPr>
          <w:rFonts w:hint="eastAsia" w:ascii="方正楷体_GBK" w:hAnsi="宋体" w:eastAsia="方正楷体_GBK" w:cs="宋体"/>
          <w:bCs/>
          <w:kern w:val="0"/>
          <w:sz w:val="32"/>
          <w:szCs w:val="32"/>
        </w:rPr>
        <w:t>（三）单位构成</w:t>
      </w:r>
    </w:p>
    <w:p w14:paraId="0937329D">
      <w:pPr>
        <w:widowControl/>
        <w:shd w:val="clear" w:color="auto" w:fill="FFFFFF"/>
        <w:spacing w:line="600" w:lineRule="exact"/>
        <w:ind w:firstLine="640" w:firstLineChars="200"/>
        <w:jc w:val="left"/>
        <w:rPr>
          <w:rFonts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 本单位是全额拨款事业单位，现有教职工51人。学生488人。本单位为二级预算单位，无下级预算单位。</w:t>
      </w:r>
    </w:p>
    <w:p w14:paraId="1429D33D">
      <w:pPr>
        <w:widowControl/>
        <w:shd w:val="clear" w:color="auto" w:fill="FFFFFF"/>
        <w:spacing w:line="600" w:lineRule="exact"/>
        <w:ind w:firstLine="643" w:firstLineChars="200"/>
        <w:jc w:val="left"/>
        <w:rPr>
          <w:rFonts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二、部门决算情况说明</w:t>
      </w:r>
    </w:p>
    <w:p w14:paraId="6EBB8D87">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（一）收入支出决算总体情况说明</w:t>
      </w:r>
    </w:p>
    <w:p w14:paraId="54AB1BB1">
      <w:pPr>
        <w:widowControl/>
        <w:shd w:val="clear" w:color="auto" w:fill="FFFFFF"/>
        <w:spacing w:line="600" w:lineRule="exact"/>
        <w:ind w:firstLine="643" w:firstLineChars="200"/>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1.总体情况</w:t>
      </w:r>
      <w:r>
        <w:rPr>
          <w:rFonts w:hint="eastAsia" w:ascii="方正仿宋_GBK" w:hAnsi="宋体" w:eastAsia="方正仿宋_GBK" w:cs="宋体"/>
          <w:kern w:val="0"/>
          <w:sz w:val="32"/>
          <w:szCs w:val="32"/>
        </w:rPr>
        <w:t>。2020年度收入总计1,510.77万元，支出总计1,510.77万元。收支较上年决算数 减少39.53万元、 下降</w:t>
      </w:r>
      <w:r>
        <w:rPr>
          <w:rFonts w:hint="eastAsia" w:ascii="方正仿宋_GBK" w:hAnsi="宋体" w:eastAsia="方正仿宋_GBK" w:cs="宋体"/>
          <w:vanish/>
          <w:kern w:val="0"/>
          <w:sz w:val="32"/>
          <w:szCs w:val="32"/>
        </w:rPr>
        <w:t xml:space="preserve"> </w:t>
      </w:r>
      <w:r>
        <w:rPr>
          <w:rFonts w:hint="eastAsia" w:ascii="方正仿宋_GBK" w:hAnsi="宋体" w:eastAsia="方正仿宋_GBK" w:cs="宋体"/>
          <w:kern w:val="0"/>
          <w:sz w:val="32"/>
          <w:szCs w:val="32"/>
        </w:rPr>
        <w:t>2.5%，主要原因是本年学生人数减少，相关费用支出减少。</w:t>
      </w:r>
    </w:p>
    <w:p w14:paraId="1D47E57E">
      <w:pPr>
        <w:widowControl/>
        <w:shd w:val="clear" w:color="auto" w:fill="FFFFFF"/>
        <w:spacing w:line="600" w:lineRule="exact"/>
        <w:ind w:firstLine="643" w:firstLineChars="200"/>
        <w:jc w:val="left"/>
        <w:rPr>
          <w:rFonts w:ascii="方正仿宋_GBK" w:hAnsi="宋体" w:eastAsia="方正仿宋_GBK" w:cs="宋体"/>
          <w:color w:val="FF0000"/>
          <w:kern w:val="0"/>
          <w:sz w:val="32"/>
          <w:szCs w:val="32"/>
          <w:shd w:val="clear" w:color="auto" w:fill="FFFF00"/>
        </w:rPr>
      </w:pPr>
      <w:r>
        <w:rPr>
          <w:rFonts w:hint="eastAsia" w:ascii="方正仿宋_GBK" w:hAnsi="宋体" w:eastAsia="方正仿宋_GBK" w:cs="宋体"/>
          <w:b/>
          <w:bCs/>
          <w:kern w:val="0"/>
          <w:sz w:val="32"/>
          <w:szCs w:val="32"/>
        </w:rPr>
        <w:t>2.收入情况。</w:t>
      </w:r>
      <w:r>
        <w:rPr>
          <w:rFonts w:hint="eastAsia" w:ascii="方正仿宋_GBK" w:hAnsi="宋体" w:eastAsia="方正仿宋_GBK" w:cs="宋体"/>
          <w:kern w:val="0"/>
          <w:sz w:val="32"/>
          <w:szCs w:val="32"/>
        </w:rPr>
        <w:t>2020年度收入合计1,290.40万元，较上年决算数减少71.14万元，下降5.2%，主要原因是学生人数减少，财政投入减少。其中：财政拨款收入1,290.40万元，占100%，年初结转和结余220.37万元。</w:t>
      </w:r>
    </w:p>
    <w:p w14:paraId="5810822E">
      <w:pPr>
        <w:widowControl/>
        <w:shd w:val="clear" w:color="auto" w:fill="FFFFFF"/>
        <w:spacing w:line="600" w:lineRule="exact"/>
        <w:ind w:firstLine="643" w:firstLineChars="200"/>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3.支出情况。</w:t>
      </w:r>
      <w:r>
        <w:rPr>
          <w:rFonts w:hint="eastAsia" w:ascii="方正仿宋_GBK" w:hAnsi="宋体" w:eastAsia="方正仿宋_GBK" w:cs="宋体"/>
          <w:kern w:val="0"/>
          <w:sz w:val="32"/>
          <w:szCs w:val="32"/>
        </w:rPr>
        <w:t>2020年度支出合计1,452.26万元，较上年决算数增加8.72万元，增长0.6%，主要原因是学校加大办学经费投入。其中：基本支出 1,398.44万元，占96.3%；项目支出53.81万元，占3.7%；经营支出0.00万元，占0%。此外，结余分配0.00万元。</w:t>
      </w:r>
    </w:p>
    <w:p w14:paraId="68B47BC5">
      <w:pPr>
        <w:widowControl/>
        <w:shd w:val="clear" w:color="auto" w:fill="FFFFFF"/>
        <w:spacing w:line="600" w:lineRule="exact"/>
        <w:ind w:firstLine="643" w:firstLineChars="200"/>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4.结转结余情况。</w:t>
      </w:r>
      <w:r>
        <w:rPr>
          <w:rFonts w:hint="eastAsia" w:ascii="方正仿宋_GBK" w:hAnsi="宋体" w:eastAsia="方正仿宋_GBK" w:cs="宋体"/>
          <w:kern w:val="0"/>
          <w:sz w:val="32"/>
          <w:szCs w:val="32"/>
        </w:rPr>
        <w:t>2020年度年末结转和结余58.51万元，较上年决算数减少48.25万元，下降45.2%，主要原因是学生人数减少，财政投入减少。</w:t>
      </w:r>
    </w:p>
    <w:p w14:paraId="3314BA1E">
      <w:pPr>
        <w:widowControl/>
        <w:shd w:val="clear" w:color="auto" w:fill="FFFFFF"/>
        <w:spacing w:line="600" w:lineRule="exact"/>
        <w:ind w:firstLine="480" w:firstLineChars="150"/>
        <w:jc w:val="left"/>
        <w:rPr>
          <w:rFonts w:hint="eastAsia" w:ascii="方正楷体_GBK" w:hAnsi="宋体" w:eastAsia="方正楷体_GBK" w:cs="宋体"/>
          <w:bCs/>
          <w:kern w:val="0"/>
          <w:sz w:val="32"/>
          <w:szCs w:val="32"/>
        </w:rPr>
      </w:pPr>
      <w:r>
        <w:rPr>
          <w:rFonts w:hint="eastAsia" w:ascii="方正楷体_GBK" w:hAnsi="宋体" w:eastAsia="方正楷体_GBK" w:cs="宋体"/>
          <w:bCs/>
          <w:kern w:val="0"/>
          <w:sz w:val="32"/>
          <w:szCs w:val="32"/>
        </w:rPr>
        <w:t>（二）财政拨款收入支出决算总体情况说明</w:t>
      </w:r>
    </w:p>
    <w:p w14:paraId="5082E240">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仿宋_GBK" w:hAnsi="宋体" w:eastAsia="方正仿宋_GBK" w:cs="宋体"/>
          <w:kern w:val="0"/>
          <w:sz w:val="32"/>
          <w:szCs w:val="32"/>
        </w:rPr>
        <w:t xml:space="preserve"> 2020年度财政拨款收、支总计1,510.77万元。与2019年相比，财政拨款收、支总计各减少39.53万 元，下降2.5%。主要原因是学生人数减少，财政投入减少。</w:t>
      </w:r>
    </w:p>
    <w:p w14:paraId="6FA37B61">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（三）一般公共预算财政拨款支出决算情况说明</w:t>
      </w:r>
    </w:p>
    <w:p w14:paraId="71F9D226">
      <w:pPr>
        <w:widowControl/>
        <w:shd w:val="clear" w:color="auto" w:fill="FFFFFF"/>
        <w:spacing w:line="600" w:lineRule="exact"/>
        <w:ind w:firstLine="643" w:firstLineChars="200"/>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1.收入情况。</w:t>
      </w:r>
      <w:r>
        <w:rPr>
          <w:rFonts w:hint="eastAsia" w:ascii="方正仿宋_GBK" w:hAnsi="宋体" w:eastAsia="方正仿宋_GBK" w:cs="宋体"/>
          <w:kern w:val="0"/>
          <w:sz w:val="32"/>
          <w:szCs w:val="32"/>
        </w:rPr>
        <w:t>2020年度一般公共预算财政拨款收入1,290.40万元，较上年决算数减少71.14万元，下降5.2%。主要原因是学生人数减少，财政投入减少。较年初预算数 增加68.67万元，增长5.6%。主要原因是学校加大办学经费投入。此外，年初财政拨款结转和结余220.37万元。</w:t>
      </w:r>
    </w:p>
    <w:p w14:paraId="5968CFF9">
      <w:pPr>
        <w:widowControl/>
        <w:shd w:val="clear" w:color="auto" w:fill="FFFFFF"/>
        <w:spacing w:line="600" w:lineRule="exact"/>
        <w:ind w:firstLine="643" w:firstLineChars="200"/>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2.支出情况。</w:t>
      </w:r>
      <w:r>
        <w:rPr>
          <w:rFonts w:hint="eastAsia" w:ascii="方正仿宋_GBK" w:hAnsi="宋体" w:eastAsia="方正仿宋_GBK" w:cs="宋体"/>
          <w:kern w:val="0"/>
          <w:sz w:val="32"/>
          <w:szCs w:val="32"/>
        </w:rPr>
        <w:t>2020年度一般公共预算财政拨款支出1,452.26万元，较上年决算数增加8.72万元，增长0.6%。主要原因是加大办学经费投入。较年初预算数 增加123.77万 元，增长9.3%。主要原因是加大办学经费投入。</w:t>
      </w:r>
    </w:p>
    <w:p w14:paraId="09000D84">
      <w:pPr>
        <w:widowControl/>
        <w:shd w:val="clear" w:color="auto" w:fill="FFFFFF"/>
        <w:spacing w:line="600" w:lineRule="exact"/>
        <w:ind w:firstLine="643" w:firstLineChars="200"/>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3.结转结余情况。</w:t>
      </w:r>
      <w:r>
        <w:rPr>
          <w:rFonts w:hint="eastAsia" w:ascii="方正仿宋_GBK" w:hAnsi="宋体" w:eastAsia="方正仿宋_GBK" w:cs="宋体"/>
          <w:kern w:val="0"/>
          <w:sz w:val="32"/>
          <w:szCs w:val="32"/>
        </w:rPr>
        <w:t>2020年度年末一般公共预算财政拨款结转和结余58.51万元，较上年决算数减少48.25万元，下降45.2%，主要原因是学生人数减少，财政投入减少。</w:t>
      </w:r>
    </w:p>
    <w:p w14:paraId="72897B2B">
      <w:pPr>
        <w:widowControl/>
        <w:shd w:val="clear" w:color="auto" w:fill="FFFFFF"/>
        <w:spacing w:line="600" w:lineRule="exact"/>
        <w:ind w:firstLine="643" w:firstLineChars="200"/>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4.比较情况</w:t>
      </w:r>
      <w:r>
        <w:rPr>
          <w:rFonts w:hint="eastAsia" w:ascii="方正仿宋_GBK" w:hAnsi="宋体" w:eastAsia="方正仿宋_GBK" w:cs="宋体"/>
          <w:kern w:val="0"/>
          <w:sz w:val="32"/>
          <w:szCs w:val="32"/>
        </w:rPr>
        <w:t>。本部门2020年度一般公共预算财政拨款支出主要用于以下几个方面：</w:t>
      </w:r>
    </w:p>
    <w:p w14:paraId="4C8A3962">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（1）教育支出1,048.92万元，占72.2%，较年初预算数增加86.07万 元，增长8.9%，主要原因是学校加大办学经费投入。</w:t>
      </w:r>
    </w:p>
    <w:p w14:paraId="5FF27893">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（2）社会保障与就业支出259.81万元，占17.9%，较年初预算数增加38.40万 元，增长17.3%，主要原因是教职工人员编制增加。</w:t>
      </w:r>
    </w:p>
    <w:p w14:paraId="7DAF3B9C">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（3）卫生健康支出73.62万元，占5.1%，较年初预算数减少0.31万 元，下降0.4%，主要原因是教职工人员退休。</w:t>
      </w:r>
    </w:p>
    <w:p w14:paraId="669570A4">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（4）住房保障支出69.91万元，占4.8%，较年初预算数减少0.39万 元，下降0.6%，主要原因是教职工人员退休。</w:t>
      </w:r>
    </w:p>
    <w:p w14:paraId="0A6643EE">
      <w:pPr>
        <w:widowControl/>
        <w:shd w:val="clear" w:color="auto" w:fill="FFFFFF"/>
        <w:spacing w:line="600" w:lineRule="exact"/>
        <w:ind w:firstLine="640" w:firstLineChars="20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（四）一般公共预算财政拨款基本支出决算情况说明</w:t>
      </w:r>
    </w:p>
    <w:p w14:paraId="229D6AE4">
      <w:pPr>
        <w:widowControl/>
        <w:shd w:val="clear" w:color="auto" w:fill="FFFFFF"/>
        <w:spacing w:line="600" w:lineRule="exact"/>
        <w:ind w:firstLine="800" w:firstLineChars="25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2020年度一般公共财政拨款基本支出1,398.44万元。其中：人员经费1,320.59万元，较上年决算数增加13.94万 元，增长1.1%，主要原因是教职工人员编制增加。人员经费用途主要包括教职工福利费、对个人和家庭补助、教职工工资、绩效等。公用经费77.85万元，较上年决算数减少9.14万元，下降10.5%，主要原因是学生人数减少，财政投入减少。公用经费用途主要包括学校办公费、印刷费、维修费、劳务费、差旅费等。</w:t>
      </w:r>
    </w:p>
    <w:p w14:paraId="65C03E3D">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（五）政府性基金预算收支决算情况说明</w:t>
      </w:r>
    </w:p>
    <w:p w14:paraId="07749E72">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本部门2020年度无政府性基金预算财政拨款收支。</w:t>
      </w:r>
    </w:p>
    <w:p w14:paraId="47790EB7">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（六）国有资本经营预算财政</w:t>
      </w:r>
      <w:r>
        <w:rPr>
          <w:rFonts w:hint="eastAsia" w:ascii="方正楷体_GBK" w:hAnsi="宋体" w:eastAsia="方正楷体_GBK" w:cs="宋体"/>
          <w:bCs/>
          <w:kern w:val="0"/>
          <w:sz w:val="32"/>
          <w:szCs w:val="32"/>
          <w:lang w:eastAsia="zh-CN"/>
        </w:rPr>
        <w:t>支出</w:t>
      </w:r>
      <w:r>
        <w:rPr>
          <w:rFonts w:hint="eastAsia" w:ascii="方正楷体_GBK" w:hAnsi="宋体" w:eastAsia="方正楷体_GBK" w:cs="宋体"/>
          <w:bCs/>
          <w:kern w:val="0"/>
          <w:sz w:val="32"/>
          <w:szCs w:val="32"/>
        </w:rPr>
        <w:t>支决算情况说明。</w:t>
      </w:r>
    </w:p>
    <w:p w14:paraId="4A2D01C7">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本部门2020年度无国有资本经营预算财政拨款支出。</w:t>
      </w:r>
    </w:p>
    <w:p w14:paraId="16C20E60">
      <w:pPr>
        <w:widowControl/>
        <w:shd w:val="clear" w:color="auto" w:fill="FFFFFF"/>
        <w:spacing w:line="600" w:lineRule="exact"/>
        <w:ind w:firstLine="643" w:firstLineChars="200"/>
        <w:jc w:val="left"/>
        <w:rPr>
          <w:rFonts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三、“三公”经费情况说明</w:t>
      </w:r>
    </w:p>
    <w:p w14:paraId="7F44A06C">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（一）“三公”经费支出总体情况说明</w:t>
      </w:r>
    </w:p>
    <w:p w14:paraId="70F74AB5">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本单位2020年度未发生“三公”经费支出。</w:t>
      </w:r>
    </w:p>
    <w:p w14:paraId="7B4F8AE2">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（二）“三公”经费分项支出情况</w:t>
      </w:r>
    </w:p>
    <w:p w14:paraId="730266DC">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本单位2020年度未发生“三公”经费支出。</w:t>
      </w:r>
    </w:p>
    <w:p w14:paraId="6ABB6C9E">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（三）“三公”经费实物量情况</w:t>
      </w:r>
    </w:p>
    <w:p w14:paraId="5C701068">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本单位2020年度未发生“三公”经费支出。</w:t>
      </w:r>
    </w:p>
    <w:p w14:paraId="55F2F979">
      <w:pPr>
        <w:widowControl/>
        <w:shd w:val="clear" w:color="auto" w:fill="FFFFFF"/>
        <w:spacing w:line="600" w:lineRule="exact"/>
        <w:ind w:firstLine="643" w:firstLineChars="200"/>
        <w:jc w:val="left"/>
        <w:rPr>
          <w:rFonts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四、其他需要说明的事项</w:t>
      </w:r>
    </w:p>
    <w:p w14:paraId="061FC1CB">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（一）机关运行经费情况说明</w:t>
      </w:r>
    </w:p>
    <w:p w14:paraId="6667D927">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本单位2020年度未发生部门机关运行经费支出。</w:t>
      </w:r>
    </w:p>
    <w:p w14:paraId="1CA1B272">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本年度会议费支出2.12万元，较上年决算数减少1.05万元，下降33.1%，主要原因是</w:t>
      </w:r>
      <w:bookmarkStart w:id="0" w:name="_GoBack"/>
      <w:bookmarkEnd w:id="0"/>
      <w:r>
        <w:rPr>
          <w:rFonts w:hint="eastAsia" w:ascii="方正仿宋_GBK" w:hAnsi="宋体" w:eastAsia="方正仿宋_GBK" w:cs="宋体"/>
          <w:kern w:val="0"/>
          <w:sz w:val="32"/>
          <w:szCs w:val="32"/>
        </w:rPr>
        <w:t>疫情原因，相关会议减少，会议费减少。本年度培训费支出 3.87万元，较上年决算数减少5.47万元，下降58.6%，主要原因是疫情原因，相关培训减少，培训费减少。</w:t>
      </w:r>
    </w:p>
    <w:p w14:paraId="44AFB5F1">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（二）国有资产占用情况说明</w:t>
      </w:r>
    </w:p>
    <w:p w14:paraId="12A36276">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因本单位无用车需求原因，我单位资产未纳入部门决算报表。</w:t>
      </w:r>
    </w:p>
    <w:p w14:paraId="2ACA7E41">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（三）政府采购支出情况说明</w:t>
      </w:r>
    </w:p>
    <w:p w14:paraId="68407926">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2020年度我单位未发生政府采购事项，无相关经费支出。</w:t>
      </w:r>
    </w:p>
    <w:p w14:paraId="561FD3FE">
      <w:pPr>
        <w:widowControl/>
        <w:shd w:val="clear" w:color="auto" w:fill="FFFFFF"/>
        <w:spacing w:line="600" w:lineRule="exact"/>
        <w:ind w:firstLine="643" w:firstLineChars="200"/>
        <w:jc w:val="left"/>
        <w:rPr>
          <w:rFonts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五、预算绩效管理情况说明</w:t>
      </w:r>
    </w:p>
    <w:p w14:paraId="6DBEA118">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有疑问请联系绩效中心邓淳丹：15730367510</w:t>
      </w:r>
    </w:p>
    <w:p w14:paraId="0F5E4D78">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（一）预算绩效管理工作开展情况</w:t>
      </w:r>
    </w:p>
    <w:p w14:paraId="4BCCF852">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根据预算绩效管理要求，本部门对8个项目开展了绩效自评，其中，以填报目标自评表形式开展自评8项，涉及资金53.81万元；本单位未委托第三方形式开展绩效自评。</w:t>
      </w:r>
    </w:p>
    <w:p w14:paraId="7F4B5F79">
      <w:pPr>
        <w:widowControl/>
        <w:shd w:val="clear" w:color="auto" w:fill="FFFFFF"/>
        <w:spacing w:line="600" w:lineRule="exact"/>
        <w:ind w:firstLine="482" w:firstLineChars="150"/>
        <w:jc w:val="left"/>
        <w:rPr>
          <w:rFonts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（二）绩效自评结果</w:t>
      </w:r>
    </w:p>
    <w:p w14:paraId="13DDC4C7">
      <w:pPr>
        <w:widowControl/>
        <w:shd w:val="clear" w:color="auto" w:fill="FFFFFF"/>
        <w:spacing w:line="600" w:lineRule="exact"/>
        <w:ind w:firstLine="643" w:firstLineChars="200"/>
        <w:jc w:val="left"/>
        <w:rPr>
          <w:rFonts w:ascii="方正仿宋_GBK" w:hAnsi="宋体" w:eastAsia="方正仿宋_GBK" w:cs="宋体"/>
          <w:b/>
          <w:bCs/>
          <w:kern w:val="0"/>
          <w:sz w:val="32"/>
          <w:szCs w:val="32"/>
        </w:rPr>
      </w:pPr>
      <w:r>
        <w:rPr>
          <w:rFonts w:hint="eastAsia" w:ascii="方正仿宋_GBK" w:hAnsi="宋体" w:eastAsia="方正仿宋_GBK" w:cs="宋体"/>
          <w:b/>
          <w:bCs/>
          <w:kern w:val="0"/>
          <w:sz w:val="32"/>
          <w:szCs w:val="32"/>
        </w:rPr>
        <w:t>1.绩效自评表</w:t>
      </w:r>
    </w:p>
    <w:tbl>
      <w:tblPr>
        <w:tblStyle w:val="5"/>
        <w:tblW w:w="9720" w:type="dxa"/>
        <w:tblInd w:w="98" w:type="dxa"/>
        <w:tblLayout w:type="fixed"/>
        <w:tblCellMar>
          <w:top w:w="0" w:type="dxa"/>
          <w:left w:w="108" w:type="dxa"/>
          <w:bottom w:w="0" w:type="dxa"/>
          <w:right w:w="108" w:type="dxa"/>
        </w:tblCellMar>
      </w:tblPr>
      <w:tblGrid>
        <w:gridCol w:w="933"/>
        <w:gridCol w:w="2944"/>
        <w:gridCol w:w="1211"/>
        <w:gridCol w:w="623"/>
        <w:gridCol w:w="266"/>
        <w:gridCol w:w="1065"/>
        <w:gridCol w:w="988"/>
        <w:gridCol w:w="874"/>
        <w:gridCol w:w="816"/>
      </w:tblGrid>
      <w:tr w14:paraId="68FF9B28">
        <w:tblPrEx>
          <w:tblCellMar>
            <w:top w:w="0" w:type="dxa"/>
            <w:left w:w="108" w:type="dxa"/>
            <w:bottom w:w="0" w:type="dxa"/>
            <w:right w:w="108" w:type="dxa"/>
          </w:tblCellMar>
        </w:tblPrEx>
        <w:trPr>
          <w:trHeight w:val="585" w:hRule="atLeast"/>
        </w:trPr>
        <w:tc>
          <w:tcPr>
            <w:tcW w:w="9720" w:type="dxa"/>
            <w:gridSpan w:val="9"/>
            <w:tcBorders>
              <w:top w:val="nil"/>
              <w:left w:val="nil"/>
              <w:bottom w:val="nil"/>
              <w:right w:val="nil"/>
            </w:tcBorders>
            <w:shd w:val="clear" w:color="auto" w:fill="auto"/>
            <w:vAlign w:val="center"/>
          </w:tcPr>
          <w:p w14:paraId="575A2AEA">
            <w:pPr>
              <w:widowControl/>
              <w:ind w:firstLine="1430" w:firstLineChars="445"/>
              <w:textAlignment w:val="center"/>
              <w:rPr>
                <w:rFonts w:hint="eastAsia" w:ascii="方正仿宋_GBK" w:hAnsi="宋体" w:eastAsia="方正仿宋_GBK" w:cs="宋体"/>
                <w:b/>
                <w:bCs/>
                <w:color w:val="000000"/>
                <w:sz w:val="32"/>
                <w:szCs w:val="32"/>
              </w:rPr>
            </w:pPr>
            <w:r>
              <w:rPr>
                <w:rFonts w:hint="eastAsia" w:ascii="方正仿宋_GBK" w:hAnsi="宋体" w:eastAsia="方正仿宋_GBK" w:cs="宋体"/>
                <w:b/>
                <w:bCs/>
                <w:color w:val="000000"/>
                <w:kern w:val="0"/>
                <w:sz w:val="32"/>
                <w:szCs w:val="32"/>
              </w:rPr>
              <w:t xml:space="preserve">2020年度区级预算单位项目支出绩效自评表  </w:t>
            </w:r>
          </w:p>
        </w:tc>
      </w:tr>
      <w:tr w14:paraId="7EA51B2E">
        <w:tblPrEx>
          <w:tblCellMar>
            <w:top w:w="0" w:type="dxa"/>
            <w:left w:w="108" w:type="dxa"/>
            <w:bottom w:w="0" w:type="dxa"/>
            <w:right w:w="108" w:type="dxa"/>
          </w:tblCellMar>
        </w:tblPrEx>
        <w:trPr>
          <w:trHeight w:val="585" w:hRule="atLeast"/>
        </w:trPr>
        <w:tc>
          <w:tcPr>
            <w:tcW w:w="3877" w:type="dxa"/>
            <w:gridSpan w:val="2"/>
            <w:tcBorders>
              <w:top w:val="nil"/>
              <w:left w:val="nil"/>
              <w:bottom w:val="single" w:color="000000" w:sz="4" w:space="0"/>
              <w:right w:val="nil"/>
            </w:tcBorders>
            <w:shd w:val="clear" w:color="auto" w:fill="auto"/>
            <w:vAlign w:val="center"/>
          </w:tcPr>
          <w:p w14:paraId="7E746AB9">
            <w:pPr>
              <w:widowControl/>
              <w:jc w:val="left"/>
              <w:textAlignment w:val="center"/>
              <w:rPr>
                <w:rFonts w:hint="eastAsia" w:ascii="方正仿宋_GBK" w:hAnsi="宋体" w:eastAsia="方正仿宋_GBK" w:cs="宋体"/>
                <w:b/>
                <w:bCs/>
                <w:color w:val="000000"/>
                <w:sz w:val="20"/>
                <w:szCs w:val="20"/>
              </w:rPr>
            </w:pPr>
            <w:r>
              <w:rPr>
                <w:rFonts w:hint="eastAsia" w:ascii="方正仿宋_GBK" w:hAnsi="宋体" w:eastAsia="方正仿宋_GBK" w:cs="宋体"/>
                <w:b/>
                <w:bCs/>
                <w:color w:val="000000"/>
                <w:kern w:val="0"/>
                <w:sz w:val="20"/>
                <w:szCs w:val="20"/>
              </w:rPr>
              <w:t>填表单位（盖章）：重庆市綦江区隆盛中学</w:t>
            </w:r>
          </w:p>
        </w:tc>
        <w:tc>
          <w:tcPr>
            <w:tcW w:w="1211" w:type="dxa"/>
            <w:tcBorders>
              <w:top w:val="nil"/>
              <w:left w:val="nil"/>
              <w:bottom w:val="nil"/>
              <w:right w:val="nil"/>
            </w:tcBorders>
            <w:shd w:val="clear" w:color="auto" w:fill="auto"/>
            <w:vAlign w:val="center"/>
          </w:tcPr>
          <w:p w14:paraId="334025FB">
            <w:pPr>
              <w:jc w:val="center"/>
              <w:rPr>
                <w:rFonts w:hint="eastAsia" w:ascii="方正仿宋_GBK" w:hAnsi="宋体" w:eastAsia="方正仿宋_GBK" w:cs="宋体"/>
                <w:b/>
                <w:bCs/>
                <w:color w:val="000000"/>
                <w:sz w:val="32"/>
                <w:szCs w:val="32"/>
              </w:rPr>
            </w:pPr>
          </w:p>
        </w:tc>
        <w:tc>
          <w:tcPr>
            <w:tcW w:w="623" w:type="dxa"/>
            <w:tcBorders>
              <w:top w:val="nil"/>
              <w:left w:val="nil"/>
              <w:bottom w:val="nil"/>
              <w:right w:val="nil"/>
            </w:tcBorders>
            <w:shd w:val="clear" w:color="auto" w:fill="auto"/>
            <w:vAlign w:val="center"/>
          </w:tcPr>
          <w:p w14:paraId="2C6BA94A">
            <w:pPr>
              <w:jc w:val="center"/>
              <w:rPr>
                <w:rFonts w:hint="eastAsia" w:ascii="方正仿宋_GBK" w:hAnsi="宋体" w:eastAsia="方正仿宋_GBK" w:cs="宋体"/>
                <w:b/>
                <w:bCs/>
                <w:color w:val="000000"/>
                <w:sz w:val="32"/>
                <w:szCs w:val="32"/>
              </w:rPr>
            </w:pPr>
          </w:p>
        </w:tc>
        <w:tc>
          <w:tcPr>
            <w:tcW w:w="266" w:type="dxa"/>
            <w:tcBorders>
              <w:top w:val="nil"/>
              <w:left w:val="nil"/>
              <w:bottom w:val="nil"/>
              <w:right w:val="nil"/>
            </w:tcBorders>
            <w:shd w:val="clear" w:color="auto" w:fill="auto"/>
            <w:vAlign w:val="center"/>
          </w:tcPr>
          <w:p w14:paraId="51044478">
            <w:pPr>
              <w:jc w:val="center"/>
              <w:rPr>
                <w:rFonts w:hint="eastAsia" w:ascii="方正仿宋_GBK" w:hAnsi="宋体" w:eastAsia="方正仿宋_GBK" w:cs="宋体"/>
                <w:b/>
                <w:bCs/>
                <w:color w:val="000000"/>
                <w:sz w:val="32"/>
                <w:szCs w:val="32"/>
              </w:rPr>
            </w:pPr>
          </w:p>
        </w:tc>
        <w:tc>
          <w:tcPr>
            <w:tcW w:w="1065" w:type="dxa"/>
            <w:tcBorders>
              <w:top w:val="nil"/>
              <w:left w:val="nil"/>
              <w:bottom w:val="nil"/>
              <w:right w:val="nil"/>
            </w:tcBorders>
            <w:shd w:val="clear" w:color="auto" w:fill="auto"/>
            <w:vAlign w:val="center"/>
          </w:tcPr>
          <w:p w14:paraId="6343688C">
            <w:pPr>
              <w:jc w:val="center"/>
              <w:rPr>
                <w:rFonts w:hint="eastAsia" w:ascii="方正仿宋_GBK" w:hAnsi="宋体" w:eastAsia="方正仿宋_GBK" w:cs="宋体"/>
                <w:b/>
                <w:bCs/>
                <w:color w:val="000000"/>
                <w:sz w:val="32"/>
                <w:szCs w:val="32"/>
              </w:rPr>
            </w:pPr>
          </w:p>
        </w:tc>
        <w:tc>
          <w:tcPr>
            <w:tcW w:w="988" w:type="dxa"/>
            <w:tcBorders>
              <w:top w:val="nil"/>
              <w:left w:val="nil"/>
              <w:bottom w:val="nil"/>
              <w:right w:val="nil"/>
            </w:tcBorders>
            <w:shd w:val="clear" w:color="auto" w:fill="auto"/>
            <w:vAlign w:val="center"/>
          </w:tcPr>
          <w:p w14:paraId="4576D308">
            <w:pPr>
              <w:jc w:val="center"/>
              <w:rPr>
                <w:rFonts w:hint="eastAsia" w:ascii="方正仿宋_GBK" w:hAnsi="宋体" w:eastAsia="方正仿宋_GBK" w:cs="宋体"/>
                <w:b/>
                <w:bCs/>
                <w:color w:val="000000"/>
                <w:sz w:val="32"/>
                <w:szCs w:val="32"/>
              </w:rPr>
            </w:pPr>
          </w:p>
        </w:tc>
        <w:tc>
          <w:tcPr>
            <w:tcW w:w="874" w:type="dxa"/>
            <w:tcBorders>
              <w:top w:val="nil"/>
              <w:left w:val="nil"/>
              <w:bottom w:val="nil"/>
              <w:right w:val="nil"/>
            </w:tcBorders>
            <w:shd w:val="clear" w:color="auto" w:fill="auto"/>
            <w:vAlign w:val="center"/>
          </w:tcPr>
          <w:p w14:paraId="000CF1E0">
            <w:pPr>
              <w:jc w:val="center"/>
              <w:rPr>
                <w:rFonts w:hint="eastAsia" w:ascii="方正仿宋_GBK" w:hAnsi="宋体" w:eastAsia="方正仿宋_GBK" w:cs="宋体"/>
                <w:b/>
                <w:bCs/>
                <w:color w:val="000000"/>
                <w:sz w:val="32"/>
                <w:szCs w:val="32"/>
              </w:rPr>
            </w:pPr>
          </w:p>
        </w:tc>
        <w:tc>
          <w:tcPr>
            <w:tcW w:w="816" w:type="dxa"/>
            <w:tcBorders>
              <w:top w:val="nil"/>
              <w:left w:val="nil"/>
              <w:bottom w:val="nil"/>
              <w:right w:val="nil"/>
            </w:tcBorders>
            <w:shd w:val="clear" w:color="auto" w:fill="auto"/>
            <w:vAlign w:val="center"/>
          </w:tcPr>
          <w:p w14:paraId="53ED3B90">
            <w:pPr>
              <w:jc w:val="center"/>
              <w:rPr>
                <w:rFonts w:hint="eastAsia" w:ascii="方正仿宋_GBK" w:hAnsi="宋体" w:eastAsia="方正仿宋_GBK" w:cs="宋体"/>
                <w:b/>
                <w:bCs/>
                <w:color w:val="000000"/>
                <w:sz w:val="32"/>
                <w:szCs w:val="32"/>
              </w:rPr>
            </w:pPr>
          </w:p>
        </w:tc>
      </w:tr>
      <w:tr w14:paraId="44C2FE1F">
        <w:tblPrEx>
          <w:tblCellMar>
            <w:top w:w="0" w:type="dxa"/>
            <w:left w:w="108" w:type="dxa"/>
            <w:bottom w:w="0" w:type="dxa"/>
            <w:right w:w="108" w:type="dxa"/>
          </w:tblCellMar>
        </w:tblPrEx>
        <w:trPr>
          <w:trHeight w:val="645" w:hRule="atLeast"/>
        </w:trPr>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662B3">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项目名称</w:t>
            </w:r>
          </w:p>
        </w:tc>
        <w:tc>
          <w:tcPr>
            <w:tcW w:w="50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35D4C3">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男生宿舍维修改造</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5C5F">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自评总分</w:t>
            </w:r>
            <w:r>
              <w:rPr>
                <w:rFonts w:hint="eastAsia" w:ascii="方正仿宋_GBK" w:hAnsi="宋体" w:eastAsia="方正仿宋_GBK" w:cs="宋体"/>
                <w:color w:val="000000"/>
                <w:kern w:val="0"/>
                <w:sz w:val="20"/>
                <w:szCs w:val="20"/>
              </w:rPr>
              <w:br w:type="textWrapping"/>
            </w:r>
            <w:r>
              <w:rPr>
                <w:rFonts w:hint="eastAsia" w:ascii="方正仿宋_GBK" w:hAnsi="宋体" w:eastAsia="方正仿宋_GBK" w:cs="宋体"/>
                <w:color w:val="000000"/>
                <w:kern w:val="0"/>
                <w:sz w:val="20"/>
                <w:szCs w:val="20"/>
              </w:rPr>
              <w:t>（分</w:t>
            </w:r>
            <w:r>
              <w:rPr>
                <w:rFonts w:hint="eastAsia" w:ascii="方正仿宋_GBK" w:hAnsi="宋体" w:eastAsia="方正仿宋_GBK" w:cs="宋体"/>
                <w:color w:val="000000"/>
                <w:kern w:val="0"/>
                <w:sz w:val="20"/>
                <w:szCs w:val="20"/>
                <w:lang w:eastAsia="zh-CN"/>
              </w:rPr>
              <w:t>）</w:t>
            </w:r>
          </w:p>
        </w:tc>
        <w:tc>
          <w:tcPr>
            <w:tcW w:w="26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CEADB4">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93</w:t>
            </w:r>
          </w:p>
        </w:tc>
      </w:tr>
      <w:tr w14:paraId="33544BD7">
        <w:tblPrEx>
          <w:tblCellMar>
            <w:top w:w="0" w:type="dxa"/>
            <w:left w:w="108" w:type="dxa"/>
            <w:bottom w:w="0" w:type="dxa"/>
            <w:right w:w="108" w:type="dxa"/>
          </w:tblCellMar>
        </w:tblPrEx>
        <w:trPr>
          <w:trHeight w:val="645" w:hRule="atLeast"/>
        </w:trPr>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3F3F1">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业务主管部门</w:t>
            </w:r>
          </w:p>
        </w:tc>
        <w:tc>
          <w:tcPr>
            <w:tcW w:w="50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21AA875">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重庆市綦江区教育委员会</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ED8F1">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联系人</w:t>
            </w:r>
            <w:r>
              <w:rPr>
                <w:rFonts w:hint="eastAsia" w:ascii="方正仿宋_GBK" w:hAnsi="宋体" w:eastAsia="方正仿宋_GBK" w:cs="宋体"/>
                <w:color w:val="000000"/>
                <w:kern w:val="0"/>
                <w:sz w:val="20"/>
                <w:szCs w:val="20"/>
              </w:rPr>
              <w:br w:type="textWrapping"/>
            </w:r>
            <w:r>
              <w:rPr>
                <w:rFonts w:hint="eastAsia" w:ascii="方正仿宋_GBK" w:hAnsi="宋体" w:eastAsia="方正仿宋_GBK" w:cs="宋体"/>
                <w:color w:val="000000"/>
                <w:kern w:val="0"/>
                <w:sz w:val="20"/>
                <w:szCs w:val="20"/>
              </w:rPr>
              <w:t>及电话</w:t>
            </w:r>
          </w:p>
        </w:tc>
        <w:tc>
          <w:tcPr>
            <w:tcW w:w="26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FBD908">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陈依依 13658230788</w:t>
            </w:r>
          </w:p>
        </w:tc>
      </w:tr>
      <w:tr w14:paraId="2D10CBC1">
        <w:tblPrEx>
          <w:tblCellMar>
            <w:top w:w="0" w:type="dxa"/>
            <w:left w:w="108" w:type="dxa"/>
            <w:bottom w:w="0" w:type="dxa"/>
            <w:right w:w="108" w:type="dxa"/>
          </w:tblCellMar>
        </w:tblPrEx>
        <w:trPr>
          <w:trHeight w:val="640" w:hRule="atLeast"/>
        </w:trPr>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C948AF">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项目资金（万元）</w:t>
            </w:r>
          </w:p>
        </w:tc>
        <w:tc>
          <w:tcPr>
            <w:tcW w:w="2944" w:type="dxa"/>
            <w:tcBorders>
              <w:top w:val="single" w:color="000000" w:sz="4" w:space="0"/>
              <w:left w:val="single" w:color="000000" w:sz="4" w:space="0"/>
              <w:bottom w:val="single" w:color="000000" w:sz="4" w:space="0"/>
              <w:right w:val="nil"/>
            </w:tcBorders>
            <w:shd w:val="clear" w:color="auto" w:fill="auto"/>
            <w:vAlign w:val="center"/>
          </w:tcPr>
          <w:p w14:paraId="0A926B6B">
            <w:pPr>
              <w:rPr>
                <w:rFonts w:hint="eastAsia" w:ascii="方正仿宋_GBK" w:hAnsi="宋体" w:eastAsia="方正仿宋_GBK" w:cs="宋体"/>
                <w:color w:val="000000"/>
                <w:sz w:val="20"/>
                <w:szCs w:val="20"/>
              </w:rPr>
            </w:pP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A9F7878">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全年预算数（A）</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BC2D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全年执行数（B）</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B22D7">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执行率%（B/A）</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21AE6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执行率得分（分）</w:t>
            </w:r>
          </w:p>
        </w:tc>
      </w:tr>
      <w:tr w14:paraId="306B0FFD">
        <w:tblPrEx>
          <w:tblCellMar>
            <w:top w:w="0" w:type="dxa"/>
            <w:left w:w="108" w:type="dxa"/>
            <w:bottom w:w="0" w:type="dxa"/>
            <w:right w:w="108" w:type="dxa"/>
          </w:tblCellMar>
        </w:tblPrEx>
        <w:trPr>
          <w:trHeight w:val="36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C7ADA1">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F213F">
            <w:pPr>
              <w:widowControl/>
              <w:jc w:val="left"/>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年度资金总额：</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3C97775">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14.5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4542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14.5</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B3789">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B28B8">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r>
      <w:tr w14:paraId="5075A75F">
        <w:tblPrEx>
          <w:tblCellMar>
            <w:top w:w="0" w:type="dxa"/>
            <w:left w:w="108" w:type="dxa"/>
            <w:bottom w:w="0" w:type="dxa"/>
            <w:right w:w="108" w:type="dxa"/>
          </w:tblCellMar>
        </w:tblPrEx>
        <w:trPr>
          <w:trHeight w:val="36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B6255A">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A7352">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其中：中央补助</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E27761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14.5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171FF">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14.5</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D59ED">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E366A">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r>
      <w:tr w14:paraId="6FE88A16">
        <w:tblPrEx>
          <w:tblCellMar>
            <w:top w:w="0" w:type="dxa"/>
            <w:left w:w="108" w:type="dxa"/>
            <w:bottom w:w="0" w:type="dxa"/>
            <w:right w:w="108" w:type="dxa"/>
          </w:tblCellMar>
        </w:tblPrEx>
        <w:trPr>
          <w:trHeight w:val="375"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A2EC8">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90574">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 xml:space="preserve">     市级补助</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B42878F">
            <w:pPr>
              <w:jc w:val="center"/>
              <w:rPr>
                <w:rFonts w:hint="eastAsia" w:ascii="方正仿宋_GBK" w:hAnsi="宋体" w:eastAsia="方正仿宋_GBK" w:cs="宋体"/>
                <w:color w:val="000000"/>
                <w:sz w:val="20"/>
                <w:szCs w:val="2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720DD">
            <w:pPr>
              <w:jc w:val="center"/>
              <w:rPr>
                <w:rFonts w:hint="eastAsia" w:ascii="方正仿宋_GBK" w:hAnsi="宋体" w:eastAsia="方正仿宋_GBK" w:cs="宋体"/>
                <w:color w:val="000000"/>
                <w:sz w:val="20"/>
                <w:szCs w:val="20"/>
              </w:rPr>
            </w:pP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AAB51">
            <w:pPr>
              <w:jc w:val="center"/>
              <w:rPr>
                <w:rFonts w:hint="eastAsia" w:ascii="方正仿宋_GBK" w:hAnsi="宋体" w:eastAsia="方正仿宋_GBK" w:cs="宋体"/>
                <w:color w:val="000000"/>
                <w:sz w:val="20"/>
                <w:szCs w:val="20"/>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19178">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r>
      <w:tr w14:paraId="6CB7FCC4">
        <w:tblPrEx>
          <w:tblCellMar>
            <w:top w:w="0" w:type="dxa"/>
            <w:left w:w="108" w:type="dxa"/>
            <w:bottom w:w="0" w:type="dxa"/>
            <w:right w:w="108" w:type="dxa"/>
          </w:tblCellMar>
        </w:tblPrEx>
        <w:trPr>
          <w:trHeight w:val="42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6DDA9">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B74FB">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 xml:space="preserve">     区级资金</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B67276B">
            <w:pPr>
              <w:jc w:val="center"/>
              <w:rPr>
                <w:rFonts w:hint="eastAsia" w:ascii="方正仿宋_GBK" w:hAnsi="宋体" w:eastAsia="方正仿宋_GBK" w:cs="宋体"/>
                <w:color w:val="000000"/>
                <w:sz w:val="20"/>
                <w:szCs w:val="2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47650">
            <w:pPr>
              <w:jc w:val="center"/>
              <w:rPr>
                <w:rFonts w:hint="eastAsia" w:ascii="方正仿宋_GBK" w:hAnsi="宋体" w:eastAsia="方正仿宋_GBK" w:cs="宋体"/>
                <w:color w:val="000000"/>
                <w:sz w:val="20"/>
                <w:szCs w:val="20"/>
              </w:rPr>
            </w:pP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1793">
            <w:pPr>
              <w:jc w:val="center"/>
              <w:rPr>
                <w:rFonts w:hint="eastAsia" w:ascii="方正仿宋_GBK" w:hAnsi="宋体" w:eastAsia="方正仿宋_GBK" w:cs="宋体"/>
                <w:color w:val="000000"/>
                <w:sz w:val="20"/>
                <w:szCs w:val="20"/>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F0BC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r>
      <w:tr w14:paraId="6ABE828F">
        <w:tblPrEx>
          <w:tblCellMar>
            <w:top w:w="0" w:type="dxa"/>
            <w:left w:w="108" w:type="dxa"/>
            <w:bottom w:w="0" w:type="dxa"/>
            <w:right w:w="108" w:type="dxa"/>
          </w:tblCellMar>
        </w:tblPrEx>
        <w:trPr>
          <w:trHeight w:val="33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D14E9">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26E77">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 xml:space="preserve">     其他资金</w:t>
            </w:r>
          </w:p>
        </w:tc>
        <w:tc>
          <w:tcPr>
            <w:tcW w:w="21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0A2CE9">
            <w:pPr>
              <w:jc w:val="center"/>
              <w:rPr>
                <w:rFonts w:hint="eastAsia" w:ascii="方正仿宋_GBK" w:hAnsi="宋体" w:eastAsia="方正仿宋_GBK" w:cs="宋体"/>
                <w:color w:val="000000"/>
                <w:sz w:val="20"/>
                <w:szCs w:val="20"/>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A1C85">
            <w:pPr>
              <w:jc w:val="center"/>
              <w:rPr>
                <w:rFonts w:hint="eastAsia" w:ascii="方正仿宋_GBK" w:hAnsi="宋体" w:eastAsia="方正仿宋_GBK" w:cs="宋体"/>
                <w:color w:val="000000"/>
                <w:sz w:val="20"/>
                <w:szCs w:val="20"/>
              </w:rPr>
            </w:pP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73D9E">
            <w:pPr>
              <w:jc w:val="center"/>
              <w:rPr>
                <w:rFonts w:hint="eastAsia" w:ascii="方正仿宋_GBK" w:hAnsi="宋体" w:eastAsia="方正仿宋_GBK" w:cs="宋体"/>
                <w:color w:val="000000"/>
                <w:sz w:val="20"/>
                <w:szCs w:val="20"/>
              </w:rPr>
            </w:pPr>
          </w:p>
        </w:tc>
        <w:tc>
          <w:tcPr>
            <w:tcW w:w="1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F7E8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r>
      <w:tr w14:paraId="7C6A62DE">
        <w:tblPrEx>
          <w:tblCellMar>
            <w:top w:w="0" w:type="dxa"/>
            <w:left w:w="108" w:type="dxa"/>
            <w:bottom w:w="0" w:type="dxa"/>
            <w:right w:w="108" w:type="dxa"/>
          </w:tblCellMar>
        </w:tblPrEx>
        <w:trPr>
          <w:trHeight w:val="510" w:hRule="atLeast"/>
        </w:trPr>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D8C3A7">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年度总体目标</w:t>
            </w:r>
          </w:p>
        </w:tc>
        <w:tc>
          <w:tcPr>
            <w:tcW w:w="50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A648E03">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年初设定目标</w:t>
            </w:r>
          </w:p>
        </w:tc>
        <w:tc>
          <w:tcPr>
            <w:tcW w:w="37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2D3B4D">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全年目标实际完成情况</w:t>
            </w:r>
          </w:p>
        </w:tc>
      </w:tr>
      <w:tr w14:paraId="6D8EBEC8">
        <w:tblPrEx>
          <w:tblCellMar>
            <w:top w:w="0" w:type="dxa"/>
            <w:left w:w="108" w:type="dxa"/>
            <w:bottom w:w="0" w:type="dxa"/>
            <w:right w:w="108" w:type="dxa"/>
          </w:tblCellMar>
        </w:tblPrEx>
        <w:trPr>
          <w:trHeight w:val="102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44F34">
            <w:pPr>
              <w:jc w:val="center"/>
              <w:rPr>
                <w:rFonts w:hint="eastAsia" w:ascii="方正仿宋_GBK" w:hAnsi="宋体" w:eastAsia="方正仿宋_GBK" w:cs="宋体"/>
                <w:color w:val="000000"/>
                <w:sz w:val="20"/>
                <w:szCs w:val="20"/>
              </w:rPr>
            </w:pPr>
          </w:p>
        </w:tc>
        <w:tc>
          <w:tcPr>
            <w:tcW w:w="504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DC27576">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资金用于男生寝室的维修改造，并在保证质量的情况下合理控制维修改造成本，切实改善学生寝室的住宿环境。</w:t>
            </w:r>
          </w:p>
        </w:tc>
        <w:tc>
          <w:tcPr>
            <w:tcW w:w="37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8176A2">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保质保量完成了对男生寝室的维修改造，全面改善了本校130名男生寝室的住宿环境。</w:t>
            </w:r>
          </w:p>
        </w:tc>
      </w:tr>
      <w:tr w14:paraId="65AFAE5F">
        <w:tblPrEx>
          <w:tblCellMar>
            <w:top w:w="0" w:type="dxa"/>
            <w:left w:w="108" w:type="dxa"/>
            <w:bottom w:w="0" w:type="dxa"/>
            <w:right w:w="108" w:type="dxa"/>
          </w:tblCellMar>
        </w:tblPrEx>
        <w:trPr>
          <w:trHeight w:val="720" w:hRule="atLeast"/>
        </w:trPr>
        <w:tc>
          <w:tcPr>
            <w:tcW w:w="933"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A46DAAD">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绩效指标</w:t>
            </w: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5C7EC">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指标名称</w:t>
            </w:r>
            <w:r>
              <w:rPr>
                <w:rFonts w:hint="eastAsia" w:ascii="方正仿宋_GBK" w:hAnsi="宋体" w:eastAsia="方正仿宋_GBK" w:cs="宋体"/>
                <w:color w:val="000000"/>
                <w:kern w:val="0"/>
                <w:sz w:val="20"/>
                <w:szCs w:val="20"/>
              </w:rPr>
              <w:br w:type="textWrapping"/>
            </w:r>
            <w:r>
              <w:rPr>
                <w:rFonts w:hint="eastAsia" w:ascii="方正仿宋_GBK" w:hAnsi="宋体" w:eastAsia="方正仿宋_GBK" w:cs="宋体"/>
                <w:color w:val="000000"/>
                <w:kern w:val="0"/>
                <w:sz w:val="20"/>
                <w:szCs w:val="20"/>
              </w:rPr>
              <w:t>（三级指标）</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0176">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计量单位</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EBA96">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指标权重</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43905">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指标值</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804BF">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全年完成值</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437A2">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得分系数（%）</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77ED1">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指标得分</w:t>
            </w:r>
            <w:r>
              <w:rPr>
                <w:rFonts w:hint="eastAsia" w:ascii="方正仿宋_GBK" w:hAnsi="宋体" w:eastAsia="方正仿宋_GBK" w:cs="宋体"/>
                <w:color w:val="000000"/>
                <w:kern w:val="0"/>
                <w:sz w:val="20"/>
                <w:szCs w:val="20"/>
              </w:rPr>
              <w:br w:type="textWrapping"/>
            </w:r>
            <w:r>
              <w:rPr>
                <w:rFonts w:hint="eastAsia" w:ascii="方正仿宋_GBK" w:hAnsi="宋体" w:eastAsia="方正仿宋_GBK" w:cs="宋体"/>
                <w:color w:val="000000"/>
                <w:kern w:val="0"/>
                <w:sz w:val="20"/>
                <w:szCs w:val="20"/>
              </w:rPr>
              <w:t>（分</w:t>
            </w:r>
            <w:r>
              <w:rPr>
                <w:rFonts w:hint="eastAsia" w:ascii="方正仿宋_GBK" w:hAnsi="宋体" w:eastAsia="方正仿宋_GBK" w:cs="宋体"/>
                <w:color w:val="000000"/>
                <w:kern w:val="0"/>
                <w:sz w:val="20"/>
                <w:szCs w:val="20"/>
                <w:lang w:eastAsia="zh-CN"/>
              </w:rPr>
              <w:t>）</w:t>
            </w:r>
          </w:p>
        </w:tc>
      </w:tr>
      <w:tr w14:paraId="789D396C">
        <w:tblPrEx>
          <w:tblCellMar>
            <w:top w:w="0" w:type="dxa"/>
            <w:left w:w="108" w:type="dxa"/>
            <w:bottom w:w="0" w:type="dxa"/>
            <w:right w:w="108" w:type="dxa"/>
          </w:tblCellMar>
        </w:tblPrEx>
        <w:trPr>
          <w:trHeight w:val="585"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3B370EC">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1150D">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改造维修面积</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35F98">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平方米</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595DAB">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F48F4">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1631.47</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D6DB1">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163147%</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4D0F3">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2E59">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17</w:t>
            </w:r>
          </w:p>
        </w:tc>
      </w:tr>
      <w:tr w14:paraId="2327BDE4">
        <w:tblPrEx>
          <w:tblCellMar>
            <w:top w:w="0" w:type="dxa"/>
            <w:left w:w="108" w:type="dxa"/>
            <w:bottom w:w="0" w:type="dxa"/>
            <w:right w:w="108" w:type="dxa"/>
          </w:tblCellMar>
        </w:tblPrEx>
        <w:trPr>
          <w:trHeight w:val="60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B574C2A">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FAAC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工程验收合格率</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F34A7">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63E7C">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524BC">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4DCBF">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6076">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8511">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18</w:t>
            </w:r>
          </w:p>
        </w:tc>
      </w:tr>
      <w:tr w14:paraId="468DE3F2">
        <w:tblPrEx>
          <w:tblCellMar>
            <w:top w:w="0" w:type="dxa"/>
            <w:left w:w="108" w:type="dxa"/>
            <w:bottom w:w="0" w:type="dxa"/>
            <w:right w:w="108" w:type="dxa"/>
          </w:tblCellMar>
        </w:tblPrEx>
        <w:trPr>
          <w:trHeight w:val="60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80D6365">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DC205">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工程完成率</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AAE2F">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6A55D">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513C7">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C15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0B566">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D1F43">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r>
      <w:tr w14:paraId="73A4E781">
        <w:tblPrEx>
          <w:tblCellMar>
            <w:top w:w="0" w:type="dxa"/>
            <w:left w:w="108" w:type="dxa"/>
            <w:bottom w:w="0" w:type="dxa"/>
            <w:right w:w="108" w:type="dxa"/>
          </w:tblCellMar>
        </w:tblPrEx>
        <w:trPr>
          <w:trHeight w:val="60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574D1209">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19F02">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维修成本</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254DF">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元/平方</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AEC4A">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20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C6C4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88.88</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A7EAB">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88.88</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8CD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E2437">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18</w:t>
            </w:r>
          </w:p>
        </w:tc>
      </w:tr>
      <w:tr w14:paraId="390B655B">
        <w:tblPrEx>
          <w:tblCellMar>
            <w:top w:w="0" w:type="dxa"/>
            <w:left w:w="108" w:type="dxa"/>
            <w:bottom w:w="0" w:type="dxa"/>
            <w:right w:w="108" w:type="dxa"/>
          </w:tblCellMar>
        </w:tblPrEx>
        <w:trPr>
          <w:trHeight w:val="64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8A6C670">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BD8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受益师生</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A7F13">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人</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543836">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DB402">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130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38033">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130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B2E5">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3C871">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r>
      <w:tr w14:paraId="4D6124CB">
        <w:tblPrEx>
          <w:tblCellMar>
            <w:top w:w="0" w:type="dxa"/>
            <w:left w:w="108" w:type="dxa"/>
            <w:bottom w:w="0" w:type="dxa"/>
            <w:right w:w="108" w:type="dxa"/>
          </w:tblCellMar>
        </w:tblPrEx>
        <w:trPr>
          <w:trHeight w:val="615"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1CD9522">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8B81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师生满意率</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8F4F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BAC0B0">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D950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45012">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71B2A">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D465">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r>
      <w:tr w14:paraId="619B697F">
        <w:tblPrEx>
          <w:tblCellMar>
            <w:top w:w="0" w:type="dxa"/>
            <w:left w:w="108" w:type="dxa"/>
            <w:bottom w:w="0" w:type="dxa"/>
            <w:right w:w="108" w:type="dxa"/>
          </w:tblCellMar>
        </w:tblPrEx>
        <w:trPr>
          <w:trHeight w:val="630" w:hRule="atLeast"/>
        </w:trPr>
        <w:tc>
          <w:tcPr>
            <w:tcW w:w="933"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3E9FFFC">
            <w:pPr>
              <w:jc w:val="center"/>
              <w:rPr>
                <w:rFonts w:hint="eastAsia" w:ascii="方正仿宋_GBK" w:hAnsi="宋体" w:eastAsia="方正仿宋_GBK" w:cs="宋体"/>
                <w:color w:val="000000"/>
                <w:sz w:val="20"/>
                <w:szCs w:val="20"/>
              </w:rPr>
            </w:pPr>
          </w:p>
        </w:tc>
        <w:tc>
          <w:tcPr>
            <w:tcW w:w="29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3864">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社会满意率</w:t>
            </w:r>
          </w:p>
        </w:tc>
        <w:tc>
          <w:tcPr>
            <w:tcW w:w="12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CF05B">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w:t>
            </w:r>
          </w:p>
        </w:tc>
        <w:tc>
          <w:tcPr>
            <w:tcW w:w="8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A5F5BC">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81B2A">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7B932">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C4B6C">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100%</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70EBA">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10</w:t>
            </w:r>
          </w:p>
        </w:tc>
      </w:tr>
      <w:tr w14:paraId="41BBDEB1">
        <w:tblPrEx>
          <w:tblCellMar>
            <w:top w:w="0" w:type="dxa"/>
            <w:left w:w="108" w:type="dxa"/>
            <w:bottom w:w="0" w:type="dxa"/>
            <w:right w:w="108" w:type="dxa"/>
          </w:tblCellMar>
        </w:tblPrEx>
        <w:trPr>
          <w:trHeight w:val="1670" w:hRule="atLeast"/>
        </w:trPr>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A214E">
            <w:pPr>
              <w:widowControl/>
              <w:jc w:val="center"/>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未完成绩效目标或偏离较多的原因、改进措施及其他说明</w:t>
            </w:r>
          </w:p>
        </w:tc>
        <w:tc>
          <w:tcPr>
            <w:tcW w:w="878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F1DE84E">
            <w:pPr>
              <w:jc w:val="center"/>
              <w:rPr>
                <w:rFonts w:hint="eastAsia" w:ascii="方正仿宋_GBK" w:hAnsi="宋体" w:eastAsia="方正仿宋_GBK" w:cs="宋体"/>
                <w:color w:val="000000"/>
                <w:sz w:val="20"/>
                <w:szCs w:val="20"/>
              </w:rPr>
            </w:pPr>
          </w:p>
        </w:tc>
      </w:tr>
      <w:tr w14:paraId="1DCD22AB">
        <w:tblPrEx>
          <w:tblCellMar>
            <w:top w:w="0" w:type="dxa"/>
            <w:left w:w="108" w:type="dxa"/>
            <w:bottom w:w="0" w:type="dxa"/>
            <w:right w:w="108" w:type="dxa"/>
          </w:tblCellMar>
        </w:tblPrEx>
        <w:trPr>
          <w:trHeight w:val="280" w:hRule="atLeast"/>
        </w:trPr>
        <w:tc>
          <w:tcPr>
            <w:tcW w:w="3877" w:type="dxa"/>
            <w:gridSpan w:val="2"/>
            <w:tcBorders>
              <w:top w:val="nil"/>
              <w:left w:val="nil"/>
              <w:bottom w:val="nil"/>
              <w:right w:val="nil"/>
            </w:tcBorders>
            <w:shd w:val="clear" w:color="auto" w:fill="auto"/>
            <w:vAlign w:val="center"/>
          </w:tcPr>
          <w:p w14:paraId="7F761528">
            <w:pPr>
              <w:widowControl/>
              <w:jc w:val="left"/>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 xml:space="preserve"> 预算单位主要领导： 颜家中          </w:t>
            </w:r>
          </w:p>
        </w:tc>
        <w:tc>
          <w:tcPr>
            <w:tcW w:w="2100" w:type="dxa"/>
            <w:gridSpan w:val="3"/>
            <w:tcBorders>
              <w:top w:val="nil"/>
              <w:left w:val="nil"/>
              <w:bottom w:val="nil"/>
              <w:right w:val="nil"/>
            </w:tcBorders>
            <w:shd w:val="clear" w:color="auto" w:fill="auto"/>
            <w:vAlign w:val="center"/>
          </w:tcPr>
          <w:p w14:paraId="3D0F5E53">
            <w:pPr>
              <w:widowControl/>
              <w:jc w:val="right"/>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绩效评价负责人：尹林</w:t>
            </w:r>
          </w:p>
        </w:tc>
        <w:tc>
          <w:tcPr>
            <w:tcW w:w="2053" w:type="dxa"/>
            <w:gridSpan w:val="2"/>
            <w:tcBorders>
              <w:top w:val="nil"/>
              <w:left w:val="nil"/>
              <w:bottom w:val="nil"/>
              <w:right w:val="nil"/>
            </w:tcBorders>
            <w:shd w:val="clear" w:color="auto" w:fill="auto"/>
            <w:vAlign w:val="center"/>
          </w:tcPr>
          <w:p w14:paraId="7D36054B">
            <w:pPr>
              <w:widowControl/>
              <w:jc w:val="right"/>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经办人：</w:t>
            </w:r>
          </w:p>
        </w:tc>
        <w:tc>
          <w:tcPr>
            <w:tcW w:w="874" w:type="dxa"/>
            <w:tcBorders>
              <w:top w:val="nil"/>
              <w:left w:val="nil"/>
              <w:bottom w:val="nil"/>
              <w:right w:val="nil"/>
            </w:tcBorders>
            <w:shd w:val="clear" w:color="auto" w:fill="auto"/>
            <w:vAlign w:val="center"/>
          </w:tcPr>
          <w:p w14:paraId="321A1592">
            <w:pPr>
              <w:widowControl/>
              <w:jc w:val="right"/>
              <w:textAlignment w:val="center"/>
              <w:rPr>
                <w:rFonts w:hint="eastAsia" w:ascii="方正仿宋_GBK" w:hAnsi="宋体" w:eastAsia="方正仿宋_GBK" w:cs="宋体"/>
                <w:color w:val="000000"/>
                <w:sz w:val="20"/>
                <w:szCs w:val="20"/>
              </w:rPr>
            </w:pPr>
            <w:r>
              <w:rPr>
                <w:rFonts w:hint="eastAsia" w:ascii="方正仿宋_GBK" w:hAnsi="宋体" w:eastAsia="方正仿宋_GBK" w:cs="宋体"/>
                <w:color w:val="000000"/>
                <w:kern w:val="0"/>
                <w:sz w:val="20"/>
                <w:szCs w:val="20"/>
              </w:rPr>
              <w:t>陈依依</w:t>
            </w:r>
          </w:p>
        </w:tc>
        <w:tc>
          <w:tcPr>
            <w:tcW w:w="816" w:type="dxa"/>
            <w:tcBorders>
              <w:top w:val="nil"/>
              <w:left w:val="nil"/>
              <w:bottom w:val="nil"/>
              <w:right w:val="nil"/>
            </w:tcBorders>
            <w:shd w:val="clear" w:color="auto" w:fill="auto"/>
            <w:vAlign w:val="center"/>
          </w:tcPr>
          <w:p w14:paraId="78D2FF13">
            <w:pPr>
              <w:rPr>
                <w:rFonts w:hint="eastAsia" w:ascii="方正仿宋_GBK" w:hAnsi="宋体" w:eastAsia="方正仿宋_GBK" w:cs="宋体"/>
                <w:color w:val="000000"/>
                <w:sz w:val="22"/>
              </w:rPr>
            </w:pPr>
          </w:p>
        </w:tc>
      </w:tr>
    </w:tbl>
    <w:p w14:paraId="0EB6E2D6">
      <w:pPr>
        <w:widowControl/>
        <w:shd w:val="clear" w:color="auto" w:fill="FFFFFF"/>
        <w:spacing w:line="600" w:lineRule="exact"/>
        <w:ind w:firstLine="787" w:firstLineChars="245"/>
        <w:jc w:val="left"/>
        <w:rPr>
          <w:rFonts w:ascii="方正仿宋_GBK" w:hAnsi="宋体" w:eastAsia="方正仿宋_GBK" w:cs="宋体"/>
          <w:kern w:val="0"/>
          <w:sz w:val="32"/>
          <w:szCs w:val="32"/>
        </w:rPr>
      </w:pPr>
      <w:r>
        <w:rPr>
          <w:rFonts w:hint="eastAsia" w:ascii="方正仿宋_GBK" w:hAnsi="宋体" w:eastAsia="方正仿宋_GBK" w:cs="宋体"/>
          <w:b/>
          <w:bCs/>
          <w:kern w:val="0"/>
          <w:sz w:val="32"/>
          <w:szCs w:val="32"/>
        </w:rPr>
        <w:t>2.绩效自评报告或案例</w:t>
      </w:r>
    </w:p>
    <w:p w14:paraId="7C9CCCA0">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本单位未委托第三方形式开展绩效自评。</w:t>
      </w:r>
    </w:p>
    <w:p w14:paraId="7F597E29">
      <w:pPr>
        <w:widowControl/>
        <w:shd w:val="clear" w:color="auto" w:fill="FFFFFF"/>
        <w:spacing w:line="600" w:lineRule="exact"/>
        <w:ind w:firstLine="480" w:firstLineChars="150"/>
        <w:jc w:val="left"/>
        <w:rPr>
          <w:rFonts w:ascii="方正楷体_GBK" w:hAnsi="宋体" w:eastAsia="方正楷体_GBK" w:cs="宋体"/>
          <w:bCs/>
          <w:kern w:val="0"/>
          <w:sz w:val="32"/>
          <w:szCs w:val="32"/>
        </w:rPr>
      </w:pPr>
      <w:r>
        <w:rPr>
          <w:rFonts w:hint="eastAsia" w:ascii="方正楷体_GBK" w:hAnsi="宋体" w:eastAsia="方正楷体_GBK" w:cs="宋体"/>
          <w:bCs/>
          <w:kern w:val="0"/>
          <w:sz w:val="32"/>
          <w:szCs w:val="32"/>
        </w:rPr>
        <w:t>（三）重点绩效评价结果</w:t>
      </w:r>
    </w:p>
    <w:p w14:paraId="2A29988A">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本单位未委托第三方形式开展绩效自评。</w:t>
      </w:r>
    </w:p>
    <w:p w14:paraId="3927923B">
      <w:pPr>
        <w:widowControl/>
        <w:shd w:val="clear" w:color="auto" w:fill="FFFFFF"/>
        <w:spacing w:line="600" w:lineRule="exact"/>
        <w:ind w:firstLine="643" w:firstLineChars="200"/>
        <w:jc w:val="left"/>
        <w:rPr>
          <w:rFonts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六、专业名词解释</w:t>
      </w:r>
    </w:p>
    <w:p w14:paraId="6E942D89">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（一）财政拨款收入：</w:t>
      </w:r>
      <w:r>
        <w:rPr>
          <w:rFonts w:hint="eastAsia" w:ascii="方正仿宋_GBK" w:hAnsi="宋体" w:eastAsia="方正仿宋_GBK" w:cs="宋体"/>
          <w:kern w:val="0"/>
          <w:sz w:val="32"/>
          <w:szCs w:val="32"/>
        </w:rPr>
        <w:t>指本年度从本级财政部门取得的财政拨款，包括一般公共预算财政拨款和政府性基金预算财政拨款。</w:t>
      </w:r>
    </w:p>
    <w:p w14:paraId="4037C7F7">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（二）事业收入：</w:t>
      </w:r>
      <w:r>
        <w:rPr>
          <w:rFonts w:hint="eastAsia" w:ascii="方正仿宋_GBK" w:hAnsi="宋体" w:eastAsia="方正仿宋_GBK" w:cs="宋体"/>
          <w:kern w:val="0"/>
          <w:sz w:val="32"/>
          <w:szCs w:val="32"/>
        </w:rPr>
        <w:t>指事业单位开展专业业务活动及其辅助活动取得的现金流入；事业单位收到的财政专户实际核拨的教育收费等资金在此反映。</w:t>
      </w:r>
    </w:p>
    <w:p w14:paraId="72ED2289">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（三）经营收入：</w:t>
      </w:r>
      <w:r>
        <w:rPr>
          <w:rFonts w:hint="eastAsia" w:ascii="方正仿宋_GBK" w:hAnsi="宋体" w:eastAsia="方正仿宋_GBK" w:cs="宋体"/>
          <w:kern w:val="0"/>
          <w:sz w:val="32"/>
          <w:szCs w:val="32"/>
        </w:rPr>
        <w:t>指事业单位在专业业务活动及其辅助活动之外开展非独立核算经营活动取得的现金流入。</w:t>
      </w:r>
    </w:p>
    <w:p w14:paraId="5AD54372">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（四）其他收入：</w:t>
      </w:r>
      <w:r>
        <w:rPr>
          <w:rFonts w:hint="eastAsia" w:ascii="方正仿宋_GBK" w:hAnsi="宋体" w:eastAsia="方正仿宋_GBK" w:cs="宋体"/>
          <w:kern w:val="0"/>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110E12DD">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（五）使用非财政拨款结余</w:t>
      </w:r>
      <w:r>
        <w:rPr>
          <w:rFonts w:hint="eastAsia" w:ascii="方正仿宋_GBK" w:hAnsi="宋体" w:eastAsia="方正仿宋_GBK" w:cs="宋体"/>
          <w:bCs/>
          <w:kern w:val="0"/>
          <w:sz w:val="32"/>
          <w:szCs w:val="32"/>
        </w:rPr>
        <w:t>：</w:t>
      </w:r>
      <w:r>
        <w:rPr>
          <w:rFonts w:hint="eastAsia" w:ascii="方正仿宋_GBK" w:hAnsi="宋体" w:eastAsia="方正仿宋_GBK" w:cs="宋体"/>
          <w:kern w:val="0"/>
          <w:sz w:val="32"/>
          <w:szCs w:val="32"/>
        </w:rPr>
        <w:t>指单位在当年的“财政拨款收入”、“事业收入”、“经营收入”、“其他收入”等不足以安排当年支出的情况下，使用以前年度积累的非财政拨款结余弥补本年度收支缺口的资金。</w:t>
      </w:r>
    </w:p>
    <w:p w14:paraId="656CAE0F">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（六）年初结转和结余：</w:t>
      </w:r>
      <w:r>
        <w:rPr>
          <w:rFonts w:hint="eastAsia" w:ascii="方正仿宋_GBK" w:hAnsi="宋体" w:eastAsia="方正仿宋_GBK" w:cs="宋体"/>
          <w:kern w:val="0"/>
          <w:sz w:val="32"/>
          <w:szCs w:val="32"/>
        </w:rPr>
        <w:t>指单位上年结转本年使用的基本支出结转、项目支出结转和结余、经营结余。</w:t>
      </w:r>
    </w:p>
    <w:p w14:paraId="6A0FB54E">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（七）结余分配：</w:t>
      </w:r>
      <w:r>
        <w:rPr>
          <w:rFonts w:hint="eastAsia" w:ascii="方正仿宋_GBK" w:hAnsi="宋体" w:eastAsia="方正仿宋_GBK" w:cs="宋体"/>
          <w:kern w:val="0"/>
          <w:sz w:val="32"/>
          <w:szCs w:val="32"/>
        </w:rPr>
        <w:t>指单位按照国家有关规定，缴纳所得税、提取专用基金、转入非财政拨款结余等当年结余的分配情况。</w:t>
      </w:r>
    </w:p>
    <w:p w14:paraId="1B297FC6">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（八）年末结转和结余</w:t>
      </w:r>
      <w:r>
        <w:rPr>
          <w:rFonts w:hint="eastAsia" w:ascii="方正仿宋_GBK" w:hAnsi="宋体" w:eastAsia="方正仿宋_GBK" w:cs="宋体"/>
          <w:bCs/>
          <w:kern w:val="0"/>
          <w:sz w:val="32"/>
          <w:szCs w:val="32"/>
        </w:rPr>
        <w:t>：</w:t>
      </w:r>
      <w:r>
        <w:rPr>
          <w:rFonts w:hint="eastAsia" w:ascii="方正仿宋_GBK" w:hAnsi="宋体" w:eastAsia="方正仿宋_GBK" w:cs="宋体"/>
          <w:kern w:val="0"/>
          <w:sz w:val="32"/>
          <w:szCs w:val="32"/>
        </w:rPr>
        <w:t>指单位结转下年的基本支出结转、项目支出结转和结余、经营结余。</w:t>
      </w:r>
    </w:p>
    <w:p w14:paraId="21A8DB26">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（九）基本支出：</w:t>
      </w:r>
      <w:r>
        <w:rPr>
          <w:rFonts w:hint="eastAsia" w:ascii="方正仿宋_GBK" w:hAnsi="宋体" w:eastAsia="方正仿宋_GBK" w:cs="宋体"/>
          <w:kern w:val="0"/>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1BCDB1AD">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（十）项目支出：</w:t>
      </w:r>
      <w:r>
        <w:rPr>
          <w:rFonts w:hint="eastAsia" w:ascii="方正仿宋_GBK" w:hAnsi="宋体" w:eastAsia="方正仿宋_GBK" w:cs="宋体"/>
          <w:kern w:val="0"/>
          <w:sz w:val="32"/>
          <w:szCs w:val="32"/>
        </w:rPr>
        <w:t>指在基本支出之外为完成特定行政任务和事业发展目标所发生的支出。</w:t>
      </w:r>
    </w:p>
    <w:p w14:paraId="1A6E78AD">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（十一）经营支出：</w:t>
      </w:r>
      <w:r>
        <w:rPr>
          <w:rFonts w:hint="eastAsia" w:ascii="方正仿宋_GBK" w:hAnsi="宋体" w:eastAsia="方正仿宋_GBK" w:cs="宋体"/>
          <w:kern w:val="0"/>
          <w:sz w:val="32"/>
          <w:szCs w:val="32"/>
        </w:rPr>
        <w:t>指事业单位在专业业务活动及其辅助活动之外开展非独立核算经营活动发生的支出。</w:t>
      </w:r>
    </w:p>
    <w:p w14:paraId="1657DEEE">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（十二）“三公”经费：</w:t>
      </w:r>
      <w:r>
        <w:rPr>
          <w:rFonts w:hint="eastAsia" w:ascii="方正仿宋_GBK" w:hAnsi="宋体" w:eastAsia="方正仿宋_GBK" w:cs="宋体"/>
          <w:kern w:val="0"/>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075009FE">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（十三）机关运行经费：</w:t>
      </w:r>
      <w:r>
        <w:rPr>
          <w:rFonts w:hint="eastAsia" w:ascii="方正仿宋_GBK" w:hAnsi="宋体" w:eastAsia="方正仿宋_GBK" w:cs="宋体"/>
          <w:kern w:val="0"/>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14:paraId="18AE66C7">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（十四）工资福利支出（支出经济分类科目类级）：</w:t>
      </w:r>
      <w:r>
        <w:rPr>
          <w:rFonts w:hint="eastAsia" w:ascii="方正仿宋_GBK" w:hAnsi="宋体" w:eastAsia="方正仿宋_GBK" w:cs="宋体"/>
          <w:kern w:val="0"/>
          <w:sz w:val="32"/>
          <w:szCs w:val="32"/>
        </w:rPr>
        <w:t>反映单位开支的在职职工和编制外长期聘用人员的各类劳动报酬，以及为上述人员缴纳的各项社会保险费等。</w:t>
      </w:r>
    </w:p>
    <w:p w14:paraId="3E26120A">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（十五）商品和服务支出（支出经济分类科目类级）：</w:t>
      </w:r>
      <w:r>
        <w:rPr>
          <w:rFonts w:hint="eastAsia" w:ascii="方正仿宋_GBK" w:hAnsi="宋体" w:eastAsia="方正仿宋_GBK" w:cs="宋体"/>
          <w:kern w:val="0"/>
          <w:sz w:val="32"/>
          <w:szCs w:val="32"/>
        </w:rPr>
        <w:t>反映单位购买商品和服务的支出（不包括用于购置固定资产的支出、战略性和应急储备支出）。</w:t>
      </w:r>
    </w:p>
    <w:p w14:paraId="2F5DFBA5">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（十六）对个人和家庭的补助（支出经济分类科目类级）：</w:t>
      </w:r>
      <w:r>
        <w:rPr>
          <w:rFonts w:hint="eastAsia" w:ascii="方正仿宋_GBK" w:hAnsi="宋体" w:eastAsia="方正仿宋_GBK" w:cs="宋体"/>
          <w:kern w:val="0"/>
          <w:sz w:val="32"/>
          <w:szCs w:val="32"/>
        </w:rPr>
        <w:t>反映用于对个人和家庭的补助支出。</w:t>
      </w:r>
    </w:p>
    <w:p w14:paraId="05DE5D70">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楷体_GBK" w:hAnsi="宋体" w:eastAsia="方正楷体_GBK" w:cs="宋体"/>
          <w:bCs/>
          <w:kern w:val="0"/>
          <w:sz w:val="32"/>
          <w:szCs w:val="32"/>
        </w:rPr>
        <w:t>（十七）其他资本性支出（支出经济分类科目类级）：</w:t>
      </w:r>
      <w:r>
        <w:rPr>
          <w:rFonts w:hint="eastAsia" w:ascii="方正仿宋_GBK" w:hAnsi="宋体" w:eastAsia="方正仿宋_GBK" w:cs="宋体"/>
          <w:kern w:val="0"/>
          <w:sz w:val="32"/>
          <w:szCs w:val="32"/>
        </w:rPr>
        <w:t>反映非各级发展与改革部门集中安排的用于购置固定资产、战略性和应急性储备、土地和无形资产，以及构建基础设施、大型修缮和财政支持企业更新改造所发生的支出。</w:t>
      </w:r>
    </w:p>
    <w:p w14:paraId="0539A775">
      <w:pPr>
        <w:widowControl/>
        <w:shd w:val="clear" w:color="auto" w:fill="FFFFFF"/>
        <w:spacing w:line="600" w:lineRule="exact"/>
        <w:ind w:firstLine="643" w:firstLineChars="200"/>
        <w:jc w:val="left"/>
        <w:rPr>
          <w:rFonts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七、决算公开联系方式及信息反馈渠道</w:t>
      </w:r>
    </w:p>
    <w:p w14:paraId="11A11FBF">
      <w:pPr>
        <w:widowControl/>
        <w:shd w:val="clear" w:color="auto" w:fill="FFFFFF"/>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本单位决算公开信息反馈和联系方式：邓淳丹15730367510</w:t>
      </w:r>
    </w:p>
    <w:p w14:paraId="42FFACE8">
      <w:pPr>
        <w:widowControl/>
        <w:shd w:val="clear" w:color="auto" w:fill="FFFFFF"/>
        <w:spacing w:line="600" w:lineRule="exact"/>
        <w:ind w:firstLine="640" w:firstLineChars="200"/>
        <w:jc w:val="left"/>
        <w:rPr>
          <w:rFonts w:ascii="方正仿宋_GBK" w:hAnsi="宋体" w:eastAsia="方正仿宋_GBK" w:cs="宋体"/>
          <w:kern w:val="0"/>
          <w:sz w:val="32"/>
          <w:szCs w:val="32"/>
        </w:rPr>
      </w:pPr>
    </w:p>
    <w:tbl>
      <w:tblPr>
        <w:tblStyle w:val="5"/>
        <w:tblW w:w="8306" w:type="dxa"/>
        <w:tblCellSpacing w:w="0" w:type="dxa"/>
        <w:tblInd w:w="15" w:type="dxa"/>
        <w:tblLayout w:type="fixed"/>
        <w:tblCellMar>
          <w:top w:w="0" w:type="dxa"/>
          <w:left w:w="0" w:type="dxa"/>
          <w:bottom w:w="0" w:type="dxa"/>
          <w:right w:w="0" w:type="dxa"/>
        </w:tblCellMar>
      </w:tblPr>
      <w:tblGrid>
        <w:gridCol w:w="8306"/>
      </w:tblGrid>
      <w:tr w14:paraId="0B11BD48">
        <w:tblPrEx>
          <w:tblCellMar>
            <w:top w:w="0" w:type="dxa"/>
            <w:left w:w="0" w:type="dxa"/>
            <w:bottom w:w="0" w:type="dxa"/>
            <w:right w:w="0" w:type="dxa"/>
          </w:tblCellMar>
        </w:tblPrEx>
        <w:trPr>
          <w:trHeight w:val="240" w:hRule="atLeast"/>
          <w:tblCellSpacing w:w="0" w:type="dxa"/>
        </w:trPr>
        <w:tc>
          <w:tcPr>
            <w:tcW w:w="8306" w:type="dxa"/>
            <w:vAlign w:val="center"/>
          </w:tcPr>
          <w:p w14:paraId="21A436DE">
            <w:pPr>
              <w:widowControl/>
              <w:spacing w:line="600" w:lineRule="exact"/>
              <w:ind w:firstLine="360" w:firstLineChars="200"/>
              <w:jc w:val="center"/>
              <w:rPr>
                <w:rFonts w:ascii="宋体" w:hAnsi="宋体" w:eastAsia="宋体" w:cs="宋体"/>
                <w:kern w:val="0"/>
                <w:sz w:val="18"/>
                <w:szCs w:val="18"/>
              </w:rPr>
            </w:pPr>
          </w:p>
        </w:tc>
      </w:tr>
    </w:tbl>
    <w:p w14:paraId="0BE9EFBD">
      <w:pPr>
        <w:widowControl/>
        <w:shd w:val="clear" w:color="auto" w:fill="FFFFFF"/>
        <w:spacing w:line="600" w:lineRule="exact"/>
        <w:ind w:left="15" w:right="90" w:firstLine="360" w:firstLineChars="200"/>
        <w:jc w:val="left"/>
        <w:textAlignment w:val="center"/>
        <w:rPr>
          <w:rFonts w:ascii="宋体" w:hAnsi="宋体" w:eastAsia="宋体" w:cs="宋体"/>
          <w:vanish/>
          <w:kern w:val="0"/>
          <w:sz w:val="18"/>
          <w:szCs w:val="18"/>
        </w:rPr>
      </w:pPr>
    </w:p>
    <w:tbl>
      <w:tblPr>
        <w:tblStyle w:val="5"/>
        <w:tblW w:w="8306" w:type="dxa"/>
        <w:tblCellSpacing w:w="0" w:type="dxa"/>
        <w:tblInd w:w="15" w:type="dxa"/>
        <w:tblLayout w:type="fixed"/>
        <w:tblCellMar>
          <w:top w:w="0" w:type="dxa"/>
          <w:left w:w="0" w:type="dxa"/>
          <w:bottom w:w="0" w:type="dxa"/>
          <w:right w:w="0" w:type="dxa"/>
        </w:tblCellMar>
      </w:tblPr>
      <w:tblGrid>
        <w:gridCol w:w="8306"/>
      </w:tblGrid>
      <w:tr w14:paraId="52FF66BA">
        <w:tblPrEx>
          <w:tblCellMar>
            <w:top w:w="0" w:type="dxa"/>
            <w:left w:w="0" w:type="dxa"/>
            <w:bottom w:w="0" w:type="dxa"/>
            <w:right w:w="0" w:type="dxa"/>
          </w:tblCellMar>
        </w:tblPrEx>
        <w:trPr>
          <w:trHeight w:val="240" w:hRule="atLeast"/>
          <w:tblCellSpacing w:w="0" w:type="dxa"/>
        </w:trPr>
        <w:tc>
          <w:tcPr>
            <w:tcW w:w="8306" w:type="dxa"/>
            <w:vAlign w:val="center"/>
          </w:tcPr>
          <w:p w14:paraId="3666CE88">
            <w:pPr>
              <w:widowControl/>
              <w:jc w:val="center"/>
              <w:rPr>
                <w:rFonts w:ascii="宋体" w:hAnsi="宋体" w:eastAsia="宋体" w:cs="宋体"/>
                <w:kern w:val="0"/>
                <w:sz w:val="18"/>
                <w:szCs w:val="18"/>
              </w:rPr>
            </w:pPr>
          </w:p>
        </w:tc>
      </w:tr>
    </w:tbl>
    <w:p w14:paraId="236F8FA0">
      <w:pPr>
        <w:widowControl/>
        <w:shd w:val="clear" w:color="auto" w:fill="FFFFFF"/>
        <w:ind w:left="15" w:right="90"/>
        <w:jc w:val="left"/>
        <w:textAlignment w:val="center"/>
        <w:rPr>
          <w:rFonts w:ascii="宋体" w:hAnsi="宋体" w:eastAsia="宋体" w:cs="宋体"/>
          <w:vanish/>
          <w:kern w:val="0"/>
          <w:sz w:val="18"/>
          <w:szCs w:val="18"/>
        </w:rPr>
      </w:pPr>
    </w:p>
    <w:tbl>
      <w:tblPr>
        <w:tblStyle w:val="5"/>
        <w:tblW w:w="8306" w:type="dxa"/>
        <w:tblCellSpacing w:w="0" w:type="dxa"/>
        <w:tblInd w:w="15" w:type="dxa"/>
        <w:tblLayout w:type="fixed"/>
        <w:tblCellMar>
          <w:top w:w="0" w:type="dxa"/>
          <w:left w:w="0" w:type="dxa"/>
          <w:bottom w:w="0" w:type="dxa"/>
          <w:right w:w="0" w:type="dxa"/>
        </w:tblCellMar>
      </w:tblPr>
      <w:tblGrid>
        <w:gridCol w:w="8306"/>
      </w:tblGrid>
      <w:tr w14:paraId="653C3293">
        <w:tblPrEx>
          <w:tblCellMar>
            <w:top w:w="0" w:type="dxa"/>
            <w:left w:w="0" w:type="dxa"/>
            <w:bottom w:w="0" w:type="dxa"/>
            <w:right w:w="0" w:type="dxa"/>
          </w:tblCellMar>
        </w:tblPrEx>
        <w:trPr>
          <w:trHeight w:val="240" w:hRule="atLeast"/>
          <w:tblCellSpacing w:w="0" w:type="dxa"/>
        </w:trPr>
        <w:tc>
          <w:tcPr>
            <w:tcW w:w="8306" w:type="dxa"/>
            <w:vAlign w:val="center"/>
          </w:tcPr>
          <w:p w14:paraId="77594A04">
            <w:pPr>
              <w:widowControl/>
              <w:jc w:val="center"/>
              <w:rPr>
                <w:rFonts w:ascii="宋体" w:hAnsi="宋体" w:eastAsia="宋体" w:cs="宋体"/>
                <w:kern w:val="0"/>
                <w:sz w:val="18"/>
                <w:szCs w:val="18"/>
              </w:rPr>
            </w:pPr>
          </w:p>
        </w:tc>
      </w:tr>
    </w:tbl>
    <w:p w14:paraId="2555A872">
      <w:pPr>
        <w:widowControl/>
        <w:shd w:val="clear" w:color="auto" w:fill="FFFFFF"/>
        <w:ind w:left="15" w:right="90"/>
        <w:jc w:val="left"/>
        <w:textAlignment w:val="center"/>
        <w:rPr>
          <w:rFonts w:ascii="宋体" w:hAnsi="宋体" w:eastAsia="宋体" w:cs="宋体"/>
          <w:vanish/>
          <w:kern w:val="0"/>
          <w:sz w:val="18"/>
          <w:szCs w:val="18"/>
        </w:rPr>
      </w:pPr>
    </w:p>
    <w:tbl>
      <w:tblPr>
        <w:tblStyle w:val="5"/>
        <w:tblW w:w="8306" w:type="dxa"/>
        <w:tblCellSpacing w:w="0" w:type="dxa"/>
        <w:tblInd w:w="15" w:type="dxa"/>
        <w:tblLayout w:type="fixed"/>
        <w:tblCellMar>
          <w:top w:w="0" w:type="dxa"/>
          <w:left w:w="0" w:type="dxa"/>
          <w:bottom w:w="0" w:type="dxa"/>
          <w:right w:w="0" w:type="dxa"/>
        </w:tblCellMar>
      </w:tblPr>
      <w:tblGrid>
        <w:gridCol w:w="8306"/>
      </w:tblGrid>
      <w:tr w14:paraId="0664CB5B">
        <w:tblPrEx>
          <w:tblCellMar>
            <w:top w:w="0" w:type="dxa"/>
            <w:left w:w="0" w:type="dxa"/>
            <w:bottom w:w="0" w:type="dxa"/>
            <w:right w:w="0" w:type="dxa"/>
          </w:tblCellMar>
        </w:tblPrEx>
        <w:trPr>
          <w:trHeight w:val="240" w:hRule="atLeast"/>
          <w:tblCellSpacing w:w="0" w:type="dxa"/>
        </w:trPr>
        <w:tc>
          <w:tcPr>
            <w:tcW w:w="8306" w:type="dxa"/>
            <w:vAlign w:val="center"/>
          </w:tcPr>
          <w:p w14:paraId="051F35E1">
            <w:pPr>
              <w:widowControl/>
              <w:jc w:val="center"/>
              <w:rPr>
                <w:rFonts w:ascii="宋体" w:hAnsi="宋体" w:eastAsia="宋体" w:cs="宋体"/>
                <w:kern w:val="0"/>
                <w:sz w:val="18"/>
                <w:szCs w:val="18"/>
              </w:rPr>
            </w:pPr>
          </w:p>
        </w:tc>
      </w:tr>
    </w:tbl>
    <w:p w14:paraId="06752007">
      <w:pPr>
        <w:widowControl/>
        <w:shd w:val="clear" w:color="auto" w:fill="FFFFFF"/>
        <w:jc w:val="left"/>
        <w:textAlignment w:val="center"/>
        <w:rPr>
          <w:rFonts w:ascii="宋体" w:hAnsi="宋体" w:eastAsia="宋体" w:cs="宋体"/>
          <w:vanish/>
          <w:kern w:val="0"/>
          <w:sz w:val="24"/>
          <w:szCs w:val="24"/>
        </w:rPr>
      </w:pPr>
      <w:r>
        <w:rPr>
          <w:rFonts w:hint="eastAsia" w:ascii="宋体" w:hAnsi="宋体" w:eastAsia="宋体" w:cs="宋体"/>
          <w:vanish/>
          <w:kern w:val="0"/>
          <w:sz w:val="18"/>
          <w:szCs w:val="18"/>
        </w:rPr>
        <w:t>转到第</w:t>
      </w:r>
      <w:r>
        <w:rPr>
          <w:rFonts w:ascii="宋体" w:hAnsi="宋体" w:eastAsia="宋体" w:cs="宋体"/>
          <w:vanish/>
          <w:kern w:val="0"/>
          <w:sz w:val="18"/>
          <w:szCs w:val="18"/>
        </w:rPr>
        <w:object>
          <v:shape id="_x0000_i1025" o:spt="201" type="#_x0000_t201" style="height:18pt;width:72pt;" o:ole="t" filled="f" o:preferrelative="t" stroked="f" coordsize="21600,21600">
            <v:path/>
            <v:fill on="f" focussize="0,0"/>
            <v:stroke on="f"/>
            <v:imagedata r:id="rId5" o:title=""/>
            <o:lock v:ext="edit" aspectratio="t"/>
            <w10:wrap type="none"/>
            <w10:anchorlock/>
          </v:shape>
          <w:control r:id="rId4" w:name="HTMLText1" w:shapeid="_x0000_i1025"/>
        </w:object>
      </w:r>
      <w:r>
        <w:rPr>
          <w:rFonts w:hint="eastAsia" w:ascii="宋体" w:hAnsi="宋体" w:eastAsia="宋体" w:cs="宋体"/>
          <w:vanish/>
          <w:kern w:val="0"/>
          <w:sz w:val="18"/>
          <w:szCs w:val="18"/>
        </w:rPr>
        <w:t xml:space="preserve">页 </w:t>
      </w:r>
    </w:p>
    <w:tbl>
      <w:tblPr>
        <w:tblStyle w:val="5"/>
        <w:tblW w:w="8306" w:type="dxa"/>
        <w:tblCellSpacing w:w="0" w:type="dxa"/>
        <w:tblInd w:w="0" w:type="dxa"/>
        <w:tblLayout w:type="fixed"/>
        <w:tblCellMar>
          <w:top w:w="0" w:type="dxa"/>
          <w:left w:w="0" w:type="dxa"/>
          <w:bottom w:w="0" w:type="dxa"/>
          <w:right w:w="0" w:type="dxa"/>
        </w:tblCellMar>
      </w:tblPr>
      <w:tblGrid>
        <w:gridCol w:w="8306"/>
      </w:tblGrid>
      <w:tr w14:paraId="637C9C01">
        <w:tblPrEx>
          <w:tblCellMar>
            <w:top w:w="0" w:type="dxa"/>
            <w:left w:w="0" w:type="dxa"/>
            <w:bottom w:w="0" w:type="dxa"/>
            <w:right w:w="0" w:type="dxa"/>
          </w:tblCellMar>
        </w:tblPrEx>
        <w:trPr>
          <w:trHeight w:val="225" w:hRule="atLeast"/>
          <w:tblCellSpacing w:w="0" w:type="dxa"/>
        </w:trPr>
        <w:tc>
          <w:tcPr>
            <w:tcW w:w="8306" w:type="dxa"/>
            <w:tcBorders>
              <w:top w:val="nil"/>
              <w:left w:val="nil"/>
              <w:bottom w:val="nil"/>
              <w:right w:val="nil"/>
            </w:tcBorders>
            <w:shd w:val="clear" w:color="auto" w:fill="auto"/>
            <w:vAlign w:val="center"/>
          </w:tcPr>
          <w:p w14:paraId="620B7B89">
            <w:pPr>
              <w:widowControl/>
              <w:jc w:val="center"/>
              <w:rPr>
                <w:rFonts w:ascii="宋体" w:hAnsi="宋体" w:eastAsia="宋体" w:cs="宋体"/>
                <w:kern w:val="0"/>
                <w:sz w:val="18"/>
                <w:szCs w:val="18"/>
              </w:rPr>
            </w:pPr>
          </w:p>
        </w:tc>
      </w:tr>
    </w:tbl>
    <w:p w14:paraId="496C08FC">
      <w:pPr>
        <w:widowControl/>
        <w:shd w:val="clear" w:color="auto" w:fill="FFFFFF"/>
        <w:jc w:val="left"/>
        <w:textAlignment w:val="center"/>
        <w:rPr>
          <w:rFonts w:ascii="宋体" w:hAnsi="宋体" w:eastAsia="宋体" w:cs="宋体"/>
          <w:kern w:val="0"/>
          <w:sz w:val="24"/>
          <w:szCs w:val="24"/>
        </w:rPr>
      </w:pPr>
      <w:r>
        <w:rPr>
          <w:rFonts w:hint="eastAsia" w:ascii="宋体" w:hAnsi="宋体" w:eastAsia="宋体" w:cs="宋体"/>
          <w:vanish/>
          <w:kern w:val="0"/>
          <w:sz w:val="18"/>
          <w:szCs w:val="18"/>
        </w:rPr>
        <w:t xml:space="preserve">共1页    共1项 </w:t>
      </w:r>
    </w:p>
    <w:p w14:paraId="0D0571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ZmMzdmZjM2Y2U4ZjNkM2M2OWM1MjEyNjBmZDE0Y2YifQ=="/>
  </w:docVars>
  <w:rsids>
    <w:rsidRoot w:val="00B44EEE"/>
    <w:rsid w:val="0000020B"/>
    <w:rsid w:val="00044333"/>
    <w:rsid w:val="00061236"/>
    <w:rsid w:val="00072B56"/>
    <w:rsid w:val="001222E6"/>
    <w:rsid w:val="001F322F"/>
    <w:rsid w:val="002611FA"/>
    <w:rsid w:val="00346767"/>
    <w:rsid w:val="0035135D"/>
    <w:rsid w:val="003B1F5B"/>
    <w:rsid w:val="00406216"/>
    <w:rsid w:val="005804E0"/>
    <w:rsid w:val="006016D7"/>
    <w:rsid w:val="00631565"/>
    <w:rsid w:val="0066123C"/>
    <w:rsid w:val="00663CAD"/>
    <w:rsid w:val="007C51D8"/>
    <w:rsid w:val="00837A77"/>
    <w:rsid w:val="008C093C"/>
    <w:rsid w:val="00917E61"/>
    <w:rsid w:val="00941A46"/>
    <w:rsid w:val="00A91F29"/>
    <w:rsid w:val="00A94551"/>
    <w:rsid w:val="00AE535A"/>
    <w:rsid w:val="00B44EEE"/>
    <w:rsid w:val="00C6187C"/>
    <w:rsid w:val="00CA1C33"/>
    <w:rsid w:val="00D3050F"/>
    <w:rsid w:val="00D368D3"/>
    <w:rsid w:val="00DE2F57"/>
    <w:rsid w:val="00EB0736"/>
    <w:rsid w:val="00EC44D8"/>
    <w:rsid w:val="00EC7AB9"/>
    <w:rsid w:val="00FB1408"/>
    <w:rsid w:val="425B0868"/>
    <w:rsid w:val="48191F00"/>
    <w:rsid w:val="58764AA8"/>
    <w:rsid w:val="5A547363"/>
    <w:rsid w:val="5CE9411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3">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prev2"/>
    <w:basedOn w:val="6"/>
    <w:qFormat/>
    <w:uiPriority w:val="0"/>
  </w:style>
  <w:style w:type="character" w:customStyle="1" w:styleId="9">
    <w:name w:val="next2"/>
    <w:basedOn w:val="6"/>
    <w:qFormat/>
    <w:uiPriority w:val="0"/>
  </w:style>
  <w:style w:type="character" w:customStyle="1" w:styleId="10">
    <w:name w:val="last2"/>
    <w:basedOn w:val="6"/>
    <w:qFormat/>
    <w:uiPriority w:val="0"/>
  </w:style>
  <w:style w:type="character" w:customStyle="1" w:styleId="11">
    <w:name w:val="gopage"/>
    <w:basedOn w:val="6"/>
    <w:qFormat/>
    <w:uiPriority w:val="0"/>
  </w:style>
  <w:style w:type="character" w:customStyle="1" w:styleId="12">
    <w:name w:val="pagecount"/>
    <w:basedOn w:val="6"/>
    <w:qFormat/>
    <w:uiPriority w:val="0"/>
  </w:style>
  <w:style w:type="character" w:customStyle="1" w:styleId="13">
    <w:name w:val="itemcount"/>
    <w:basedOn w:val="6"/>
    <w:qFormat/>
    <w:uiPriority w:val="0"/>
  </w:style>
  <w:style w:type="character" w:customStyle="1" w:styleId="14">
    <w:name w:val="页眉 Char"/>
    <w:basedOn w:val="6"/>
    <w:link w:val="3"/>
    <w:qFormat/>
    <w:uiPriority w:val="99"/>
    <w:rPr>
      <w:sz w:val="18"/>
      <w:szCs w:val="18"/>
    </w:rPr>
  </w:style>
  <w:style w:type="character" w:customStyle="1" w:styleId="15">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control" Target="activeX/activeX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DCDCDCD-CDCD-CDCD-CDCD-CDCDCDCDCDC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B9E42-146F-4BD7-89DA-253EEB6D556E}">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4119</Words>
  <Characters>4633</Characters>
  <Lines>35</Lines>
  <Paragraphs>10</Paragraphs>
  <TotalTime>111</TotalTime>
  <ScaleCrop>false</ScaleCrop>
  <LinksUpToDate>false</LinksUpToDate>
  <CharactersWithSpaces>4685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2022-08-28T02:55:00Z</dcterms:created>
  <dc:creator>Administrator</dc:creator>
  <cp:lastModifiedBy>桂贝</cp:lastModifiedBy>
  <dcterms:modified xsi:type="dcterms:W3CDTF">2024-11-12T08:05:45Z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5496202E0C0F4809ACAD1B813A9B4C36</vt:lpwstr>
  </property>
</Properties>
</file>