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left="0" w:right="0"/>
        <w:jc w:val="center"/>
        <w:textAlignment w:val="auto"/>
        <w:rPr>
          <w:rFonts w:hint="eastAsia" w:ascii="方正小标宋_GBK" w:hAnsi="方正小标宋_GBK" w:eastAsia="方正小标宋_GBK" w:cs="方正小标宋_GBK"/>
          <w:sz w:val="44"/>
          <w:szCs w:val="44"/>
          <w:lang w:eastAsia="zh-CN" w:bidi="ar"/>
        </w:rPr>
      </w:pPr>
      <w:r>
        <w:rPr>
          <w:rFonts w:hint="eastAsia" w:ascii="方正小标宋_GBK" w:hAnsi="方正小标宋_GBK" w:eastAsia="方正小标宋_GBK" w:cs="方正小标宋_GBK"/>
          <w:sz w:val="44"/>
          <w:szCs w:val="44"/>
          <w:lang w:eastAsia="zh-CN" w:bidi="ar"/>
        </w:rPr>
        <w:t>重庆市綦江区通惠小学</w:t>
      </w: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left="0" w:right="0"/>
        <w:jc w:val="center"/>
        <w:textAlignment w:val="auto"/>
        <w:rPr>
          <w:rFonts w:hint="eastAsia" w:ascii="方正小标宋_GBK" w:hAnsi="方正小标宋_GBK" w:eastAsia="方正小标宋_GBK" w:cs="方正小标宋_GBK"/>
          <w:sz w:val="44"/>
          <w:szCs w:val="44"/>
          <w:lang w:eastAsia="zh-CN" w:bidi="ar"/>
        </w:rPr>
      </w:pPr>
      <w:r>
        <w:rPr>
          <w:rFonts w:hint="eastAsia" w:ascii="方正小标宋_GBK" w:hAnsi="方正小标宋_GBK" w:eastAsia="方正小标宋_GBK" w:cs="方正小标宋_GBK"/>
          <w:sz w:val="44"/>
          <w:szCs w:val="44"/>
          <w:lang w:eastAsia="zh-CN" w:bidi="ar"/>
        </w:rPr>
        <w:t>2020年度部门决算情况说明</w:t>
      </w:r>
    </w:p>
    <w:p>
      <w:pPr>
        <w:pStyle w:val="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atLeast"/>
        <w:ind w:left="0" w:right="0"/>
        <w:jc w:val="center"/>
        <w:textAlignment w:val="auto"/>
        <w:rPr>
          <w:rFonts w:hint="eastAsia" w:ascii="方正小标宋_GBK" w:hAnsi="方正小标宋_GBK" w:eastAsia="方正小标宋_GBK" w:cs="方正小标宋_GBK"/>
          <w:sz w:val="44"/>
          <w:szCs w:val="44"/>
          <w:lang w:eastAsia="zh-CN" w:bidi="ar"/>
        </w:rPr>
      </w:pPr>
    </w:p>
    <w:p>
      <w:pPr>
        <w:pStyle w:val="4"/>
        <w:keepNext w:val="0"/>
        <w:keepLines w:val="0"/>
        <w:pageBreakBefore w:val="0"/>
        <w:numPr>
          <w:ilvl w:val="0"/>
          <w:numId w:val="1"/>
        </w:numPr>
        <w:suppressLineNumbers w:val="0"/>
        <w:kinsoku/>
        <w:wordWrap/>
        <w:overflowPunct/>
        <w:topLinePunct w:val="0"/>
        <w:autoSpaceDE/>
        <w:autoSpaceDN/>
        <w:bidi w:val="0"/>
        <w:adjustRightInd/>
        <w:spacing w:before="0" w:beforeAutospacing="0" w:after="0" w:afterAutospacing="0" w:line="600" w:lineRule="atLeast"/>
        <w:ind w:left="0" w:right="0"/>
        <w:textAlignment w:val="auto"/>
        <w:rPr>
          <w:rStyle w:val="7"/>
          <w:rFonts w:hint="eastAsia" w:ascii="方正黑体_GBK" w:hAnsi="宋体" w:eastAsia="方正黑体_GBK" w:cs="宋体"/>
          <w:bCs w:val="0"/>
          <w:sz w:val="32"/>
          <w:szCs w:val="32"/>
          <w:lang w:eastAsia="zh-CN" w:bidi="ar"/>
        </w:rPr>
      </w:pPr>
      <w:r>
        <w:rPr>
          <w:rStyle w:val="7"/>
          <w:rFonts w:hint="eastAsia" w:ascii="方正黑体_GBK" w:hAnsi="宋体" w:eastAsia="方正黑体_GBK" w:cs="宋体"/>
          <w:bCs w:val="0"/>
          <w:sz w:val="32"/>
          <w:szCs w:val="32"/>
          <w:lang w:eastAsia="zh-CN" w:bidi="ar"/>
        </w:rPr>
        <w:t>部门基本情况</w:t>
      </w:r>
    </w:p>
    <w:p>
      <w:pPr>
        <w:pStyle w:val="4"/>
        <w:keepNext w:val="0"/>
        <w:keepLines w:val="0"/>
        <w:pageBreakBefore w:val="0"/>
        <w:numPr>
          <w:ilvl w:val="0"/>
          <w:numId w:val="0"/>
        </w:numPr>
        <w:suppressLineNumbers w:val="0"/>
        <w:kinsoku/>
        <w:wordWrap/>
        <w:overflowPunct/>
        <w:topLinePunct w:val="0"/>
        <w:autoSpaceDE/>
        <w:autoSpaceDN/>
        <w:bidi w:val="0"/>
        <w:adjustRightInd/>
        <w:spacing w:before="0" w:beforeAutospacing="0" w:after="0" w:afterAutospacing="0" w:line="600" w:lineRule="atLeast"/>
        <w:ind w:right="0" w:rightChars="0" w:firstLine="643" w:firstLineChars="200"/>
        <w:textAlignment w:val="auto"/>
        <w:rPr>
          <w:rStyle w:val="7"/>
          <w:rFonts w:hint="eastAsia" w:ascii="方正楷体_GBK" w:hAnsi="宋体" w:eastAsia="方正楷体_GBK" w:cs="宋体"/>
          <w:b w:val="0"/>
          <w:kern w:val="0"/>
          <w:sz w:val="32"/>
          <w:szCs w:val="32"/>
          <w:lang w:val="en-US" w:eastAsia="zh-CN" w:bidi="ar"/>
        </w:rPr>
      </w:pPr>
      <w:r>
        <w:rPr>
          <w:rStyle w:val="7"/>
          <w:rFonts w:hint="eastAsia" w:ascii="方正楷体_GBK" w:hAnsi="宋体" w:eastAsia="方正楷体_GBK" w:cs="宋体"/>
          <w:b/>
          <w:bCs w:val="0"/>
          <w:kern w:val="0"/>
          <w:sz w:val="32"/>
          <w:szCs w:val="32"/>
          <w:lang w:val="en-US" w:eastAsia="zh-CN" w:bidi="ar"/>
        </w:rPr>
        <w:t>（一）职能职责</w:t>
      </w:r>
    </w:p>
    <w:p>
      <w:pPr>
        <w:keepNext w:val="0"/>
        <w:keepLines w:val="0"/>
        <w:pageBreakBefore w:val="0"/>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实施小学义务教育，促进基础教育发展，小学学历教育（相关社会服务）。</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Style w:val="7"/>
          <w:rFonts w:hint="eastAsia" w:ascii="方正楷体_GBK" w:hAnsi="宋体" w:eastAsia="方正楷体_GBK" w:cs="宋体"/>
          <w:b/>
          <w:bCs w:val="0"/>
          <w:kern w:val="0"/>
          <w:sz w:val="32"/>
          <w:szCs w:val="32"/>
          <w:lang w:val="en-US" w:eastAsia="zh-CN" w:bidi="ar"/>
        </w:rPr>
      </w:pPr>
      <w:r>
        <w:rPr>
          <w:rFonts w:hint="eastAsia"/>
          <w:sz w:val="27"/>
          <w:szCs w:val="27"/>
        </w:rPr>
        <w:t xml:space="preserve">  </w:t>
      </w:r>
      <w:r>
        <w:rPr>
          <w:rFonts w:hint="eastAsia"/>
          <w:sz w:val="27"/>
          <w:szCs w:val="27"/>
          <w:lang w:val="en-US" w:eastAsia="zh-CN"/>
        </w:rPr>
        <w:t xml:space="preserve"> </w:t>
      </w:r>
      <w:r>
        <w:rPr>
          <w:rStyle w:val="7"/>
          <w:rFonts w:hint="eastAsia" w:ascii="方正楷体_GBK" w:hAnsi="宋体" w:eastAsia="方正楷体_GBK" w:cs="宋体"/>
          <w:b/>
          <w:bCs w:val="0"/>
          <w:kern w:val="0"/>
          <w:sz w:val="32"/>
          <w:szCs w:val="32"/>
          <w:lang w:val="en-US" w:eastAsia="zh-CN" w:bidi="ar"/>
        </w:rPr>
        <w:t>（二）机构设置</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Theme="minorHAnsi" w:hAnsiTheme="minorHAnsi" w:eastAsiaTheme="minorEastAsia" w:cstheme="minorBidi"/>
          <w:kern w:val="2"/>
          <w:sz w:val="27"/>
          <w:szCs w:val="27"/>
          <w:lang w:val="en-US" w:eastAsia="zh-CN" w:bidi="ar-SA"/>
        </w:rPr>
      </w:pPr>
      <w:r>
        <w:rPr>
          <w:rFonts w:hint="eastAsia" w:asciiTheme="minorHAnsi" w:hAnsiTheme="minorHAnsi" w:eastAsiaTheme="minorEastAsia" w:cstheme="minorBidi"/>
          <w:kern w:val="2"/>
          <w:sz w:val="27"/>
          <w:szCs w:val="27"/>
          <w:lang w:val="en-US" w:eastAsia="zh-CN" w:bidi="ar-SA"/>
        </w:rPr>
        <w:t xml:space="preserve">    </w:t>
      </w:r>
      <w:r>
        <w:rPr>
          <w:rFonts w:hint="eastAsia" w:ascii="方正仿宋_GBK" w:hAnsi="方正仿宋_GBK" w:eastAsia="方正仿宋_GBK" w:cs="方正仿宋_GBK"/>
          <w:kern w:val="0"/>
          <w:sz w:val="32"/>
          <w:szCs w:val="32"/>
          <w:lang w:val="en-US" w:eastAsia="zh-CN" w:bidi="ar"/>
        </w:rPr>
        <w:t>独立核算机构为1，当年无变动。</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Style w:val="7"/>
          <w:rFonts w:hint="eastAsia" w:ascii="方正楷体_GBK" w:hAnsi="宋体" w:eastAsia="方正楷体_GBK" w:cs="宋体"/>
          <w:b/>
          <w:bCs w:val="0"/>
          <w:kern w:val="0"/>
          <w:sz w:val="32"/>
          <w:szCs w:val="32"/>
          <w:lang w:val="en-US" w:eastAsia="zh-CN" w:bidi="ar"/>
        </w:rPr>
      </w:pPr>
      <w:r>
        <w:rPr>
          <w:rStyle w:val="7"/>
          <w:rFonts w:hint="eastAsia" w:ascii="方正楷体_GBK" w:hAnsi="宋体" w:eastAsia="方正楷体_GBK" w:cs="宋体"/>
          <w:b/>
          <w:bCs w:val="0"/>
          <w:kern w:val="0"/>
          <w:sz w:val="32"/>
          <w:szCs w:val="32"/>
          <w:lang w:val="en-US" w:eastAsia="zh-CN" w:bidi="ar"/>
        </w:rPr>
        <w:t>（三）单位构成</w:t>
      </w:r>
    </w:p>
    <w:p>
      <w:pPr>
        <w:keepNext w:val="0"/>
        <w:keepLines w:val="0"/>
        <w:pageBreakBefore w:val="0"/>
        <w:kinsoku/>
        <w:wordWrap/>
        <w:overflowPunct/>
        <w:topLinePunct w:val="0"/>
        <w:autoSpaceDE/>
        <w:autoSpaceDN/>
        <w:bidi w:val="0"/>
        <w:adjustRightInd/>
        <w:snapToGrid w:val="0"/>
        <w:spacing w:beforeAutospacing="0" w:afterAutospacing="0" w:line="600" w:lineRule="atLeast"/>
        <w:ind w:firstLine="640" w:firstLineChars="200"/>
        <w:textAlignment w:val="auto"/>
        <w:rPr>
          <w:rFonts w:hint="default"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人员情况：上年教师75人，本年84人，上年学生1400人，今年1420人，变动原因是教委统筹各教学点人数。本单位无下级预算单位。</w:t>
      </w:r>
    </w:p>
    <w:p>
      <w:pPr>
        <w:pStyle w:val="4"/>
        <w:keepNext w:val="0"/>
        <w:keepLines w:val="0"/>
        <w:pageBreakBefore w:val="0"/>
        <w:numPr>
          <w:ilvl w:val="0"/>
          <w:numId w:val="2"/>
        </w:numPr>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楷体_GBK" w:hAnsi="宋体" w:eastAsia="方正楷体_GBK" w:cs="宋体"/>
          <w:bCs w:val="0"/>
          <w:sz w:val="32"/>
          <w:szCs w:val="32"/>
          <w:lang w:eastAsia="zh-CN"/>
        </w:rPr>
      </w:pPr>
      <w:r>
        <w:rPr>
          <w:rStyle w:val="7"/>
          <w:rFonts w:hint="eastAsia" w:ascii="方正黑体_GBK" w:hAnsi="宋体" w:eastAsia="方正黑体_GBK" w:cs="宋体"/>
          <w:bCs w:val="0"/>
          <w:sz w:val="32"/>
          <w:szCs w:val="32"/>
          <w:lang w:eastAsia="zh-CN" w:bidi="ar"/>
        </w:rPr>
        <w:t>部门决算情况说明</w:t>
      </w:r>
    </w:p>
    <w:p>
      <w:pPr>
        <w:pStyle w:val="4"/>
        <w:keepNext w:val="0"/>
        <w:keepLines w:val="0"/>
        <w:pageBreakBefore w:val="0"/>
        <w:numPr>
          <w:ilvl w:val="0"/>
          <w:numId w:val="0"/>
        </w:numPr>
        <w:suppressLineNumbers w:val="0"/>
        <w:kinsoku/>
        <w:wordWrap/>
        <w:overflowPunct/>
        <w:topLinePunct w:val="0"/>
        <w:autoSpaceDE/>
        <w:autoSpaceDN/>
        <w:bidi w:val="0"/>
        <w:adjustRightInd/>
        <w:spacing w:before="0" w:beforeAutospacing="0" w:after="0" w:afterAutospacing="0" w:line="600" w:lineRule="atLeast"/>
        <w:ind w:right="0" w:rightChars="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（一）收入支出决算总体情况说明</w:t>
      </w:r>
    </w:p>
    <w:p>
      <w:pPr>
        <w:keepNext w:val="0"/>
        <w:keepLines w:val="0"/>
        <w:pageBreakBefore w:val="0"/>
        <w:kinsoku/>
        <w:wordWrap/>
        <w:overflowPunct/>
        <w:topLinePunct w:val="0"/>
        <w:autoSpaceDE/>
        <w:autoSpaceDN/>
        <w:bidi w:val="0"/>
        <w:adjustRightInd/>
        <w:spacing w:beforeAutospacing="0" w:afterAutospacing="0" w:line="600" w:lineRule="atLeast"/>
        <w:ind w:firstLine="640" w:firstLineChars="200"/>
        <w:textAlignment w:val="auto"/>
        <w:rPr>
          <w:rFonts w:hint="eastAsia"/>
          <w:sz w:val="27"/>
          <w:szCs w:val="27"/>
        </w:rPr>
      </w:pPr>
      <w:r>
        <w:rPr>
          <w:rFonts w:hint="eastAsia" w:ascii="方正仿宋_GBK" w:hAnsi="方正仿宋_GBK" w:eastAsia="方正仿宋_GBK" w:cs="方正仿宋_GBK"/>
          <w:kern w:val="0"/>
          <w:sz w:val="32"/>
          <w:szCs w:val="32"/>
          <w:lang w:val="en-US" w:eastAsia="zh-CN" w:bidi="ar"/>
        </w:rPr>
        <w:t>1.总体情况。2020年度收入总计1,987.78万元，支出总计1,987.78万元。收支较上年决算数 增加371.83万元、 增长 23%，主要原因是师生增加导致人员经费和日常公用经费增加。</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left="0" w:firstLine="640" w:firstLineChars="200"/>
        <w:textAlignment w:val="auto"/>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lang w:val="en-US"/>
        </w:rPr>
        <w:t>收入情况。2</w:t>
      </w:r>
      <w:r>
        <w:rPr>
          <w:rFonts w:hint="eastAsia" w:ascii="方正仿宋_GBK" w:hAnsi="方正仿宋_GBK" w:eastAsia="方正仿宋_GBK" w:cs="方正仿宋_GBK"/>
          <w:sz w:val="32"/>
          <w:szCs w:val="32"/>
          <w:lang w:val="en-US" w:eastAsia="zh-CN"/>
        </w:rPr>
        <w:t>020年度收入合计1,636.91万元，较上年决算数增加200.63万元，增长14%，主要原因是师生增加导致人员经费和日常公用经费增加。其中：财政拨款收入1,584.86万元，占96.8%；事业收入52.05万元，占3.2%；经营收入0.00万元，占0%；其他收入0.00万元，占0%。此外，使用非财政拨款结余0.00万元，年初结转和结余350.87万元。</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left="0" w:firstLine="640" w:firstLineChars="200"/>
        <w:textAlignment w:val="auto"/>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sz w:val="32"/>
          <w:szCs w:val="32"/>
          <w:lang w:val="en-US"/>
        </w:rPr>
        <w:t>3.支出情况。2020年度支出合计1,921.46万元，较上年决算数增加532.31万元，增长38.3%，主要原因是师生增加导致各项支出增加。其中：基本支出 1,675.93万元，占87.2%；项目支出245.53万元，占12.8%；经营支出0.00万元，占0%。此外，结余分配0.00万元。</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4.结转结余情况。2020年度年末结转和结余66.31万元，较上年决算数减少160.49万元，下降70.8%，主要原因是师生增加导致人员经费和日常公用经费增加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（二）财政拨款收入支出决算总体情况说明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2020年度财政拨款收、支总计1,935.73万元。与2019年相比，财政拨款收、支总计各增加400.52万元，增长26.1%。主要原因是师生增加导致人员经费和日常公用经费增加。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（三）一般公共预算财政拨款支出决算情况说明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1.收入情况。2020年度一般公共预算财政拨款收入1,584.86万元，较上年决算数增加229.32万元，增长16.9%。主要原因是师生增加导致人员经费和日常公用经费增加。较年初预算数 增加145.74万元，增长10.1%。主要原因是师生增加导致人员经费和日常公用经费增加。此外，年初财政拨款结转和结余350.87万元。</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2.支出情况。2020年度一般公共预算财政拨款支出1,869.41万元，较上年决算数增加551.00万元，增长41.8%。主要原因是师生增加导致各项支出增加。较年初预算数 增加213.49万 元，增长12.9%。主要原因是师生增加导致各项支出增加。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3.结转结余情况。2020年度年末一般公共预算财政拨款结转和结余66.31万元，较上年决算数减少150.49万元，下降69.4%，主要原因是师生增加导致各项支出增加。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4.比较情况。本部门2020年度一般公共预算财政拨款支出主要用于以下几个方面：</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（1）教育支出1,363.69万元，占72.9%，较年初预算数增加130.56万 元，增长10.6%，主要原因是师生增加导致各项支出增加。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（2）社会保障与就业支出320.25万元，占17.1%，较年初预算数增加78.08万元，增长32.2%，主要原因是师生增加导致各项支出增加。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（3）卫生健康支出87.13万元，占4.7%，较年初预算数增加2.14万元，增长2.5%，主要原因是师生增加导致各项支出增加。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（4）住房保障支出98.35万元，占5.3%，较年初预算数增加2.71万元，增长2.8%，主要原因是师生增加导致各项支出增加。</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（四）一般公共预算财政拨款基本支出决算情况说明</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540" w:firstLineChars="200"/>
        <w:textAlignment w:val="auto"/>
        <w:rPr>
          <w:rFonts w:hint="eastAsia" w:ascii="方正仿宋_GBK" w:hAnsi="方正仿宋_GBK" w:eastAsia="方正仿宋_GBK" w:cs="方正仿宋_GBK"/>
          <w:kern w:val="0"/>
          <w:sz w:val="32"/>
          <w:szCs w:val="32"/>
          <w:lang w:val="en-US" w:eastAsia="zh-CN" w:bidi="ar"/>
        </w:rPr>
      </w:pPr>
      <w:r>
        <w:rPr>
          <w:rFonts w:hint="eastAsia"/>
          <w:sz w:val="27"/>
          <w:szCs w:val="27"/>
        </w:rPr>
        <w:t xml:space="preserve"> </w:t>
      </w:r>
      <w:r>
        <w:rPr>
          <w:rFonts w:hint="eastAsia" w:ascii="方正仿宋_GBK" w:hAnsi="方正仿宋_GBK" w:eastAsia="方正仿宋_GBK" w:cs="方正仿宋_GBK"/>
          <w:kern w:val="0"/>
          <w:sz w:val="32"/>
          <w:szCs w:val="32"/>
          <w:lang w:val="en-US" w:eastAsia="zh-CN" w:bidi="ar"/>
        </w:rPr>
        <w:t>2020年度一般公共财政拨款基本支出1,675.93万元。其中：人员经费1,532.24万元，较上年决算数增加374.57万 元，增长32.4%，主要原因是师生增加导致人员经费和日常公用经费增加。人员经费用途主要包括师生的人员经费和日常公用经费。公用经费143.69万元，较上年决算数增加40.82万元，增长39.7%，主要原因是师生增加导致人员经费和日常公用经费增加。公用经费用途主要包括师生的人员经费和日常公用经费。</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（五）政府性基金预算收支决算情况说明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    本部门2020年度无政府性基金预算财政拨款收支。</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（六）国有资本经营预算财政拨款</w:t>
      </w:r>
      <w:r>
        <w:rPr>
          <w:rStyle w:val="7"/>
          <w:rFonts w:hint="eastAsia" w:ascii="方正楷体_GBK" w:eastAsia="方正楷体_GBK" w:cs="宋体"/>
          <w:bCs w:val="0"/>
          <w:sz w:val="32"/>
          <w:szCs w:val="32"/>
          <w:lang w:eastAsia="zh-CN"/>
        </w:rPr>
        <w:t>支出</w:t>
      </w:r>
      <w:r>
        <w:rPr>
          <w:rStyle w:val="7"/>
          <w:rFonts w:hint="eastAsia" w:ascii="方正楷体_GBK" w:hAnsi="宋体" w:eastAsia="方正楷体_GBK" w:cs="宋体"/>
          <w:bCs w:val="0"/>
          <w:sz w:val="32"/>
          <w:szCs w:val="32"/>
          <w:lang w:eastAsia="zh-CN"/>
        </w:rPr>
        <w:t>决算情况说明。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sz w:val="27"/>
          <w:szCs w:val="27"/>
        </w:rPr>
      </w:pPr>
      <w:r>
        <w:rPr>
          <w:rFonts w:hint="eastAsia"/>
          <w:sz w:val="27"/>
          <w:szCs w:val="27"/>
        </w:rPr>
        <w:t> </w:t>
      </w:r>
      <w:r>
        <w:rPr>
          <w:rFonts w:hint="eastAsia"/>
          <w:sz w:val="27"/>
          <w:szCs w:val="27"/>
          <w:lang w:val="en-US" w:eastAsia="zh-CN"/>
        </w:rPr>
        <w:t xml:space="preserve">  </w:t>
      </w:r>
      <w:r>
        <w:rPr>
          <w:rFonts w:hint="eastAsia" w:ascii="方正仿宋_GBK" w:hAnsi="方正仿宋_GBK" w:eastAsia="方正仿宋_GBK" w:cs="方正仿宋_GBK"/>
          <w:kern w:val="0"/>
          <w:sz w:val="32"/>
          <w:szCs w:val="32"/>
          <w:lang w:val="en-US" w:eastAsia="zh-CN" w:bidi="ar"/>
        </w:rPr>
        <w:t>本部门2020年度无国有资本经营预算财政拨款支出。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pP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黑体_GBK" w:hAnsi="宋体" w:eastAsia="方正黑体_GBK" w:cs="宋体"/>
          <w:bCs w:val="0"/>
          <w:sz w:val="32"/>
          <w:szCs w:val="32"/>
          <w:lang w:eastAsia="zh-CN" w:bidi="ar"/>
        </w:rPr>
      </w:pPr>
      <w:r>
        <w:rPr>
          <w:rStyle w:val="7"/>
          <w:rFonts w:hint="eastAsia" w:ascii="方正黑体_GBK" w:eastAsia="方正黑体_GBK" w:cs="宋体"/>
          <w:bCs w:val="0"/>
          <w:sz w:val="32"/>
          <w:szCs w:val="32"/>
          <w:lang w:val="en-US" w:eastAsia="zh-CN" w:bidi="ar"/>
        </w:rPr>
        <w:t>三、</w:t>
      </w:r>
      <w:r>
        <w:rPr>
          <w:rStyle w:val="7"/>
          <w:rFonts w:hint="eastAsia" w:ascii="方正黑体_GBK" w:hAnsi="宋体" w:eastAsia="方正黑体_GBK" w:cs="宋体"/>
          <w:bCs w:val="0"/>
          <w:sz w:val="32"/>
          <w:szCs w:val="32"/>
          <w:lang w:eastAsia="zh-CN" w:bidi="ar"/>
        </w:rPr>
        <w:t>“三公”经费情况说明</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left="0" w:firstLine="640" w:firstLineChars="200"/>
        <w:textAlignment w:val="auto"/>
      </w:pPr>
      <w:r>
        <w:rPr>
          <w:rFonts w:hint="eastAsia" w:ascii="方正仿宋_GBK" w:hAnsi="方正仿宋_GBK" w:eastAsia="方正仿宋_GBK" w:cs="方正仿宋_GBK"/>
          <w:sz w:val="32"/>
          <w:szCs w:val="32"/>
          <w:lang w:val="en-US"/>
        </w:rPr>
        <w:t>2020</w:t>
      </w:r>
      <w:r>
        <w:rPr>
          <w:rFonts w:hint="eastAsia" w:ascii="方正仿宋_GBK" w:hAnsi="方正仿宋_GBK" w:eastAsia="方正仿宋_GBK" w:cs="方正仿宋_GBK"/>
          <w:sz w:val="32"/>
          <w:szCs w:val="32"/>
          <w:lang w:eastAsia="zh-CN"/>
        </w:rPr>
        <w:t>年度“三公”经费支出共计</w:t>
      </w:r>
      <w:r>
        <w:rPr>
          <w:rFonts w:hint="eastAsia" w:ascii="方正仿宋_GBK" w:hAnsi="方正仿宋_GBK" w:eastAsia="方正仿宋_GBK" w:cs="方正仿宋_GBK"/>
          <w:sz w:val="32"/>
          <w:szCs w:val="32"/>
          <w:lang w:val="en-US"/>
        </w:rPr>
        <w:t>0.00</w:t>
      </w:r>
      <w:r>
        <w:rPr>
          <w:rFonts w:hint="eastAsia" w:ascii="方正仿宋_GBK" w:hAnsi="方正仿宋_GBK" w:eastAsia="方正仿宋_GBK" w:cs="方正仿宋_GBK"/>
          <w:sz w:val="32"/>
          <w:szCs w:val="32"/>
          <w:lang w:eastAsia="zh-CN"/>
        </w:rPr>
        <w:t>万元，较年初预算数增加</w:t>
      </w:r>
      <w:r>
        <w:rPr>
          <w:rFonts w:hint="eastAsia" w:ascii="方正仿宋_GBK" w:hAnsi="方正仿宋_GBK" w:eastAsia="方正仿宋_GBK" w:cs="方正仿宋_GBK"/>
          <w:sz w:val="32"/>
          <w:szCs w:val="32"/>
          <w:lang w:val="en-US"/>
        </w:rPr>
        <w:t>0.00</w:t>
      </w:r>
      <w:r>
        <w:rPr>
          <w:rFonts w:hint="eastAsia" w:ascii="方正仿宋_GBK" w:hAnsi="方正仿宋_GBK" w:eastAsia="方正仿宋_GBK" w:cs="方正仿宋_GBK"/>
          <w:sz w:val="32"/>
          <w:szCs w:val="32"/>
          <w:lang w:eastAsia="zh-CN"/>
        </w:rPr>
        <w:t>万元，增长</w:t>
      </w:r>
      <w:r>
        <w:rPr>
          <w:rFonts w:hint="eastAsia" w:ascii="方正仿宋_GBK" w:hAnsi="方正仿宋_GBK" w:eastAsia="方正仿宋_GBK" w:cs="方正仿宋_GBK"/>
          <w:sz w:val="32"/>
          <w:szCs w:val="32"/>
          <w:lang w:val="en-US"/>
        </w:rPr>
        <w:t>%</w:t>
      </w:r>
      <w:r>
        <w:rPr>
          <w:rFonts w:hint="eastAsia" w:ascii="方正仿宋_GBK" w:hAnsi="方正仿宋_GBK" w:eastAsia="方正仿宋_GBK" w:cs="方正仿宋_GBK"/>
          <w:sz w:val="32"/>
          <w:szCs w:val="32"/>
          <w:lang w:eastAsia="zh-CN"/>
        </w:rPr>
        <w:t>，主要原因是本单位</w:t>
      </w:r>
      <w:r>
        <w:rPr>
          <w:rFonts w:hint="eastAsia" w:ascii="方正仿宋_GBK" w:hAnsi="方正仿宋_GBK" w:eastAsia="方正仿宋_GBK" w:cs="方正仿宋_GBK"/>
          <w:sz w:val="32"/>
          <w:szCs w:val="32"/>
          <w:lang w:val="en-US"/>
        </w:rPr>
        <w:t>2020</w:t>
      </w:r>
      <w:r>
        <w:rPr>
          <w:rFonts w:hint="eastAsia" w:ascii="方正仿宋_GBK" w:hAnsi="方正仿宋_GBK" w:eastAsia="方正仿宋_GBK" w:cs="方正仿宋_GBK"/>
          <w:sz w:val="32"/>
          <w:szCs w:val="32"/>
          <w:lang w:eastAsia="zh-CN"/>
        </w:rPr>
        <w:t>年度未发生“三公”经费支出 。较上年支出数增加</w:t>
      </w:r>
      <w:r>
        <w:rPr>
          <w:rFonts w:hint="eastAsia" w:ascii="方正仿宋_GBK" w:hAnsi="方正仿宋_GBK" w:eastAsia="方正仿宋_GBK" w:cs="方正仿宋_GBK"/>
          <w:sz w:val="32"/>
          <w:szCs w:val="32"/>
          <w:lang w:val="en-US"/>
        </w:rPr>
        <w:t>0.00</w:t>
      </w:r>
      <w:r>
        <w:rPr>
          <w:rFonts w:hint="eastAsia" w:ascii="方正仿宋_GBK" w:hAnsi="方正仿宋_GBK" w:eastAsia="方正仿宋_GBK" w:cs="方正仿宋_GBK"/>
          <w:sz w:val="32"/>
          <w:szCs w:val="32"/>
          <w:lang w:eastAsia="zh-CN"/>
        </w:rPr>
        <w:t>万 元，增长</w:t>
      </w:r>
      <w:r>
        <w:rPr>
          <w:rFonts w:hint="eastAsia" w:ascii="方正仿宋_GBK" w:hAnsi="方正仿宋_GBK" w:eastAsia="方正仿宋_GBK" w:cs="方正仿宋_GBK"/>
          <w:sz w:val="32"/>
          <w:szCs w:val="32"/>
          <w:lang w:val="en-US"/>
        </w:rPr>
        <w:t>%</w:t>
      </w:r>
      <w:r>
        <w:rPr>
          <w:rFonts w:hint="eastAsia" w:ascii="方正仿宋_GBK" w:hAnsi="方正仿宋_GBK" w:eastAsia="方正仿宋_GBK" w:cs="方正仿宋_GBK"/>
          <w:sz w:val="32"/>
          <w:szCs w:val="32"/>
          <w:lang w:eastAsia="zh-CN"/>
        </w:rPr>
        <w:t>，主要原因是本单位</w:t>
      </w:r>
      <w:r>
        <w:rPr>
          <w:rFonts w:hint="eastAsia" w:ascii="方正仿宋_GBK" w:hAnsi="方正仿宋_GBK" w:eastAsia="方正仿宋_GBK" w:cs="方正仿宋_GBK"/>
          <w:sz w:val="32"/>
          <w:szCs w:val="32"/>
          <w:lang w:val="en-US"/>
        </w:rPr>
        <w:t>2020</w:t>
      </w:r>
      <w:r>
        <w:rPr>
          <w:rFonts w:hint="eastAsia" w:ascii="方正仿宋_GBK" w:hAnsi="方正仿宋_GBK" w:eastAsia="方正仿宋_GBK" w:cs="方正仿宋_GBK"/>
          <w:sz w:val="32"/>
          <w:szCs w:val="32"/>
          <w:lang w:eastAsia="zh-CN"/>
        </w:rPr>
        <w:t>年度未发生“三公”经费支出。</w:t>
      </w: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黑体_GBK" w:hAnsi="Times New Roman" w:eastAsia="方正黑体_GBK" w:cs="宋体"/>
          <w:bCs w:val="0"/>
          <w:sz w:val="32"/>
          <w:szCs w:val="32"/>
          <w:lang w:val="en-US" w:eastAsia="zh-CN" w:bidi="ar"/>
        </w:rPr>
      </w:pPr>
      <w:r>
        <w:rPr>
          <w:rStyle w:val="7"/>
          <w:rFonts w:hint="eastAsia" w:ascii="方正黑体_GBK" w:hAnsi="Times New Roman" w:eastAsia="方正黑体_GBK" w:cs="宋体"/>
          <w:bCs w:val="0"/>
          <w:sz w:val="32"/>
          <w:szCs w:val="32"/>
          <w:lang w:val="en-US" w:eastAsia="zh-CN" w:bidi="ar"/>
        </w:rPr>
        <w:t>四、其他需要说明的事项</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（一）机关运行经费情况说明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本年度会议费支出0.26万元，较上年决算数减少1.74万元，下降87%，主要原因是因疫情形势严峻，导致会议次数骤减。本年度培训费支出 11.73万元，较上年决算数增加2.14万元，增长22.3%，主要原因是师生增加导致培训费增加。</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（二）国有资产占用情况说明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因我校并不满足配备公车的条件，所以我单位并未配置公车。</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firstLine="643" w:firstLineChars="200"/>
        <w:textAlignment w:val="auto"/>
        <w:rPr>
          <w:rStyle w:val="7"/>
          <w:rFonts w:hint="eastAsia" w:ascii="方正楷体_GBK" w:hAnsi="宋体" w:eastAsia="方正楷体_GBK" w:cs="宋体"/>
          <w:bCs w:val="0"/>
          <w:sz w:val="32"/>
          <w:szCs w:val="32"/>
          <w:lang w:eastAsia="zh-CN"/>
        </w:rPr>
      </w:pPr>
      <w:r>
        <w:rPr>
          <w:rStyle w:val="7"/>
          <w:rFonts w:hint="eastAsia" w:ascii="方正楷体_GBK" w:hAnsi="宋体" w:eastAsia="方正楷体_GBK" w:cs="宋体"/>
          <w:bCs w:val="0"/>
          <w:sz w:val="32"/>
          <w:szCs w:val="32"/>
          <w:lang w:eastAsia="zh-CN"/>
        </w:rPr>
        <w:t>（三）政府采购支出情况说明</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2020年度本部门政府采购支出总额6.20万元，其中：政府采购货物支出6.20万元、政府采购工程支出0.00万元、政府采购服务支出0.00万元。授予中小企业合同金额6.20万元，占政府采购支出总额的100%，其中：授予小微企业合同金额 6.20万元，占政府采购支出总额的100%。主要用于采购教室桌椅以及办公室桌椅。</w:t>
      </w:r>
    </w:p>
    <w:p>
      <w:pPr>
        <w:pStyle w:val="4"/>
        <w:keepNext w:val="0"/>
        <w:keepLines w:val="0"/>
        <w:pageBreakBefore w:val="0"/>
        <w:numPr>
          <w:ilvl w:val="0"/>
          <w:numId w:val="3"/>
        </w:numPr>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黑体_GBK" w:hAnsi="Times New Roman" w:eastAsia="方正黑体_GBK" w:cs="宋体"/>
          <w:bCs w:val="0"/>
          <w:sz w:val="32"/>
          <w:szCs w:val="32"/>
          <w:lang w:val="en-US" w:eastAsia="zh-CN" w:bidi="ar"/>
        </w:rPr>
      </w:pPr>
      <w:r>
        <w:rPr>
          <w:rStyle w:val="7"/>
          <w:rFonts w:hint="eastAsia" w:ascii="方正黑体_GBK" w:hAnsi="Times New Roman" w:eastAsia="方正黑体_GBK" w:cs="宋体"/>
          <w:bCs w:val="0"/>
          <w:sz w:val="32"/>
          <w:szCs w:val="32"/>
          <w:lang w:val="en-US" w:eastAsia="zh-CN" w:bidi="ar"/>
        </w:rPr>
        <w:t>预算绩效管理情况说明</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left="0" w:firstLine="643" w:firstLineChars="200"/>
        <w:textAlignment w:val="auto"/>
        <w:rPr>
          <w:rStyle w:val="7"/>
          <w:rFonts w:hint="eastAsia" w:ascii="方正黑体_GBK" w:hAnsi="Times New Roman" w:eastAsia="方正黑体_GBK" w:cs="宋体"/>
          <w:bCs w:val="0"/>
          <w:sz w:val="32"/>
          <w:szCs w:val="32"/>
          <w:lang w:val="en-US" w:eastAsia="zh-CN" w:bidi="ar"/>
        </w:rPr>
      </w:pPr>
      <w:r>
        <w:rPr>
          <w:rStyle w:val="7"/>
          <w:rFonts w:hint="eastAsia" w:ascii="方正楷体_GBK" w:hAnsi="宋体" w:eastAsia="方正楷体_GBK" w:cs="宋体"/>
          <w:sz w:val="32"/>
          <w:szCs w:val="32"/>
          <w:lang w:eastAsia="zh-CN"/>
        </w:rPr>
        <w:t>（一）预算绩效管理工作开展情况</w:t>
      </w:r>
    </w:p>
    <w:p>
      <w:pPr>
        <w:pStyle w:val="10"/>
        <w:keepNext w:val="0"/>
        <w:keepLines w:val="0"/>
        <w:pageBreakBefore w:val="0"/>
        <w:widowControl/>
        <w:kinsoku/>
        <w:wordWrap/>
        <w:overflowPunct/>
        <w:topLinePunct w:val="0"/>
        <w:autoSpaceDE/>
        <w:autoSpaceDN/>
        <w:bidi w:val="0"/>
        <w:adjustRightInd/>
        <w:snapToGrid/>
        <w:spacing w:before="0" w:beforeAutospacing="0" w:afterAutospacing="0" w:line="600" w:lineRule="atLeast"/>
        <w:ind w:left="0"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kern w:val="0"/>
          <w:sz w:val="32"/>
          <w:szCs w:val="32"/>
          <w:lang w:val="en-US" w:eastAsia="zh-CN" w:bidi="ar"/>
        </w:rPr>
        <w:t>根据预算绩效管理要求，本部门对15个项目开展了绩效自评，其中，以填报目标自评表形式开展自评15项，涉及资金321.36万元，财政支出项目总体达到预期目标，从评价情况来看，</w:t>
      </w:r>
      <w:r>
        <w:rPr>
          <w:rFonts w:hint="eastAsia" w:ascii="方正仿宋_GBK" w:hAnsi="方正仿宋_GBK" w:eastAsia="方正仿宋_GBK" w:cs="方正仿宋_GBK"/>
          <w:sz w:val="32"/>
          <w:szCs w:val="32"/>
          <w:lang w:eastAsia="zh-CN"/>
        </w:rPr>
        <w:t>项目评价指标设计结合学校实际，从营养午餐享受人数、午餐标准、家长学生满意率等指标进行测量</w:t>
      </w:r>
    </w:p>
    <w:p>
      <w:pPr>
        <w:pStyle w:val="10"/>
        <w:keepNext w:val="0"/>
        <w:keepLines w:val="0"/>
        <w:pageBreakBefore w:val="0"/>
        <w:widowControl/>
        <w:kinsoku/>
        <w:wordWrap/>
        <w:overflowPunct/>
        <w:topLinePunct w:val="0"/>
        <w:autoSpaceDE/>
        <w:autoSpaceDN/>
        <w:bidi w:val="0"/>
        <w:adjustRightInd/>
        <w:snapToGrid/>
        <w:spacing w:before="0" w:beforeAutospacing="0" w:afterAutospacing="0" w:line="600" w:lineRule="atLeast"/>
        <w:ind w:left="0" w:firstLine="643" w:firstLineChars="200"/>
        <w:textAlignment w:val="auto"/>
        <w:rPr>
          <w:rStyle w:val="7"/>
          <w:rFonts w:hint="eastAsia" w:ascii="方正楷体_GBK" w:hAnsi="宋体" w:eastAsia="方正楷体_GBK" w:cs="宋体"/>
          <w:sz w:val="32"/>
          <w:szCs w:val="32"/>
          <w:lang w:val="en-US" w:eastAsia="zh-CN"/>
        </w:rPr>
      </w:pPr>
      <w:r>
        <w:rPr>
          <w:rStyle w:val="7"/>
          <w:rFonts w:hint="eastAsia" w:ascii="方正楷体_GBK" w:hAnsi="宋体" w:eastAsia="方正楷体_GBK" w:cs="宋体"/>
          <w:sz w:val="32"/>
          <w:szCs w:val="32"/>
          <w:lang w:val="en-US" w:eastAsia="zh-CN"/>
        </w:rPr>
        <w:t>（二）绩效自评结果</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default"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1.绩效自评表（见附件）</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2.绩效自评报告或案例</w:t>
      </w:r>
    </w:p>
    <w:p>
      <w:pPr>
        <w:pStyle w:val="10"/>
        <w:keepNext w:val="0"/>
        <w:keepLines w:val="0"/>
        <w:pageBreakBefore w:val="0"/>
        <w:kinsoku/>
        <w:wordWrap/>
        <w:overflowPunct/>
        <w:topLinePunct w:val="0"/>
        <w:autoSpaceDE/>
        <w:autoSpaceDN/>
        <w:bidi w:val="0"/>
        <w:adjustRightInd/>
        <w:spacing w:before="0" w:beforeAutospacing="0" w:afterAutospacing="0" w:line="600" w:lineRule="atLeast"/>
        <w:ind w:left="0" w:firstLine="640" w:firstLineChars="200"/>
        <w:textAlignment w:val="auto"/>
        <w:rPr>
          <w:rFonts w:hint="eastAsia" w:ascii="方正仿宋_GBK" w:hAnsi="方正仿宋_GBK" w:eastAsia="方正仿宋_GBK" w:cs="方正仿宋_GBK"/>
          <w:sz w:val="32"/>
          <w:szCs w:val="32"/>
          <w:lang w:val="en-US"/>
        </w:rPr>
      </w:pPr>
      <w:r>
        <w:rPr>
          <w:rFonts w:hint="eastAsia" w:ascii="方正仿宋_GBK" w:hAnsi="方正仿宋_GBK" w:eastAsia="方正仿宋_GBK" w:cs="方正仿宋_GBK"/>
          <w:sz w:val="32"/>
          <w:szCs w:val="32"/>
          <w:lang w:val="en-US"/>
        </w:rPr>
        <w:t>2020</w:t>
      </w:r>
      <w:r>
        <w:rPr>
          <w:rFonts w:hint="eastAsia" w:ascii="方正仿宋_GBK" w:hAnsi="方正仿宋_GBK" w:eastAsia="方正仿宋_GBK" w:cs="方正仿宋_GBK"/>
          <w:sz w:val="32"/>
          <w:szCs w:val="32"/>
          <w:lang w:eastAsia="zh-CN"/>
        </w:rPr>
        <w:t>年度我单位不涉及</w:t>
      </w: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left="0" w:right="0" w:firstLine="321" w:firstLineChars="100"/>
        <w:textAlignment w:val="auto"/>
        <w:rPr>
          <w:rStyle w:val="7"/>
          <w:rFonts w:hint="eastAsia" w:ascii="方正楷体_GBK" w:hAnsi="宋体" w:eastAsia="方正楷体_GBK" w:cs="宋体"/>
          <w:bCs w:val="0"/>
          <w:sz w:val="32"/>
          <w:szCs w:val="32"/>
          <w:lang w:eastAsia="zh-CN" w:bidi="ar"/>
        </w:rPr>
      </w:pPr>
      <w:r>
        <w:rPr>
          <w:rStyle w:val="7"/>
          <w:rFonts w:hint="eastAsia" w:ascii="方正楷体_GBK" w:eastAsia="方正楷体_GBK" w:cs="宋体"/>
          <w:bCs w:val="0"/>
          <w:sz w:val="32"/>
          <w:szCs w:val="32"/>
          <w:lang w:eastAsia="zh-CN" w:bidi="ar"/>
        </w:rPr>
        <w:t>（</w:t>
      </w:r>
      <w:r>
        <w:rPr>
          <w:rStyle w:val="7"/>
          <w:rFonts w:hint="eastAsia" w:ascii="方正楷体_GBK" w:eastAsia="方正楷体_GBK" w:cs="宋体"/>
          <w:bCs w:val="0"/>
          <w:sz w:val="32"/>
          <w:szCs w:val="32"/>
          <w:lang w:val="en-US" w:eastAsia="zh-CN" w:bidi="ar"/>
        </w:rPr>
        <w:t>三）</w:t>
      </w:r>
      <w:r>
        <w:rPr>
          <w:rStyle w:val="7"/>
          <w:rFonts w:hint="eastAsia" w:ascii="方正楷体_GBK" w:hAnsi="宋体" w:eastAsia="方正楷体_GBK" w:cs="宋体"/>
          <w:bCs w:val="0"/>
          <w:sz w:val="32"/>
          <w:szCs w:val="32"/>
          <w:lang w:eastAsia="zh-CN" w:bidi="ar"/>
        </w:rPr>
        <w:t>重点绩效评价结果</w:t>
      </w:r>
    </w:p>
    <w:p>
      <w:pPr>
        <w:pStyle w:val="4"/>
        <w:keepNext w:val="0"/>
        <w:keepLines w:val="0"/>
        <w:pageBreakBefore w:val="0"/>
        <w:numPr>
          <w:ilvl w:val="0"/>
          <w:numId w:val="0"/>
        </w:numPr>
        <w:shd w:val="clear" w:color="auto" w:fill="FFFFFF"/>
        <w:kinsoku/>
        <w:wordWrap/>
        <w:overflowPunct/>
        <w:topLinePunct w:val="0"/>
        <w:autoSpaceDE/>
        <w:autoSpaceDN/>
        <w:bidi w:val="0"/>
        <w:adjustRightInd/>
        <w:spacing w:beforeAutospacing="0" w:afterAutospacing="0" w:line="600" w:lineRule="atLeast"/>
        <w:ind w:firstLine="640" w:firstLineChars="200"/>
        <w:textAlignment w:val="auto"/>
        <w:rPr>
          <w:rStyle w:val="7"/>
          <w:rFonts w:hint="eastAsia"/>
          <w:sz w:val="27"/>
          <w:szCs w:val="27"/>
        </w:rPr>
      </w:pPr>
      <w:r>
        <w:rPr>
          <w:rFonts w:hint="eastAsia" w:ascii="方正仿宋_GBK" w:hAnsi="方正仿宋_GBK" w:eastAsia="方正仿宋_GBK" w:cs="方正仿宋_GBK"/>
          <w:sz w:val="32"/>
          <w:szCs w:val="32"/>
          <w:lang w:val="en-US"/>
        </w:rPr>
        <w:t>2020</w:t>
      </w:r>
      <w:r>
        <w:rPr>
          <w:rFonts w:hint="eastAsia" w:ascii="方正仿宋_GBK" w:hAnsi="方正仿宋_GBK" w:eastAsia="方正仿宋_GBK" w:cs="方正仿宋_GBK"/>
          <w:sz w:val="32"/>
          <w:szCs w:val="32"/>
          <w:lang w:eastAsia="zh-CN"/>
        </w:rPr>
        <w:t>年度我单位不涉及</w:t>
      </w: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黑体_GBK" w:hAnsi="Times New Roman" w:eastAsia="方正黑体_GBK" w:cs="宋体"/>
          <w:bCs w:val="0"/>
          <w:sz w:val="32"/>
          <w:szCs w:val="32"/>
          <w:lang w:val="en-US" w:eastAsia="zh-CN" w:bidi="ar"/>
        </w:rPr>
      </w:pPr>
      <w:r>
        <w:rPr>
          <w:rStyle w:val="7"/>
          <w:rFonts w:hint="eastAsia" w:ascii="方正黑体_GBK" w:hAnsi="Times New Roman" w:eastAsia="方正黑体_GBK" w:cs="宋体"/>
          <w:bCs w:val="0"/>
          <w:sz w:val="32"/>
          <w:szCs w:val="32"/>
          <w:lang w:val="en-US" w:eastAsia="zh-CN" w:bidi="ar"/>
        </w:rPr>
        <w:t>六、专业名词解释</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（一）财政拨款收入：</w:t>
      </w:r>
      <w:r>
        <w:rPr>
          <w:rFonts w:hint="eastAsia" w:ascii="方正仿宋_GBK" w:hAnsi="方正仿宋_GBK" w:eastAsia="方正仿宋_GBK" w:cs="方正仿宋_GBK"/>
          <w:kern w:val="0"/>
          <w:sz w:val="32"/>
          <w:szCs w:val="32"/>
          <w:lang w:val="en-US" w:eastAsia="zh-CN" w:bidi="ar"/>
        </w:rPr>
        <w:t>指本年度从本级财政部门取得的财政拨款，包括一般公共预算财政拨款和政府性基金预算财政拨款。</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（二）事业收入：</w:t>
      </w:r>
      <w:r>
        <w:rPr>
          <w:rFonts w:hint="eastAsia" w:ascii="方正仿宋_GBK" w:hAnsi="方正仿宋_GBK" w:eastAsia="方正仿宋_GBK" w:cs="方正仿宋_GBK"/>
          <w:kern w:val="0"/>
          <w:sz w:val="32"/>
          <w:szCs w:val="32"/>
          <w:lang w:val="en-US" w:eastAsia="zh-CN" w:bidi="ar"/>
        </w:rPr>
        <w:t>指事业单位开展专业业务活动及其辅助活动取得的现金流入；事业单位收到的财政专户实际核拨的教育收费等资金在此反映。</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pPr>
      <w:r>
        <w:rPr>
          <w:rStyle w:val="7"/>
          <w:rFonts w:hint="eastAsia" w:ascii="方正楷体_GBK" w:hAnsi="Times New Roman" w:eastAsia="方正楷体_GBK" w:cs="宋体"/>
          <w:bCs w:val="0"/>
          <w:sz w:val="32"/>
          <w:szCs w:val="32"/>
          <w:lang w:eastAsia="zh-CN" w:bidi="ar"/>
        </w:rPr>
        <w:t>（三）经营收入：</w:t>
      </w:r>
      <w:r>
        <w:rPr>
          <w:rFonts w:hint="eastAsia" w:ascii="方正仿宋_GBK" w:hAnsi="方正仿宋_GBK" w:eastAsia="方正仿宋_GBK" w:cs="方正仿宋_GBK"/>
          <w:kern w:val="0"/>
          <w:sz w:val="32"/>
          <w:szCs w:val="32"/>
          <w:lang w:val="en-US" w:eastAsia="zh-CN" w:bidi="ar"/>
        </w:rPr>
        <w:t>指事业单位在专业业务活动及其辅助活动之外开展非独立核算经营活动取得的现金流入。</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pPr>
      <w:r>
        <w:rPr>
          <w:rStyle w:val="7"/>
          <w:rFonts w:hint="eastAsia" w:ascii="方正楷体_GBK" w:hAnsi="Times New Roman" w:eastAsia="方正楷体_GBK" w:cs="宋体"/>
          <w:bCs w:val="0"/>
          <w:sz w:val="32"/>
          <w:szCs w:val="32"/>
          <w:lang w:eastAsia="zh-CN" w:bidi="ar"/>
        </w:rPr>
        <w:t>（四）其他收入：</w:t>
      </w:r>
      <w:r>
        <w:rPr>
          <w:rFonts w:hint="eastAsia" w:ascii="方正仿宋_GBK" w:hAnsi="方正仿宋_GBK" w:eastAsia="方正仿宋_GBK" w:cs="方正仿宋_GBK"/>
          <w:kern w:val="0"/>
          <w:sz w:val="32"/>
          <w:szCs w:val="32"/>
          <w:lang w:val="en-US" w:eastAsia="zh-CN" w:bidi="ar"/>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（五）使用非财政拨款结余：</w:t>
      </w:r>
      <w:r>
        <w:rPr>
          <w:rFonts w:hint="eastAsia" w:ascii="方正仿宋_GBK" w:hAnsi="方正仿宋_GBK" w:eastAsia="方正仿宋_GBK" w:cs="方正仿宋_GBK"/>
          <w:kern w:val="0"/>
          <w:sz w:val="32"/>
          <w:szCs w:val="32"/>
          <w:lang w:val="en-US" w:eastAsia="zh-CN" w:bidi="ar"/>
        </w:rPr>
        <w:t>指单位在当年的“财政拨款收入”、“事业收入”、“经营收入”、“其他收入”等不足以安排当年支出的情况下，使用以前年度积累的非财政拨款结余弥补本年度收支缺口的资金。</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（六）年初结转和结余：</w:t>
      </w:r>
      <w:r>
        <w:rPr>
          <w:rFonts w:hint="eastAsia" w:ascii="方正仿宋_GBK" w:hAnsi="方正仿宋_GBK" w:eastAsia="方正仿宋_GBK" w:cs="方正仿宋_GBK"/>
          <w:kern w:val="0"/>
          <w:sz w:val="32"/>
          <w:szCs w:val="32"/>
          <w:lang w:val="en-US" w:eastAsia="zh-CN" w:bidi="ar"/>
        </w:rPr>
        <w:t>指单位上年结转本年使用的基本支出结转、项目支出结转和结余、经营结余。</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（七）结余分配：</w:t>
      </w:r>
      <w:r>
        <w:rPr>
          <w:rFonts w:hint="eastAsia" w:ascii="方正仿宋_GBK" w:hAnsi="方正仿宋_GBK" w:eastAsia="方正仿宋_GBK" w:cs="方正仿宋_GBK"/>
          <w:kern w:val="0"/>
          <w:sz w:val="32"/>
          <w:szCs w:val="32"/>
          <w:lang w:val="en-US" w:eastAsia="zh-CN" w:bidi="ar"/>
        </w:rPr>
        <w:t>指单位按照国家有关规定，缴纳所得税、提取专用基金、转入非财政拨款结余等当年结余的分配情况。</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（八）年末结转和结余：</w:t>
      </w:r>
      <w:r>
        <w:rPr>
          <w:rFonts w:hint="eastAsia" w:ascii="方正仿宋_GBK" w:hAnsi="方正仿宋_GBK" w:eastAsia="方正仿宋_GBK" w:cs="方正仿宋_GBK"/>
          <w:kern w:val="0"/>
          <w:sz w:val="32"/>
          <w:szCs w:val="32"/>
          <w:lang w:val="en-US" w:eastAsia="zh-CN" w:bidi="ar"/>
        </w:rPr>
        <w:t>指单位结转下年的基本支出结转、项目支出结转和结余、经营结余。</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（九）基本支出：</w:t>
      </w:r>
      <w:r>
        <w:rPr>
          <w:rFonts w:hint="eastAsia" w:ascii="方正仿宋_GBK" w:hAnsi="方正仿宋_GBK" w:eastAsia="方正仿宋_GBK" w:cs="方正仿宋_GBK"/>
          <w:kern w:val="0"/>
          <w:sz w:val="32"/>
          <w:szCs w:val="32"/>
          <w:lang w:val="en-US" w:eastAsia="zh-CN" w:bidi="ar"/>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（十）项目支出：</w:t>
      </w:r>
      <w:r>
        <w:rPr>
          <w:rFonts w:hint="eastAsia" w:ascii="方正仿宋_GBK" w:hAnsi="方正仿宋_GBK" w:eastAsia="方正仿宋_GBK" w:cs="方正仿宋_GBK"/>
          <w:kern w:val="0"/>
          <w:sz w:val="32"/>
          <w:szCs w:val="32"/>
          <w:lang w:val="en-US" w:eastAsia="zh-CN" w:bidi="ar"/>
        </w:rPr>
        <w:t>指在基本支出之外为完成特定行政任务和事业发展目标所发生的支出。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（十一）经营支出：</w:t>
      </w:r>
      <w:r>
        <w:rPr>
          <w:rFonts w:hint="eastAsia" w:ascii="方正仿宋_GBK" w:hAnsi="方正仿宋_GBK" w:eastAsia="方正仿宋_GBK" w:cs="方正仿宋_GBK"/>
          <w:kern w:val="0"/>
          <w:sz w:val="32"/>
          <w:szCs w:val="32"/>
          <w:lang w:val="en-US" w:eastAsia="zh-CN" w:bidi="ar"/>
        </w:rPr>
        <w:t>指事业单位在专业业务活动及其辅助活动之外开展非独立核算经营活动发生的支出。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（十二）“三公”经费：</w:t>
      </w:r>
      <w:r>
        <w:rPr>
          <w:rFonts w:hint="eastAsia" w:ascii="方正仿宋_GBK" w:hAnsi="方正仿宋_GBK" w:eastAsia="方正仿宋_GBK" w:cs="方正仿宋_GBK"/>
          <w:kern w:val="0"/>
          <w:sz w:val="32"/>
          <w:szCs w:val="32"/>
          <w:lang w:val="en-US" w:eastAsia="zh-CN" w:bidi="ar"/>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pPr>
      <w:r>
        <w:rPr>
          <w:rStyle w:val="7"/>
          <w:rFonts w:hint="eastAsia" w:ascii="方正楷体_GBK" w:hAnsi="Times New Roman" w:eastAsia="方正楷体_GBK" w:cs="宋体"/>
          <w:bCs w:val="0"/>
          <w:sz w:val="32"/>
          <w:szCs w:val="32"/>
          <w:lang w:eastAsia="zh-CN" w:bidi="ar"/>
        </w:rPr>
        <w:t>（十三）机关运行经费：</w:t>
      </w:r>
      <w:r>
        <w:rPr>
          <w:rFonts w:hint="eastAsia" w:ascii="方正仿宋_GBK" w:hAnsi="方正仿宋_GBK" w:eastAsia="方正仿宋_GBK" w:cs="方正仿宋_GBK"/>
          <w:kern w:val="0"/>
          <w:sz w:val="32"/>
          <w:szCs w:val="32"/>
          <w:lang w:val="en-US" w:eastAsia="zh-CN" w:bidi="ar"/>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542"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sz w:val="27"/>
          <w:szCs w:val="27"/>
        </w:rPr>
        <w:t>（</w:t>
      </w:r>
      <w:r>
        <w:rPr>
          <w:rStyle w:val="7"/>
          <w:rFonts w:hint="eastAsia" w:ascii="方正楷体_GBK" w:hAnsi="Times New Roman" w:eastAsia="方正楷体_GBK" w:cs="宋体"/>
          <w:bCs w:val="0"/>
          <w:sz w:val="32"/>
          <w:szCs w:val="32"/>
          <w:lang w:eastAsia="zh-CN" w:bidi="ar"/>
        </w:rPr>
        <w:t>十四）工资福利支出（支出经济分类科目类级）：</w:t>
      </w:r>
      <w:r>
        <w:rPr>
          <w:rFonts w:hint="eastAsia" w:ascii="方正仿宋_GBK" w:hAnsi="方正仿宋_GBK" w:eastAsia="方正仿宋_GBK" w:cs="方正仿宋_GBK"/>
          <w:kern w:val="0"/>
          <w:sz w:val="32"/>
          <w:szCs w:val="32"/>
          <w:lang w:val="en-US" w:eastAsia="zh-CN" w:bidi="ar"/>
        </w:rPr>
        <w:t>反映单位开支的在职职工和编制外长期聘用人员的各类劳动报酬，以及为上述人员缴纳的各项社会保险费等。</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（十五）商品和服务支出（支出经济分类科目类级）：</w:t>
      </w:r>
      <w:r>
        <w:rPr>
          <w:rFonts w:hint="eastAsia" w:ascii="方正仿宋_GBK" w:hAnsi="方正仿宋_GBK" w:eastAsia="方正仿宋_GBK" w:cs="方正仿宋_GBK"/>
          <w:kern w:val="0"/>
          <w:sz w:val="32"/>
          <w:szCs w:val="32"/>
          <w:lang w:val="en-US" w:eastAsia="zh-CN" w:bidi="ar"/>
        </w:rPr>
        <w:t>反映单位购买商品和服务的支出（不包括用于购置固定资产的支出、战略性和应急储备支出）。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（十六）对个人和家庭的补助（支出经济分类科目类级）：</w:t>
      </w:r>
      <w:r>
        <w:rPr>
          <w:rFonts w:hint="eastAsia" w:ascii="方正仿宋_GBK" w:hAnsi="方正仿宋_GBK" w:eastAsia="方正仿宋_GBK" w:cs="方正仿宋_GBK"/>
          <w:kern w:val="0"/>
          <w:sz w:val="32"/>
          <w:szCs w:val="32"/>
          <w:lang w:val="en-US" w:eastAsia="zh-CN" w:bidi="ar"/>
        </w:rPr>
        <w:t>反映用于对个人和家庭的补助支出。</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ind w:firstLine="643" w:firstLineChars="200"/>
        <w:textAlignment w:val="auto"/>
        <w:rPr>
          <w:rFonts w:hint="eastAsia" w:ascii="方正仿宋_GBK" w:hAnsi="方正仿宋_GBK" w:eastAsia="方正仿宋_GBK" w:cs="方正仿宋_GBK"/>
          <w:kern w:val="0"/>
          <w:sz w:val="32"/>
          <w:szCs w:val="32"/>
          <w:lang w:val="en-US" w:eastAsia="zh-CN" w:bidi="ar"/>
        </w:rPr>
      </w:pPr>
      <w:r>
        <w:rPr>
          <w:rStyle w:val="7"/>
          <w:rFonts w:hint="eastAsia" w:ascii="方正楷体_GBK" w:hAnsi="Times New Roman" w:eastAsia="方正楷体_GBK" w:cs="宋体"/>
          <w:bCs w:val="0"/>
          <w:sz w:val="32"/>
          <w:szCs w:val="32"/>
          <w:lang w:eastAsia="zh-CN" w:bidi="ar"/>
        </w:rPr>
        <w:t>（十七）其他资本性支出（支出经济分类科目类级）：</w:t>
      </w:r>
      <w:r>
        <w:rPr>
          <w:rFonts w:hint="eastAsia" w:ascii="方正仿宋_GBK" w:hAnsi="方正仿宋_GBK" w:eastAsia="方正仿宋_GBK" w:cs="方正仿宋_GBK"/>
          <w:kern w:val="0"/>
          <w:sz w:val="32"/>
          <w:szCs w:val="32"/>
          <w:lang w:val="en-US" w:eastAsia="zh-CN" w:bidi="ar"/>
        </w:rPr>
        <w:t>反映非各级发展与改革部门集中安排的用于购置固定资产、战略性和应急性储备、土地和无形资产，以及构建基础设施、大型修缮和财政支持企业更新改造所发生的支出。</w:t>
      </w:r>
    </w:p>
    <w:p>
      <w:pPr>
        <w:pStyle w:val="4"/>
        <w:keepNext w:val="0"/>
        <w:keepLines w:val="0"/>
        <w:pageBreakBefore w:val="0"/>
        <w:suppressLineNumbers w:val="0"/>
        <w:kinsoku/>
        <w:wordWrap/>
        <w:overflowPunct/>
        <w:topLinePunct w:val="0"/>
        <w:autoSpaceDE/>
        <w:autoSpaceDN/>
        <w:bidi w:val="0"/>
        <w:adjustRightInd/>
        <w:spacing w:before="0" w:beforeAutospacing="0" w:after="0" w:afterAutospacing="0" w:line="600" w:lineRule="atLeast"/>
        <w:ind w:right="0"/>
        <w:textAlignment w:val="auto"/>
        <w:rPr>
          <w:rStyle w:val="7"/>
          <w:rFonts w:hint="eastAsia" w:ascii="方正黑体_GBK" w:hAnsi="Times New Roman" w:eastAsia="方正黑体_GBK" w:cs="宋体"/>
          <w:bCs w:val="0"/>
          <w:sz w:val="32"/>
          <w:szCs w:val="32"/>
          <w:lang w:val="en-US" w:eastAsia="zh-CN" w:bidi="ar"/>
        </w:rPr>
      </w:pPr>
      <w:r>
        <w:rPr>
          <w:rStyle w:val="7"/>
          <w:rFonts w:hint="eastAsia" w:ascii="方正黑体_GBK" w:hAnsi="Times New Roman" w:eastAsia="方正黑体_GBK" w:cs="宋体"/>
          <w:bCs w:val="0"/>
          <w:sz w:val="32"/>
          <w:szCs w:val="32"/>
          <w:lang w:val="en-US" w:eastAsia="zh-CN" w:bidi="ar"/>
        </w:rPr>
        <w:t>七、决算公开联系方式及信息反馈渠道</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本单位决算公开信息反馈和联系方式 尤俊秋   电 话：023-48601261</w:t>
      </w: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eastAsia" w:ascii="方正仿宋_GBK" w:hAnsi="方正仿宋_GBK" w:eastAsia="方正仿宋_GBK" w:cs="方正仿宋_GBK"/>
          <w:kern w:val="0"/>
          <w:sz w:val="32"/>
          <w:szCs w:val="32"/>
          <w:lang w:val="en-US" w:eastAsia="zh-CN" w:bidi="ar"/>
        </w:rPr>
      </w:pPr>
    </w:p>
    <w:p>
      <w:pPr>
        <w:pStyle w:val="4"/>
        <w:keepNext w:val="0"/>
        <w:keepLines w:val="0"/>
        <w:pageBreakBefore w:val="0"/>
        <w:shd w:val="clear" w:color="auto" w:fill="FFFFFF"/>
        <w:kinsoku/>
        <w:wordWrap/>
        <w:overflowPunct/>
        <w:topLinePunct w:val="0"/>
        <w:autoSpaceDE/>
        <w:autoSpaceDN/>
        <w:bidi w:val="0"/>
        <w:adjustRightInd/>
        <w:spacing w:beforeAutospacing="0" w:afterAutospacing="0" w:line="600" w:lineRule="atLeast"/>
        <w:textAlignment w:val="auto"/>
        <w:rPr>
          <w:rFonts w:hint="default" w:ascii="方正仿宋_GBK" w:hAnsi="方正仿宋_GBK" w:eastAsia="方正仿宋_GBK" w:cs="方正仿宋_GBK"/>
          <w:kern w:val="0"/>
          <w:sz w:val="32"/>
          <w:szCs w:val="32"/>
          <w:lang w:val="en-US" w:eastAsia="zh-CN" w:bidi="ar"/>
        </w:rPr>
      </w:pPr>
      <w:r>
        <w:rPr>
          <w:rFonts w:hint="eastAsia" w:ascii="方正仿宋_GBK" w:hAnsi="方正仿宋_GBK" w:eastAsia="方正仿宋_GBK" w:cs="方正仿宋_GBK"/>
          <w:kern w:val="0"/>
          <w:sz w:val="32"/>
          <w:szCs w:val="32"/>
          <w:lang w:val="en-US" w:eastAsia="zh-CN" w:bidi="ar"/>
        </w:rPr>
        <w:t>附件</w:t>
      </w:r>
    </w:p>
    <w:tbl>
      <w:tblPr>
        <w:tblStyle w:val="5"/>
        <w:tblpPr w:leftFromText="180" w:rightFromText="180" w:vertAnchor="text" w:horzAnchor="page" w:tblpX="1120" w:tblpY="24"/>
        <w:tblOverlap w:val="never"/>
        <w:tblW w:w="102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5"/>
        <w:gridCol w:w="1471"/>
        <w:gridCol w:w="115"/>
        <w:gridCol w:w="1305"/>
        <w:gridCol w:w="1100"/>
        <w:gridCol w:w="115"/>
        <w:gridCol w:w="1550"/>
        <w:gridCol w:w="115"/>
        <w:gridCol w:w="1475"/>
        <w:gridCol w:w="115"/>
        <w:gridCol w:w="1025"/>
        <w:gridCol w:w="115"/>
        <w:gridCol w:w="659"/>
        <w:gridCol w:w="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 w:type="dxa"/>
          <w:trHeight w:val="585" w:hRule="atLeast"/>
        </w:trPr>
        <w:tc>
          <w:tcPr>
            <w:tcW w:w="10125"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2020年度部门（单位）项目支出绩效自评表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90" w:type="dxa"/>
          <w:trHeight w:val="585" w:hRule="atLeast"/>
        </w:trPr>
        <w:tc>
          <w:tcPr>
            <w:tcW w:w="2436" w:type="dxa"/>
            <w:gridSpan w:val="2"/>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填表单位（盖章）：</w:t>
            </w:r>
          </w:p>
        </w:tc>
        <w:tc>
          <w:tcPr>
            <w:tcW w:w="25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重庆市綦江区通惠小学</w:t>
            </w:r>
          </w:p>
        </w:tc>
        <w:tc>
          <w:tcPr>
            <w:tcW w:w="1665"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1590"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1140"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c>
          <w:tcPr>
            <w:tcW w:w="774" w:type="dxa"/>
            <w:gridSpan w:val="2"/>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41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提前下达2020年扩大学前教育资源补助资金（中央）安排幼儿园活动场地修建。</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自评总分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（分）</w:t>
            </w:r>
          </w:p>
        </w:tc>
        <w:tc>
          <w:tcPr>
            <w:tcW w:w="34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业务主管部门</w:t>
            </w:r>
          </w:p>
        </w:tc>
        <w:tc>
          <w:tcPr>
            <w:tcW w:w="41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重庆市綦江区教育委员会</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及电话</w:t>
            </w:r>
          </w:p>
        </w:tc>
        <w:tc>
          <w:tcPr>
            <w:tcW w:w="34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尤俊秋48601261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586" w:type="dxa"/>
            <w:gridSpan w:val="2"/>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20"/>
                <w:szCs w:val="20"/>
                <w:u w:val="none"/>
              </w:rPr>
            </w:pP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全年预算数（A）</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全年执行数（B）</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执行率%（B/A）</w:t>
            </w: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48</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其中：中央补助</w:t>
            </w: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48</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市级补助</w:t>
            </w: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区级资金</w:t>
            </w: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2520"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9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41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年初设定目标</w:t>
            </w:r>
          </w:p>
        </w:tc>
        <w:tc>
          <w:tcPr>
            <w:tcW w:w="51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5" w:hRule="atLeast"/>
        </w:trPr>
        <w:tc>
          <w:tcPr>
            <w:tcW w:w="9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1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预计对学生教室设施设备进行维修改造。</w:t>
            </w:r>
          </w:p>
        </w:tc>
        <w:tc>
          <w:tcPr>
            <w:tcW w:w="51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完成了教室设施设备改造，改善了学校办学环境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5" w:type="dxa"/>
            <w:vMerge w:val="restart"/>
            <w:tcBorders>
              <w:top w:val="single" w:color="000000" w:sz="4" w:space="0"/>
              <w:left w:val="single" w:color="000000" w:sz="4" w:space="0"/>
              <w:bottom w:val="nil"/>
              <w:right w:val="single" w:color="000000" w:sz="4" w:space="0"/>
            </w:tcBorders>
            <w:shd w:val="clear" w:color="auto" w:fill="auto"/>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指标名称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计量单位</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指标权重</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全年完成值</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得分系数（%）</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安全事故发生次数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工程验收合格率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工程完成率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资金专款专用率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9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受益师生</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支出覆盖率</w:t>
            </w:r>
            <w:bookmarkStart w:id="0" w:name="_GoBack"/>
            <w:bookmarkEnd w:id="0"/>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965" w:type="dxa"/>
            <w:vMerge w:val="continue"/>
            <w:tcBorders>
              <w:top w:val="single" w:color="000000" w:sz="4" w:space="0"/>
              <w:left w:val="single" w:color="000000" w:sz="4" w:space="0"/>
              <w:bottom w:val="nil"/>
              <w:right w:val="single" w:color="000000" w:sz="4" w:space="0"/>
            </w:tcBorders>
            <w:shd w:val="clear" w:color="auto" w:fill="auto"/>
            <w:textDirection w:val="tbRlV"/>
            <w:vAlign w:val="center"/>
          </w:tcPr>
          <w:p>
            <w:pPr>
              <w:jc w:val="center"/>
              <w:rPr>
                <w:rFonts w:hint="eastAsia" w:ascii="宋体" w:hAnsi="宋体" w:eastAsia="宋体" w:cs="宋体"/>
                <w:i w:val="0"/>
                <w:iCs w:val="0"/>
                <w:color w:val="000000"/>
                <w:sz w:val="20"/>
                <w:szCs w:val="20"/>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社会满意率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1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7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11"/>
                <w:szCs w:val="11"/>
                <w:u w:val="none"/>
                <w:lang w:val="en-US" w:eastAsia="zh-CN" w:bidi="ar"/>
              </w:rPr>
              <w:t>未完成绩效目标或偏离较多的原因、改进措施及其他说明</w:t>
            </w:r>
          </w:p>
        </w:tc>
        <w:tc>
          <w:tcPr>
            <w:tcW w:w="925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6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86"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0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1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65"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9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14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749"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footerReference r:id="rId3" w:type="default"/>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F50F09"/>
    <w:multiLevelType w:val="singleLevel"/>
    <w:tmpl w:val="B2F50F09"/>
    <w:lvl w:ilvl="0" w:tentative="0">
      <w:start w:val="2"/>
      <w:numFmt w:val="chineseCounting"/>
      <w:suff w:val="nothing"/>
      <w:lvlText w:val="%1、"/>
      <w:lvlJc w:val="left"/>
      <w:rPr>
        <w:rFonts w:hint="eastAsia"/>
      </w:rPr>
    </w:lvl>
  </w:abstractNum>
  <w:abstractNum w:abstractNumId="1">
    <w:nsid w:val="3007FDF9"/>
    <w:multiLevelType w:val="singleLevel"/>
    <w:tmpl w:val="3007FDF9"/>
    <w:lvl w:ilvl="0" w:tentative="0">
      <w:start w:val="1"/>
      <w:numFmt w:val="chineseCounting"/>
      <w:suff w:val="nothing"/>
      <w:lvlText w:val="%1、"/>
      <w:lvlJc w:val="left"/>
      <w:rPr>
        <w:rFonts w:hint="eastAsia"/>
      </w:rPr>
    </w:lvl>
  </w:abstractNum>
  <w:abstractNum w:abstractNumId="2">
    <w:nsid w:val="63AE829D"/>
    <w:multiLevelType w:val="singleLevel"/>
    <w:tmpl w:val="63AE829D"/>
    <w:lvl w:ilvl="0" w:tentative="0">
      <w:start w:val="5"/>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zYWYxYTY4NzQ3ZjAxZTg4Njg0OTUxNTYxM2Y5ZGQifQ=="/>
  </w:docVars>
  <w:rsids>
    <w:rsidRoot w:val="00373781"/>
    <w:rsid w:val="00373781"/>
    <w:rsid w:val="008308D3"/>
    <w:rsid w:val="008E2E2D"/>
    <w:rsid w:val="00DE6946"/>
    <w:rsid w:val="0F7266BA"/>
    <w:rsid w:val="1C9F75C6"/>
    <w:rsid w:val="424F7D65"/>
    <w:rsid w:val="51046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customStyle="1" w:styleId="10">
    <w:name w:val="普通(网站)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綦江区通惠小学</Company>
  <Pages>12</Pages>
  <Words>3944</Words>
  <Characters>4496</Characters>
  <Lines>63</Lines>
  <Paragraphs>17</Paragraphs>
  <TotalTime>4</TotalTime>
  <ScaleCrop>false</ScaleCrop>
  <LinksUpToDate>false</LinksUpToDate>
  <CharactersWithSpaces>4544</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2022-08-30T11:18:00Z</dcterms:created>
  <dc:creator>尤俊秋</dc:creator>
  <cp:lastModifiedBy>陈列</cp:lastModifiedBy>
  <dcterms:modified xsi:type="dcterms:W3CDTF">2022-09-01T14:50:14Z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07A7768FBE004C5C9C0CED55F5192ADD</vt:lpwstr>
  </property>
</Properties>
</file>