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fill="FFFFFF"/>
        <w:jc w:val="center"/>
        <w:rPr>
          <w:rFonts w:ascii="方正小标宋_GBK" w:eastAsia="方正小标宋_GBK"/>
          <w:sz w:val="44"/>
          <w:szCs w:val="44"/>
        </w:rPr>
      </w:pPr>
      <w:r>
        <w:rPr>
          <w:rFonts w:hint="eastAsia" w:ascii="方正小标宋_GBK" w:eastAsia="方正小标宋_GBK"/>
          <w:sz w:val="44"/>
          <w:szCs w:val="44"/>
        </w:rPr>
        <w:t>重庆市綦江区打通第一小学</w:t>
      </w:r>
    </w:p>
    <w:p>
      <w:pPr>
        <w:pStyle w:val="5"/>
        <w:shd w:val="clear" w:color="auto" w:fill="FFFFFF"/>
        <w:jc w:val="center"/>
        <w:rPr>
          <w:rFonts w:ascii="方正小标宋_GBK" w:eastAsia="方正小标宋_GBK"/>
          <w:sz w:val="44"/>
          <w:szCs w:val="44"/>
        </w:rPr>
      </w:pPr>
      <w:r>
        <w:rPr>
          <w:rFonts w:hint="eastAsia" w:ascii="方正小标宋_GBK" w:eastAsia="方正小标宋_GBK"/>
          <w:sz w:val="44"/>
          <w:szCs w:val="44"/>
        </w:rPr>
        <w:t>2020年度部门决算情况说明</w:t>
      </w:r>
    </w:p>
    <w:p>
      <w:pPr>
        <w:pStyle w:val="5"/>
        <w:shd w:val="clear" w:color="auto" w:fill="FFFFFF"/>
      </w:pPr>
      <w:r>
        <w:rPr>
          <w:rFonts w:hint="eastAsia"/>
        </w:rPr>
        <w:t> </w:t>
      </w:r>
    </w:p>
    <w:p>
      <w:pPr>
        <w:widowControl w:val="0"/>
        <w:spacing w:line="600" w:lineRule="exact"/>
        <w:ind w:left="640" w:firstLine="640" w:firstLineChars="200"/>
        <w:jc w:val="both"/>
        <w:rPr>
          <w:rFonts w:ascii="方正黑体_GBK" w:hAnsi="黑体" w:eastAsia="方正黑体_GBK" w:cs="仿宋_GB2312"/>
          <w:bCs/>
          <w:kern w:val="2"/>
          <w:sz w:val="32"/>
          <w:szCs w:val="32"/>
        </w:rPr>
      </w:pPr>
      <w:r>
        <w:rPr>
          <w:rFonts w:hint="eastAsia" w:ascii="方正黑体_GBK" w:hAnsi="黑体" w:eastAsia="方正黑体_GBK" w:cs="仿宋_GB2312"/>
          <w:bCs/>
          <w:kern w:val="2"/>
          <w:sz w:val="32"/>
          <w:szCs w:val="32"/>
        </w:rPr>
        <w:t>一、部门基本情况</w:t>
      </w:r>
    </w:p>
    <w:p>
      <w:pPr>
        <w:pStyle w:val="5"/>
        <w:shd w:val="clear" w:color="auto" w:fill="FFFFFF"/>
        <w:spacing w:line="600" w:lineRule="exact"/>
        <w:ind w:firstLine="540" w:firstLineChars="200"/>
        <w:rPr>
          <w:rStyle w:val="8"/>
          <w:rFonts w:ascii="方正楷体_GBK" w:eastAsia="方正楷体_GBK"/>
          <w:sz w:val="32"/>
          <w:szCs w:val="32"/>
        </w:rPr>
      </w:pPr>
      <w:r>
        <w:rPr>
          <w:rFonts w:hint="eastAsia"/>
          <w:sz w:val="27"/>
          <w:szCs w:val="27"/>
        </w:rPr>
        <w:t xml:space="preserve">  </w:t>
      </w:r>
      <w:r>
        <w:rPr>
          <w:rStyle w:val="8"/>
          <w:rFonts w:hint="eastAsia" w:ascii="方正楷体_GBK" w:eastAsia="方正楷体_GBK"/>
          <w:sz w:val="32"/>
          <w:szCs w:val="32"/>
        </w:rPr>
        <w:t>（一）职能职责</w:t>
      </w:r>
    </w:p>
    <w:p>
      <w:pPr>
        <w:spacing w:line="600" w:lineRule="exact"/>
        <w:ind w:firstLine="643" w:firstLineChars="200"/>
        <w:rPr>
          <w:rFonts w:ascii="方正仿宋_GBK" w:hAnsi="仿宋_GB2312" w:eastAsia="方正仿宋_GBK" w:cs="仿宋_GB2312"/>
          <w:sz w:val="32"/>
        </w:rPr>
      </w:pPr>
      <w:r>
        <w:rPr>
          <w:rFonts w:hint="eastAsia" w:ascii="方正仿宋_GBK" w:hAnsi="仿宋_GB2312" w:eastAsia="方正仿宋_GBK" w:cs="仿宋_GB2312"/>
          <w:b/>
          <w:bCs/>
          <w:sz w:val="32"/>
        </w:rPr>
        <w:t> </w:t>
      </w:r>
      <w:r>
        <w:rPr>
          <w:rFonts w:hint="eastAsia" w:ascii="方正仿宋_GBK" w:hAnsi="仿宋_GB2312" w:eastAsia="方正仿宋_GBK" w:cs="仿宋_GB2312"/>
          <w:sz w:val="32"/>
        </w:rPr>
        <w:t>1.贯彻执行党和国家的教育方针、政策和法律法规，依法治教；草拟本单位教育事业发展规划和教育政策并报教委备案，管理、指导中心校及附设幼儿班教育教学工作。</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2.负责本校教育的统筹规划和布局结构调整，负责本校教育体制改革；负责教育统计、信息报送工作。</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3.负责实施义务教育均衡发展和促进教育公平，全面实施素质教育。</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4.负责本校教育督导工作；负责本校基础教育发展水平、质量监测工作，负责对全体教职工履行教育工作职责情况进行监督、检查和指导。</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5.负责本单位教育经费的统筹管理，管理、监督本单位财务、基本建设工作；负责对学校经费使用情况进行自查自纠；规划、实施学校建设、教育装备、勤工俭学、后勤服务工作，落实学生资助工作。</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6.负责实施师生员工的思想政治、德育、体育卫生艺术教育、国防教育等工作。</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7.负责主管全校教师工作，负责实施本校教师资格认证工作；管理、指导学校干部和教师队伍建设；组织实施学校干部、教师的岗位培训和继续教育工作。</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8.负责管理本校机构编制和人事及社会保障等工作，实施本单位教育系统人事制度改革，负责教职工调配、考核、职称评审和奖惩工作。</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9.负责本校的学籍管理工作。</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10.负责本校招生计划。</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11.负责本校小学教育考试工作。</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12.负责本校的语言文字管理工作，推广普通话。</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13.负责落实本校校园安全保卫工作，协调处理本校及周边突发事件和重大事故。</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14.负责本校附设幼儿班的学前教育工作。</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15.承办区教委等上级有关部门交办的</w:t>
      </w:r>
      <w:r>
        <w:rPr>
          <w:rFonts w:hint="eastAsia" w:ascii="方正仿宋_GBK" w:hAnsi="仿宋_GB2312" w:eastAsia="方正仿宋_GBK" w:cs="仿宋_GB2312"/>
          <w:sz w:val="32"/>
          <w:lang w:eastAsia="zh-CN"/>
        </w:rPr>
        <w:t>其他事项</w:t>
      </w:r>
      <w:r>
        <w:rPr>
          <w:rFonts w:hint="eastAsia" w:ascii="方正仿宋_GBK" w:hAnsi="仿宋_GB2312" w:eastAsia="方正仿宋_GBK" w:cs="仿宋_GB2312"/>
          <w:sz w:val="32"/>
        </w:rPr>
        <w:t>。</w:t>
      </w:r>
    </w:p>
    <w:p>
      <w:pPr>
        <w:pStyle w:val="5"/>
        <w:shd w:val="clear" w:color="auto" w:fill="FFFFFF"/>
        <w:spacing w:line="600" w:lineRule="exact"/>
        <w:ind w:firstLine="640" w:firstLineChars="200"/>
        <w:rPr>
          <w:rStyle w:val="8"/>
          <w:rFonts w:ascii="方正楷体_GBK" w:eastAsia="方正楷体_GBK"/>
          <w:sz w:val="32"/>
          <w:szCs w:val="32"/>
        </w:rPr>
      </w:pPr>
      <w:r>
        <w:rPr>
          <w:rFonts w:hint="eastAsia" w:ascii="方正仿宋_GBK" w:hAnsi="仿宋_GB2312" w:eastAsia="方正仿宋_GBK" w:cs="仿宋_GB2312"/>
          <w:sz w:val="32"/>
        </w:rPr>
        <w:t xml:space="preserve">  </w:t>
      </w:r>
      <w:r>
        <w:rPr>
          <w:rStyle w:val="8"/>
          <w:rFonts w:hint="eastAsia" w:ascii="方正楷体_GBK" w:eastAsia="方正楷体_GBK"/>
          <w:sz w:val="32"/>
          <w:szCs w:val="32"/>
        </w:rPr>
        <w:t>（二）机构设置</w:t>
      </w:r>
    </w:p>
    <w:p>
      <w:pPr>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 根据《重庆市机构编制委员会办公室关于明确綦江区各学区和学校机构名称的复函》（綦编办〔2012〕21号）文件精神，将原</w:t>
      </w:r>
      <w:r>
        <w:rPr>
          <w:rFonts w:hint="eastAsia" w:ascii="方正仿宋_GBK" w:hAnsi="仿宋_GB2312" w:eastAsia="方正仿宋_GBK" w:cs="仿宋_GB2312"/>
          <w:sz w:val="32"/>
          <w:lang w:eastAsia="zh-CN"/>
        </w:rPr>
        <w:t>綦江区</w:t>
      </w:r>
      <w:r>
        <w:rPr>
          <w:rFonts w:hint="eastAsia" w:ascii="方正仿宋_GBK" w:hAnsi="仿宋_GB2312" w:eastAsia="方正仿宋_GBK" w:cs="仿宋_GB2312"/>
          <w:sz w:val="32"/>
        </w:rPr>
        <w:t>打通小学更名为重庆市綦江打通第一小学，为</w:t>
      </w:r>
      <w:r>
        <w:rPr>
          <w:rFonts w:hint="eastAsia" w:ascii="方正仿宋_GBK" w:hAnsi="仿宋_GB2312" w:eastAsia="方正仿宋_GBK" w:cs="仿宋_GB2312"/>
          <w:sz w:val="32"/>
          <w:lang w:eastAsia="zh-CN"/>
        </w:rPr>
        <w:t>区</w:t>
      </w:r>
      <w:r>
        <w:rPr>
          <w:rFonts w:hint="eastAsia" w:ascii="方正仿宋_GBK" w:hAnsi="仿宋_GB2312" w:eastAsia="方正仿宋_GBK" w:cs="仿宋_GB2312"/>
          <w:sz w:val="32"/>
        </w:rPr>
        <w:t>教委下发基层单位。重庆市綦江打通第一小学履行小学教育教学工作。</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本单位属基层预算单位，2021年编制人数88人，实有人数89人。设书记、校长1人，副校长2人；内设机构4个，分别为教导处、德育处、总务处和安保处；中层班干部4人，分别为教导主任、德育主任、总务主任和安保主任。学校设有附设幼儿班。</w:t>
      </w:r>
    </w:p>
    <w:p>
      <w:pPr>
        <w:pStyle w:val="5"/>
        <w:shd w:val="clear" w:color="auto" w:fill="FFFFFF"/>
        <w:spacing w:line="600" w:lineRule="exact"/>
        <w:ind w:firstLine="640" w:firstLineChars="200"/>
        <w:rPr>
          <w:rStyle w:val="8"/>
          <w:rFonts w:ascii="方正楷体_GBK" w:eastAsia="方正楷体_GBK"/>
          <w:sz w:val="32"/>
          <w:szCs w:val="32"/>
        </w:rPr>
      </w:pPr>
      <w:r>
        <w:rPr>
          <w:rFonts w:hint="eastAsia" w:ascii="方正仿宋_GBK" w:hAnsi="仿宋_GB2312" w:eastAsia="方正仿宋_GBK" w:cs="仿宋_GB2312"/>
          <w:sz w:val="32"/>
        </w:rPr>
        <w:t> </w:t>
      </w:r>
      <w:r>
        <w:rPr>
          <w:rStyle w:val="8"/>
          <w:rFonts w:hint="eastAsia" w:ascii="方正楷体_GBK" w:eastAsia="方正楷体_GBK"/>
          <w:szCs w:val="32"/>
        </w:rPr>
        <w:t xml:space="preserve"> </w:t>
      </w:r>
      <w:r>
        <w:rPr>
          <w:rStyle w:val="8"/>
          <w:rFonts w:hint="eastAsia" w:ascii="方正楷体_GBK" w:eastAsia="方正楷体_GBK"/>
          <w:sz w:val="32"/>
          <w:szCs w:val="32"/>
        </w:rPr>
        <w:t>（三）单位构成</w:t>
      </w:r>
    </w:p>
    <w:p>
      <w:pPr>
        <w:pStyle w:val="5"/>
        <w:shd w:val="clear" w:color="auto" w:fill="FFFFFF"/>
        <w:spacing w:line="600" w:lineRule="exact"/>
        <w:ind w:firstLine="643" w:firstLineChars="200"/>
        <w:rPr>
          <w:rFonts w:ascii="方正仿宋_GBK" w:hAnsi="仿宋_GB2312" w:eastAsia="方正仿宋_GBK" w:cs="仿宋_GB2312"/>
          <w:sz w:val="32"/>
        </w:rPr>
      </w:pPr>
      <w:r>
        <w:rPr>
          <w:rFonts w:hint="eastAsia" w:ascii="方正仿宋_GBK" w:hAnsi="仿宋_GB2312" w:eastAsia="方正仿宋_GBK" w:cs="仿宋_GB2312"/>
          <w:b/>
          <w:bCs/>
          <w:sz w:val="32"/>
        </w:rPr>
        <w:t> </w:t>
      </w:r>
      <w:r>
        <w:rPr>
          <w:rFonts w:hint="eastAsia" w:ascii="方正仿宋_GBK" w:hAnsi="仿宋_GB2312" w:eastAsia="方正仿宋_GBK" w:cs="仿宋_GB2312"/>
          <w:sz w:val="32"/>
        </w:rPr>
        <w:t xml:space="preserve"> 本单位无下级单位。</w:t>
      </w:r>
    </w:p>
    <w:p>
      <w:pPr>
        <w:widowControl w:val="0"/>
        <w:spacing w:line="600" w:lineRule="exact"/>
        <w:ind w:left="640" w:firstLine="640" w:firstLineChars="200"/>
        <w:jc w:val="both"/>
        <w:rPr>
          <w:rFonts w:ascii="方正黑体_GBK" w:hAnsi="黑体" w:eastAsia="方正黑体_GBK" w:cs="仿宋_GB2312"/>
          <w:kern w:val="2"/>
          <w:sz w:val="32"/>
          <w:szCs w:val="32"/>
        </w:rPr>
      </w:pPr>
      <w:r>
        <w:rPr>
          <w:rFonts w:hint="eastAsia" w:ascii="方正黑体_GBK" w:hAnsi="黑体" w:eastAsia="方正黑体_GBK" w:cs="仿宋_GB2312"/>
          <w:kern w:val="2"/>
          <w:sz w:val="32"/>
          <w:szCs w:val="32"/>
        </w:rPr>
        <w:t>二、部门决算情况说明</w:t>
      </w:r>
    </w:p>
    <w:p>
      <w:pPr>
        <w:pStyle w:val="5"/>
        <w:shd w:val="clear" w:color="auto" w:fill="FFFFFF"/>
        <w:spacing w:line="600" w:lineRule="exact"/>
        <w:ind w:firstLine="643" w:firstLineChars="200"/>
        <w:rPr>
          <w:rStyle w:val="8"/>
          <w:rFonts w:ascii="方正楷体_GBK" w:eastAsia="方正楷体_GBK"/>
          <w:sz w:val="32"/>
          <w:szCs w:val="32"/>
        </w:rPr>
      </w:pPr>
      <w:r>
        <w:rPr>
          <w:rStyle w:val="8"/>
          <w:rFonts w:hint="eastAsia" w:ascii="方正楷体_GBK" w:eastAsia="方正楷体_GBK"/>
          <w:sz w:val="32"/>
          <w:szCs w:val="32"/>
        </w:rPr>
        <w:t>（一）收入支出决算总体情况说明</w:t>
      </w:r>
    </w:p>
    <w:p>
      <w:pPr>
        <w:pStyle w:val="5"/>
        <w:shd w:val="clear" w:color="auto" w:fill="FFFFFF"/>
        <w:spacing w:line="600" w:lineRule="exact"/>
        <w:ind w:firstLine="643" w:firstLineChars="200"/>
        <w:rPr>
          <w:rFonts w:ascii="方正仿宋_GBK" w:hAnsi="仿宋_GB2312" w:eastAsia="方正仿宋_GBK" w:cs="仿宋_GB2312"/>
          <w:sz w:val="32"/>
        </w:rPr>
      </w:pPr>
      <w:r>
        <w:rPr>
          <w:rFonts w:hint="eastAsia" w:ascii="方正仿宋_GBK" w:hAnsi="仿宋_GB2312" w:eastAsia="方正仿宋_GBK" w:cs="仿宋_GB2312"/>
          <w:b/>
          <w:bCs/>
          <w:sz w:val="32"/>
        </w:rPr>
        <w:t>1.总体情况</w:t>
      </w:r>
      <w:r>
        <w:rPr>
          <w:rFonts w:hint="eastAsia" w:ascii="方正仿宋_GBK" w:hAnsi="仿宋_GB2312" w:eastAsia="方正仿宋_GBK" w:cs="仿宋_GB2312"/>
          <w:sz w:val="32"/>
        </w:rPr>
        <w:t>。2020年度收入总计2,307.06万元，支出总计2,307.06万元。收支较上年决算数 增加253.86万元、 增长 12.4%，主要原因是</w:t>
      </w:r>
      <w:r>
        <w:rPr>
          <w:rFonts w:ascii="方正仿宋_GBK" w:hAnsi="仿宋_GB2312" w:eastAsia="方正仿宋_GBK" w:cs="仿宋_GB2312"/>
          <w:sz w:val="32"/>
        </w:rPr>
        <w:t>教育支出</w:t>
      </w:r>
      <w:r>
        <w:rPr>
          <w:rFonts w:hint="eastAsia" w:ascii="方正仿宋_GBK" w:hAnsi="仿宋_GB2312" w:eastAsia="方正仿宋_GBK" w:cs="仿宋_GB2312"/>
          <w:sz w:val="32"/>
        </w:rPr>
        <w:t>增加141.88</w:t>
      </w:r>
      <w:r>
        <w:rPr>
          <w:rFonts w:ascii="方正仿宋_GBK" w:hAnsi="仿宋_GB2312" w:eastAsia="方正仿宋_GBK" w:cs="仿宋_GB2312"/>
          <w:sz w:val="32"/>
        </w:rPr>
        <w:t>万元，社会保障和就业支出</w:t>
      </w:r>
      <w:r>
        <w:rPr>
          <w:rFonts w:hint="eastAsia" w:ascii="方正仿宋_GBK" w:hAnsi="仿宋_GB2312" w:eastAsia="方正仿宋_GBK" w:cs="仿宋_GB2312"/>
          <w:sz w:val="32"/>
        </w:rPr>
        <w:t>增加164.99</w:t>
      </w:r>
      <w:r>
        <w:rPr>
          <w:rFonts w:ascii="方正仿宋_GBK" w:hAnsi="仿宋_GB2312" w:eastAsia="方正仿宋_GBK" w:cs="仿宋_GB2312"/>
          <w:sz w:val="32"/>
        </w:rPr>
        <w:t>万元，卫生健康支出</w:t>
      </w:r>
      <w:r>
        <w:rPr>
          <w:rFonts w:hint="eastAsia" w:ascii="方正仿宋_GBK" w:hAnsi="仿宋_GB2312" w:eastAsia="方正仿宋_GBK" w:cs="仿宋_GB2312"/>
          <w:sz w:val="32"/>
        </w:rPr>
        <w:t>增加3.01</w:t>
      </w:r>
      <w:r>
        <w:rPr>
          <w:rFonts w:ascii="方正仿宋_GBK" w:hAnsi="仿宋_GB2312" w:eastAsia="方正仿宋_GBK" w:cs="仿宋_GB2312"/>
          <w:sz w:val="32"/>
        </w:rPr>
        <w:t>万元，住房保障支出</w:t>
      </w:r>
      <w:r>
        <w:rPr>
          <w:rFonts w:hint="eastAsia" w:ascii="方正仿宋_GBK" w:hAnsi="仿宋_GB2312" w:eastAsia="方正仿宋_GBK" w:cs="仿宋_GB2312"/>
          <w:sz w:val="32"/>
        </w:rPr>
        <w:t>增加2.93</w:t>
      </w:r>
      <w:r>
        <w:rPr>
          <w:rFonts w:ascii="方正仿宋_GBK" w:hAnsi="仿宋_GB2312" w:eastAsia="方正仿宋_GBK" w:cs="仿宋_GB2312"/>
          <w:sz w:val="32"/>
        </w:rPr>
        <w:t>万元</w:t>
      </w:r>
      <w:r>
        <w:rPr>
          <w:rFonts w:hint="eastAsia" w:ascii="方正仿宋_GBK" w:hAnsi="仿宋_GB2312" w:eastAsia="方正仿宋_GBK" w:cs="仿宋_GB2312"/>
          <w:sz w:val="32"/>
        </w:rPr>
        <w:t>，年末结转增加-58.95万元</w:t>
      </w:r>
      <w:r>
        <w:rPr>
          <w:rFonts w:ascii="方正仿宋_GBK" w:hAnsi="仿宋_GB2312" w:eastAsia="方正仿宋_GBK" w:cs="仿宋_GB2312"/>
          <w:sz w:val="32"/>
        </w:rPr>
        <w:t>。</w:t>
      </w:r>
    </w:p>
    <w:p>
      <w:pPr>
        <w:pStyle w:val="5"/>
        <w:shd w:val="clear" w:color="auto" w:fill="FFFFFF"/>
        <w:spacing w:line="600" w:lineRule="exact"/>
        <w:ind w:firstLine="643" w:firstLineChars="200"/>
        <w:rPr>
          <w:rFonts w:ascii="方正仿宋_GBK" w:hAnsi="仿宋_GB2312" w:eastAsia="方正仿宋_GBK" w:cs="仿宋_GB2312"/>
          <w:sz w:val="32"/>
        </w:rPr>
      </w:pPr>
      <w:r>
        <w:rPr>
          <w:rFonts w:hint="eastAsia" w:ascii="方正仿宋_GBK" w:hAnsi="仿宋_GB2312" w:eastAsia="方正仿宋_GBK" w:cs="仿宋_GB2312"/>
          <w:b/>
          <w:bCs/>
          <w:sz w:val="32"/>
        </w:rPr>
        <w:t>2.收入情况。</w:t>
      </w:r>
      <w:r>
        <w:rPr>
          <w:rFonts w:hint="eastAsia" w:ascii="方正仿宋_GBK" w:hAnsi="仿宋_GB2312" w:eastAsia="方正仿宋_GBK" w:cs="仿宋_GB2312"/>
          <w:sz w:val="32"/>
        </w:rPr>
        <w:t>2020年度收入合计1,920.78万元，较上年决算数增加108.62万元，增长6%，主要原因 是</w:t>
      </w:r>
      <w:r>
        <w:rPr>
          <w:rFonts w:ascii="方正仿宋_GBK" w:hAnsi="仿宋_GB2312" w:eastAsia="方正仿宋_GBK" w:cs="仿宋_GB2312"/>
          <w:sz w:val="32"/>
        </w:rPr>
        <w:t>教育支出</w:t>
      </w:r>
      <w:r>
        <w:rPr>
          <w:rFonts w:hint="eastAsia" w:ascii="方正仿宋_GBK" w:hAnsi="仿宋_GB2312" w:eastAsia="方正仿宋_GBK" w:cs="仿宋_GB2312"/>
          <w:sz w:val="32"/>
        </w:rPr>
        <w:t>增加73.85</w:t>
      </w:r>
      <w:r>
        <w:rPr>
          <w:rFonts w:ascii="方正仿宋_GBK" w:hAnsi="仿宋_GB2312" w:eastAsia="方正仿宋_GBK" w:cs="仿宋_GB2312"/>
          <w:sz w:val="32"/>
        </w:rPr>
        <w:t>万元，社会保障和就业支出</w:t>
      </w:r>
      <w:r>
        <w:rPr>
          <w:rFonts w:hint="eastAsia" w:ascii="方正仿宋_GBK" w:hAnsi="仿宋_GB2312" w:eastAsia="方正仿宋_GBK" w:cs="仿宋_GB2312"/>
          <w:sz w:val="32"/>
        </w:rPr>
        <w:t>增加47.35</w:t>
      </w:r>
      <w:r>
        <w:rPr>
          <w:rFonts w:ascii="方正仿宋_GBK" w:hAnsi="仿宋_GB2312" w:eastAsia="方正仿宋_GBK" w:cs="仿宋_GB2312"/>
          <w:sz w:val="32"/>
        </w:rPr>
        <w:t>万元，卫生健康支出</w:t>
      </w:r>
      <w:r>
        <w:rPr>
          <w:rFonts w:hint="eastAsia" w:ascii="方正仿宋_GBK" w:hAnsi="仿宋_GB2312" w:eastAsia="方正仿宋_GBK" w:cs="仿宋_GB2312"/>
          <w:sz w:val="32"/>
        </w:rPr>
        <w:t>增加-3.19</w:t>
      </w:r>
      <w:r>
        <w:rPr>
          <w:rFonts w:ascii="方正仿宋_GBK" w:hAnsi="仿宋_GB2312" w:eastAsia="方正仿宋_GBK" w:cs="仿宋_GB2312"/>
          <w:sz w:val="32"/>
        </w:rPr>
        <w:t>万元，住房保障支出</w:t>
      </w:r>
      <w:r>
        <w:rPr>
          <w:rFonts w:hint="eastAsia" w:ascii="方正仿宋_GBK" w:hAnsi="仿宋_GB2312" w:eastAsia="方正仿宋_GBK" w:cs="仿宋_GB2312"/>
          <w:sz w:val="32"/>
        </w:rPr>
        <w:t>增加-9.37</w:t>
      </w:r>
      <w:r>
        <w:rPr>
          <w:rFonts w:ascii="方正仿宋_GBK" w:hAnsi="仿宋_GB2312" w:eastAsia="方正仿宋_GBK" w:cs="仿宋_GB2312"/>
          <w:sz w:val="32"/>
        </w:rPr>
        <w:t>万元</w:t>
      </w:r>
      <w:r>
        <w:rPr>
          <w:rFonts w:hint="eastAsia" w:ascii="方正仿宋_GBK" w:hAnsi="仿宋_GB2312" w:eastAsia="方正仿宋_GBK" w:cs="仿宋_GB2312"/>
          <w:sz w:val="32"/>
        </w:rPr>
        <w:t>。其中：财政拨款收入1,885.76万元，占98.2%；事业收入35.02万元，占1.8%；经营收入0.00万元，占0%；其他收入0.00万元，占0%。此外，使用非财政拨款结余0.00万元，年初结转和结余386.28万元。</w:t>
      </w:r>
    </w:p>
    <w:p>
      <w:pPr>
        <w:pStyle w:val="5"/>
        <w:shd w:val="clear" w:color="auto" w:fill="FFFFFF"/>
        <w:spacing w:line="600" w:lineRule="exact"/>
        <w:ind w:firstLine="643" w:firstLineChars="200"/>
        <w:rPr>
          <w:rFonts w:ascii="方正仿宋_GBK" w:hAnsi="仿宋_GB2312" w:eastAsia="方正仿宋_GBK" w:cs="仿宋_GB2312"/>
          <w:sz w:val="32"/>
        </w:rPr>
      </w:pPr>
      <w:r>
        <w:rPr>
          <w:rFonts w:hint="eastAsia" w:ascii="方正仿宋_GBK" w:hAnsi="仿宋_GB2312" w:eastAsia="方正仿宋_GBK" w:cs="仿宋_GB2312"/>
          <w:b/>
          <w:bCs/>
          <w:sz w:val="32"/>
        </w:rPr>
        <w:t>3.支出情况。</w:t>
      </w:r>
      <w:r>
        <w:rPr>
          <w:rFonts w:hint="eastAsia" w:ascii="方正仿宋_GBK" w:hAnsi="仿宋_GB2312" w:eastAsia="方正仿宋_GBK" w:cs="仿宋_GB2312"/>
          <w:sz w:val="32"/>
        </w:rPr>
        <w:t>2020年度支出合计2,235.58万元，较上年决算数增加312.81万元，增长16.3%，主要原因是</w:t>
      </w:r>
      <w:r>
        <w:rPr>
          <w:rFonts w:ascii="方正仿宋_GBK" w:hAnsi="仿宋_GB2312" w:eastAsia="方正仿宋_GBK" w:cs="仿宋_GB2312"/>
          <w:sz w:val="32"/>
        </w:rPr>
        <w:t>教育支出</w:t>
      </w:r>
      <w:r>
        <w:rPr>
          <w:rFonts w:hint="eastAsia" w:ascii="方正仿宋_GBK" w:hAnsi="仿宋_GB2312" w:eastAsia="方正仿宋_GBK" w:cs="仿宋_GB2312"/>
          <w:sz w:val="32"/>
        </w:rPr>
        <w:t>增加141.88</w:t>
      </w:r>
      <w:r>
        <w:rPr>
          <w:rFonts w:ascii="方正仿宋_GBK" w:hAnsi="仿宋_GB2312" w:eastAsia="方正仿宋_GBK" w:cs="仿宋_GB2312"/>
          <w:sz w:val="32"/>
        </w:rPr>
        <w:t>万元，社会保障和就业支出</w:t>
      </w:r>
      <w:r>
        <w:rPr>
          <w:rFonts w:hint="eastAsia" w:ascii="方正仿宋_GBK" w:hAnsi="仿宋_GB2312" w:eastAsia="方正仿宋_GBK" w:cs="仿宋_GB2312"/>
          <w:sz w:val="32"/>
        </w:rPr>
        <w:t>增加165</w:t>
      </w:r>
      <w:r>
        <w:rPr>
          <w:rFonts w:ascii="方正仿宋_GBK" w:hAnsi="仿宋_GB2312" w:eastAsia="方正仿宋_GBK" w:cs="仿宋_GB2312"/>
          <w:sz w:val="32"/>
        </w:rPr>
        <w:t>万元，卫生健康支出</w:t>
      </w:r>
      <w:r>
        <w:rPr>
          <w:rFonts w:hint="eastAsia" w:ascii="方正仿宋_GBK" w:hAnsi="仿宋_GB2312" w:eastAsia="方正仿宋_GBK" w:cs="仿宋_GB2312"/>
          <w:sz w:val="32"/>
        </w:rPr>
        <w:t>增加3.01</w:t>
      </w:r>
      <w:r>
        <w:rPr>
          <w:rFonts w:ascii="方正仿宋_GBK" w:hAnsi="仿宋_GB2312" w:eastAsia="方正仿宋_GBK" w:cs="仿宋_GB2312"/>
          <w:sz w:val="32"/>
        </w:rPr>
        <w:t>万元，住房保障支出</w:t>
      </w:r>
      <w:r>
        <w:rPr>
          <w:rFonts w:hint="eastAsia" w:ascii="方正仿宋_GBK" w:hAnsi="仿宋_GB2312" w:eastAsia="方正仿宋_GBK" w:cs="仿宋_GB2312"/>
          <w:sz w:val="32"/>
        </w:rPr>
        <w:t>增加2.93</w:t>
      </w:r>
      <w:r>
        <w:rPr>
          <w:rFonts w:ascii="方正仿宋_GBK" w:hAnsi="仿宋_GB2312" w:eastAsia="方正仿宋_GBK" w:cs="仿宋_GB2312"/>
          <w:sz w:val="32"/>
        </w:rPr>
        <w:t>万元</w:t>
      </w:r>
      <w:r>
        <w:rPr>
          <w:rFonts w:hint="eastAsia" w:ascii="方正仿宋_GBK" w:hAnsi="仿宋_GB2312" w:eastAsia="方正仿宋_GBK" w:cs="仿宋_GB2312"/>
          <w:sz w:val="32"/>
        </w:rPr>
        <w:t>。其中：基本支出 2,090.64万元，占93.5%；项目支出144.94万元，占6.5%；经营支出0.00万元，占0%。此外，结余分配0.00万元。</w:t>
      </w:r>
    </w:p>
    <w:p>
      <w:pPr>
        <w:pStyle w:val="5"/>
        <w:shd w:val="clear" w:color="auto" w:fill="FFFFFF"/>
        <w:spacing w:line="600" w:lineRule="exact"/>
        <w:ind w:firstLine="643" w:firstLineChars="200"/>
        <w:rPr>
          <w:rFonts w:ascii="方正仿宋_GBK" w:hAnsi="仿宋_GB2312" w:eastAsia="方正仿宋_GBK" w:cs="仿宋_GB2312"/>
          <w:sz w:val="32"/>
        </w:rPr>
      </w:pPr>
      <w:r>
        <w:rPr>
          <w:rFonts w:hint="eastAsia" w:ascii="方正仿宋_GBK" w:hAnsi="仿宋_GB2312" w:eastAsia="方正仿宋_GBK" w:cs="仿宋_GB2312"/>
          <w:b/>
          <w:bCs/>
          <w:sz w:val="32"/>
        </w:rPr>
        <w:t>4.结转结余情况。</w:t>
      </w:r>
      <w:r>
        <w:rPr>
          <w:rFonts w:hint="eastAsia" w:ascii="方正仿宋_GBK" w:hAnsi="仿宋_GB2312" w:eastAsia="方正仿宋_GBK" w:cs="仿宋_GB2312"/>
          <w:sz w:val="32"/>
        </w:rPr>
        <w:t>2020年度年末结转和结余71.48万元，较上年决算数减少58.95万元，下降45.2%，主要原因是</w:t>
      </w:r>
      <w:r>
        <w:rPr>
          <w:rFonts w:ascii="方正仿宋_GBK" w:hAnsi="仿宋_GB2312" w:eastAsia="方正仿宋_GBK" w:cs="仿宋_GB2312"/>
          <w:sz w:val="32"/>
        </w:rPr>
        <w:t>教育支出</w:t>
      </w:r>
      <w:r>
        <w:rPr>
          <w:rFonts w:hint="eastAsia" w:ascii="方正仿宋_GBK" w:hAnsi="仿宋_GB2312" w:eastAsia="方正仿宋_GBK" w:cs="仿宋_GB2312"/>
          <w:sz w:val="32"/>
        </w:rPr>
        <w:t>增加-58.95</w:t>
      </w:r>
      <w:r>
        <w:rPr>
          <w:rFonts w:ascii="方正仿宋_GBK" w:hAnsi="仿宋_GB2312" w:eastAsia="方正仿宋_GBK" w:cs="仿宋_GB2312"/>
          <w:sz w:val="32"/>
        </w:rPr>
        <w:t>万元</w:t>
      </w:r>
      <w:r>
        <w:rPr>
          <w:rFonts w:hint="eastAsia" w:ascii="方正仿宋_GBK" w:hAnsi="仿宋_GB2312" w:eastAsia="方正仿宋_GBK" w:cs="仿宋_GB2312"/>
          <w:sz w:val="32"/>
        </w:rPr>
        <w:t>。</w:t>
      </w:r>
    </w:p>
    <w:p>
      <w:pPr>
        <w:pStyle w:val="5"/>
        <w:shd w:val="clear" w:color="auto" w:fill="FFFFFF"/>
        <w:spacing w:line="600" w:lineRule="exact"/>
        <w:ind w:firstLine="643" w:firstLineChars="200"/>
        <w:rPr>
          <w:rStyle w:val="8"/>
          <w:rFonts w:ascii="方正楷体_GBK" w:eastAsia="方正楷体_GBK"/>
          <w:sz w:val="32"/>
          <w:szCs w:val="32"/>
        </w:rPr>
      </w:pPr>
      <w:r>
        <w:rPr>
          <w:rStyle w:val="8"/>
          <w:rFonts w:hint="eastAsia" w:ascii="方正楷体_GBK" w:eastAsia="方正楷体_GBK"/>
          <w:sz w:val="32"/>
          <w:szCs w:val="32"/>
        </w:rPr>
        <w:t>（二）财政拨款收入支出决算总体情况说明</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  2020年度财政拨款收、支总计2,256.57万元。与2019年相比，财政拨款收、支总计各增加246.94万 元，增长12.3%。主要原因是</w:t>
      </w:r>
      <w:r>
        <w:rPr>
          <w:rFonts w:ascii="方正仿宋_GBK" w:hAnsi="仿宋_GB2312" w:eastAsia="方正仿宋_GBK" w:cs="仿宋_GB2312"/>
          <w:sz w:val="32"/>
        </w:rPr>
        <w:t>教育支出</w:t>
      </w:r>
      <w:r>
        <w:rPr>
          <w:rFonts w:hint="eastAsia" w:ascii="方正仿宋_GBK" w:hAnsi="仿宋_GB2312" w:eastAsia="方正仿宋_GBK" w:cs="仿宋_GB2312"/>
          <w:sz w:val="32"/>
        </w:rPr>
        <w:t>增加126.99</w:t>
      </w:r>
      <w:r>
        <w:rPr>
          <w:rFonts w:ascii="方正仿宋_GBK" w:hAnsi="仿宋_GB2312" w:eastAsia="方正仿宋_GBK" w:cs="仿宋_GB2312"/>
          <w:sz w:val="32"/>
        </w:rPr>
        <w:t>万元，社会保障和就业支出</w:t>
      </w:r>
      <w:r>
        <w:rPr>
          <w:rFonts w:hint="eastAsia" w:ascii="方正仿宋_GBK" w:hAnsi="仿宋_GB2312" w:eastAsia="方正仿宋_GBK" w:cs="仿宋_GB2312"/>
          <w:sz w:val="32"/>
        </w:rPr>
        <w:t>增加164.99</w:t>
      </w:r>
      <w:r>
        <w:rPr>
          <w:rFonts w:ascii="方正仿宋_GBK" w:hAnsi="仿宋_GB2312" w:eastAsia="方正仿宋_GBK" w:cs="仿宋_GB2312"/>
          <w:sz w:val="32"/>
        </w:rPr>
        <w:t>万元，卫生健康支出</w:t>
      </w:r>
      <w:r>
        <w:rPr>
          <w:rFonts w:hint="eastAsia" w:ascii="方正仿宋_GBK" w:hAnsi="仿宋_GB2312" w:eastAsia="方正仿宋_GBK" w:cs="仿宋_GB2312"/>
          <w:sz w:val="32"/>
        </w:rPr>
        <w:t>增加3.01</w:t>
      </w:r>
      <w:r>
        <w:rPr>
          <w:rFonts w:ascii="方正仿宋_GBK" w:hAnsi="仿宋_GB2312" w:eastAsia="方正仿宋_GBK" w:cs="仿宋_GB2312"/>
          <w:sz w:val="32"/>
        </w:rPr>
        <w:t>万元，住房保障支出</w:t>
      </w:r>
      <w:r>
        <w:rPr>
          <w:rFonts w:hint="eastAsia" w:ascii="方正仿宋_GBK" w:hAnsi="仿宋_GB2312" w:eastAsia="方正仿宋_GBK" w:cs="仿宋_GB2312"/>
          <w:sz w:val="32"/>
        </w:rPr>
        <w:t>增加2.93</w:t>
      </w:r>
      <w:r>
        <w:rPr>
          <w:rFonts w:ascii="方正仿宋_GBK" w:hAnsi="仿宋_GB2312" w:eastAsia="方正仿宋_GBK" w:cs="仿宋_GB2312"/>
          <w:sz w:val="32"/>
        </w:rPr>
        <w:t>万元</w:t>
      </w:r>
      <w:r>
        <w:rPr>
          <w:rFonts w:hint="eastAsia" w:ascii="方正仿宋_GBK" w:hAnsi="仿宋_GB2312" w:eastAsia="方正仿宋_GBK" w:cs="仿宋_GB2312"/>
          <w:sz w:val="32"/>
        </w:rPr>
        <w:t>，年末结转增加-50.98万元 。</w:t>
      </w:r>
    </w:p>
    <w:p>
      <w:pPr>
        <w:pStyle w:val="5"/>
        <w:shd w:val="clear" w:color="auto" w:fill="FFFFFF"/>
        <w:spacing w:line="600" w:lineRule="exact"/>
        <w:ind w:firstLine="643" w:firstLineChars="200"/>
        <w:rPr>
          <w:rStyle w:val="8"/>
          <w:rFonts w:ascii="方正楷体_GBK" w:eastAsia="方正楷体_GBK"/>
          <w:sz w:val="32"/>
          <w:szCs w:val="32"/>
        </w:rPr>
      </w:pPr>
      <w:r>
        <w:rPr>
          <w:rStyle w:val="8"/>
          <w:rFonts w:hint="eastAsia" w:ascii="方正楷体_GBK" w:eastAsia="方正楷体_GBK"/>
          <w:sz w:val="32"/>
          <w:szCs w:val="32"/>
        </w:rPr>
        <w:t>（三）一般公共预算财政拨款支出决算情况说明</w:t>
      </w:r>
    </w:p>
    <w:p>
      <w:pPr>
        <w:pStyle w:val="5"/>
        <w:shd w:val="clear" w:color="auto" w:fill="FFFFFF"/>
        <w:spacing w:line="600" w:lineRule="exact"/>
        <w:ind w:firstLine="643" w:firstLineChars="200"/>
        <w:rPr>
          <w:rFonts w:ascii="方正仿宋_GBK" w:hAnsi="仿宋_GB2312" w:eastAsia="方正仿宋_GBK" w:cs="仿宋_GB2312"/>
          <w:sz w:val="32"/>
        </w:rPr>
      </w:pPr>
      <w:r>
        <w:rPr>
          <w:rFonts w:hint="eastAsia" w:ascii="方正仿宋_GBK" w:hAnsi="仿宋_GB2312" w:eastAsia="方正仿宋_GBK" w:cs="仿宋_GB2312"/>
          <w:b/>
          <w:bCs/>
          <w:sz w:val="32"/>
        </w:rPr>
        <w:t>1.收入情况。</w:t>
      </w:r>
      <w:r>
        <w:rPr>
          <w:rFonts w:hint="eastAsia" w:ascii="方正仿宋_GBK" w:hAnsi="仿宋_GB2312" w:eastAsia="方正仿宋_GBK" w:cs="仿宋_GB2312"/>
          <w:sz w:val="32"/>
        </w:rPr>
        <w:t>2020年度一般公共预算财政拨款收入1,885.76万元，较上年决算数增加117.17万元，增长6.6%。主要原因是</w:t>
      </w:r>
      <w:r>
        <w:rPr>
          <w:rFonts w:ascii="方正仿宋_GBK" w:hAnsi="仿宋_GB2312" w:eastAsia="方正仿宋_GBK" w:cs="仿宋_GB2312"/>
          <w:sz w:val="32"/>
        </w:rPr>
        <w:t>教育支出</w:t>
      </w:r>
      <w:r>
        <w:rPr>
          <w:rFonts w:hint="eastAsia" w:ascii="方正仿宋_GBK" w:hAnsi="仿宋_GB2312" w:eastAsia="方正仿宋_GBK" w:cs="仿宋_GB2312"/>
          <w:sz w:val="32"/>
        </w:rPr>
        <w:t>增加82.41</w:t>
      </w:r>
      <w:r>
        <w:rPr>
          <w:rFonts w:ascii="方正仿宋_GBK" w:hAnsi="仿宋_GB2312" w:eastAsia="方正仿宋_GBK" w:cs="仿宋_GB2312"/>
          <w:sz w:val="32"/>
        </w:rPr>
        <w:t>万元，社会保障和就业支出</w:t>
      </w:r>
      <w:r>
        <w:rPr>
          <w:rFonts w:hint="eastAsia" w:ascii="方正仿宋_GBK" w:hAnsi="仿宋_GB2312" w:eastAsia="方正仿宋_GBK" w:cs="仿宋_GB2312"/>
          <w:sz w:val="32"/>
        </w:rPr>
        <w:t>增加47.35</w:t>
      </w:r>
      <w:r>
        <w:rPr>
          <w:rFonts w:ascii="方正仿宋_GBK" w:hAnsi="仿宋_GB2312" w:eastAsia="方正仿宋_GBK" w:cs="仿宋_GB2312"/>
          <w:sz w:val="32"/>
        </w:rPr>
        <w:t>万元，卫生健康支出</w:t>
      </w:r>
      <w:r>
        <w:rPr>
          <w:rFonts w:hint="eastAsia" w:ascii="方正仿宋_GBK" w:hAnsi="仿宋_GB2312" w:eastAsia="方正仿宋_GBK" w:cs="仿宋_GB2312"/>
          <w:sz w:val="32"/>
        </w:rPr>
        <w:t>增加-3.19</w:t>
      </w:r>
      <w:r>
        <w:rPr>
          <w:rFonts w:ascii="方正仿宋_GBK" w:hAnsi="仿宋_GB2312" w:eastAsia="方正仿宋_GBK" w:cs="仿宋_GB2312"/>
          <w:sz w:val="32"/>
        </w:rPr>
        <w:t>万元，住房保障支出</w:t>
      </w:r>
      <w:r>
        <w:rPr>
          <w:rFonts w:hint="eastAsia" w:ascii="方正仿宋_GBK" w:hAnsi="仿宋_GB2312" w:eastAsia="方正仿宋_GBK" w:cs="仿宋_GB2312"/>
          <w:sz w:val="32"/>
        </w:rPr>
        <w:t>增加-9.38</w:t>
      </w:r>
      <w:r>
        <w:rPr>
          <w:rFonts w:ascii="方正仿宋_GBK" w:hAnsi="仿宋_GB2312" w:eastAsia="方正仿宋_GBK" w:cs="仿宋_GB2312"/>
          <w:sz w:val="32"/>
        </w:rPr>
        <w:t>万元</w:t>
      </w:r>
      <w:r>
        <w:rPr>
          <w:rFonts w:hint="eastAsia" w:ascii="方正仿宋_GBK" w:hAnsi="仿宋_GB2312" w:eastAsia="方正仿宋_GBK" w:cs="仿宋_GB2312"/>
          <w:sz w:val="32"/>
        </w:rPr>
        <w:t>。较年初预算数 增加111.88万元，增长6.3%。主要原因是</w:t>
      </w:r>
      <w:r>
        <w:rPr>
          <w:rFonts w:ascii="方正仿宋_GBK" w:hAnsi="仿宋_GB2312" w:eastAsia="方正仿宋_GBK" w:cs="仿宋_GB2312"/>
          <w:sz w:val="32"/>
        </w:rPr>
        <w:t>教育支出</w:t>
      </w:r>
      <w:r>
        <w:rPr>
          <w:rFonts w:hint="eastAsia" w:ascii="方正仿宋_GBK" w:hAnsi="仿宋_GB2312" w:eastAsia="方正仿宋_GBK" w:cs="仿宋_GB2312"/>
          <w:sz w:val="32"/>
        </w:rPr>
        <w:t>增加111.88</w:t>
      </w:r>
      <w:r>
        <w:rPr>
          <w:rFonts w:ascii="方正仿宋_GBK" w:hAnsi="仿宋_GB2312" w:eastAsia="方正仿宋_GBK" w:cs="仿宋_GB2312"/>
          <w:sz w:val="32"/>
        </w:rPr>
        <w:t>万元</w:t>
      </w:r>
      <w:r>
        <w:rPr>
          <w:rFonts w:hint="eastAsia" w:ascii="方正仿宋_GBK" w:hAnsi="仿宋_GB2312" w:eastAsia="方正仿宋_GBK" w:cs="仿宋_GB2312"/>
          <w:sz w:val="32"/>
        </w:rPr>
        <w:t>。此外，年初财政拨款结转和结余370.81万元。</w:t>
      </w:r>
    </w:p>
    <w:p>
      <w:pPr>
        <w:pStyle w:val="5"/>
        <w:shd w:val="clear" w:color="auto" w:fill="FFFFFF"/>
        <w:spacing w:line="600" w:lineRule="exact"/>
        <w:ind w:firstLine="643" w:firstLineChars="200"/>
        <w:rPr>
          <w:rFonts w:ascii="方正仿宋_GBK" w:hAnsi="仿宋_GB2312" w:eastAsia="方正仿宋_GBK" w:cs="仿宋_GB2312"/>
          <w:sz w:val="32"/>
        </w:rPr>
      </w:pPr>
      <w:r>
        <w:rPr>
          <w:rFonts w:hint="eastAsia" w:ascii="方正仿宋_GBK" w:hAnsi="仿宋_GB2312" w:eastAsia="方正仿宋_GBK" w:cs="仿宋_GB2312"/>
          <w:b/>
          <w:bCs/>
          <w:sz w:val="32"/>
        </w:rPr>
        <w:t>2.支出情况。</w:t>
      </w:r>
      <w:r>
        <w:rPr>
          <w:rFonts w:hint="eastAsia" w:ascii="方正仿宋_GBK" w:hAnsi="仿宋_GB2312" w:eastAsia="方正仿宋_GBK" w:cs="仿宋_GB2312"/>
          <w:sz w:val="32"/>
        </w:rPr>
        <w:t>2020年度一般公共预算财政拨款支出2,185.09万元，较上年决算数增加297.93万元，增长15.8%。主要原因是</w:t>
      </w:r>
      <w:r>
        <w:rPr>
          <w:rFonts w:ascii="方正仿宋_GBK" w:hAnsi="仿宋_GB2312" w:eastAsia="方正仿宋_GBK" w:cs="仿宋_GB2312"/>
          <w:sz w:val="32"/>
        </w:rPr>
        <w:t>教育支出</w:t>
      </w:r>
      <w:r>
        <w:rPr>
          <w:rFonts w:hint="eastAsia" w:ascii="方正仿宋_GBK" w:hAnsi="仿宋_GB2312" w:eastAsia="方正仿宋_GBK" w:cs="仿宋_GB2312"/>
          <w:sz w:val="32"/>
        </w:rPr>
        <w:t>增加127</w:t>
      </w:r>
      <w:r>
        <w:rPr>
          <w:rFonts w:ascii="方正仿宋_GBK" w:hAnsi="仿宋_GB2312" w:eastAsia="方正仿宋_GBK" w:cs="仿宋_GB2312"/>
          <w:sz w:val="32"/>
        </w:rPr>
        <w:t>元，社会保障和就业支出</w:t>
      </w:r>
      <w:r>
        <w:rPr>
          <w:rFonts w:hint="eastAsia" w:ascii="方正仿宋_GBK" w:hAnsi="仿宋_GB2312" w:eastAsia="方正仿宋_GBK" w:cs="仿宋_GB2312"/>
          <w:sz w:val="32"/>
        </w:rPr>
        <w:t>增加165</w:t>
      </w:r>
      <w:r>
        <w:rPr>
          <w:rFonts w:ascii="方正仿宋_GBK" w:hAnsi="仿宋_GB2312" w:eastAsia="方正仿宋_GBK" w:cs="仿宋_GB2312"/>
          <w:sz w:val="32"/>
        </w:rPr>
        <w:t>万元，卫生健康支出</w:t>
      </w:r>
      <w:r>
        <w:rPr>
          <w:rFonts w:hint="eastAsia" w:ascii="方正仿宋_GBK" w:hAnsi="仿宋_GB2312" w:eastAsia="方正仿宋_GBK" w:cs="仿宋_GB2312"/>
          <w:sz w:val="32"/>
        </w:rPr>
        <w:t>增加3.01</w:t>
      </w:r>
      <w:r>
        <w:rPr>
          <w:rFonts w:ascii="方正仿宋_GBK" w:hAnsi="仿宋_GB2312" w:eastAsia="方正仿宋_GBK" w:cs="仿宋_GB2312"/>
          <w:sz w:val="32"/>
        </w:rPr>
        <w:t>万元，住房保障支出</w:t>
      </w:r>
      <w:r>
        <w:rPr>
          <w:rFonts w:hint="eastAsia" w:ascii="方正仿宋_GBK" w:hAnsi="仿宋_GB2312" w:eastAsia="方正仿宋_GBK" w:cs="仿宋_GB2312"/>
          <w:sz w:val="32"/>
        </w:rPr>
        <w:t>增加2.93</w:t>
      </w:r>
      <w:r>
        <w:rPr>
          <w:rFonts w:ascii="方正仿宋_GBK" w:hAnsi="仿宋_GB2312" w:eastAsia="方正仿宋_GBK" w:cs="仿宋_GB2312"/>
          <w:sz w:val="32"/>
        </w:rPr>
        <w:t>万元</w:t>
      </w:r>
      <w:r>
        <w:rPr>
          <w:rFonts w:hint="eastAsia" w:ascii="方正仿宋_GBK" w:hAnsi="仿宋_GB2312" w:eastAsia="方正仿宋_GBK" w:cs="仿宋_GB2312"/>
          <w:sz w:val="32"/>
        </w:rPr>
        <w:t>。较年初预算数 增加288.74万 元，增长15.2%。主要原因是</w:t>
      </w:r>
      <w:r>
        <w:rPr>
          <w:rFonts w:ascii="方正仿宋_GBK" w:hAnsi="仿宋_GB2312" w:eastAsia="方正仿宋_GBK" w:cs="仿宋_GB2312"/>
          <w:sz w:val="32"/>
        </w:rPr>
        <w:t>教育支出</w:t>
      </w:r>
      <w:r>
        <w:rPr>
          <w:rFonts w:hint="eastAsia" w:ascii="方正仿宋_GBK" w:hAnsi="仿宋_GB2312" w:eastAsia="方正仿宋_GBK" w:cs="仿宋_GB2312"/>
          <w:sz w:val="32"/>
        </w:rPr>
        <w:t>增加288.74</w:t>
      </w:r>
      <w:r>
        <w:rPr>
          <w:rFonts w:ascii="方正仿宋_GBK" w:hAnsi="仿宋_GB2312" w:eastAsia="方正仿宋_GBK" w:cs="仿宋_GB2312"/>
          <w:sz w:val="32"/>
        </w:rPr>
        <w:t>元</w:t>
      </w:r>
      <w:r>
        <w:rPr>
          <w:rFonts w:hint="eastAsia" w:ascii="方正仿宋_GBK" w:hAnsi="仿宋_GB2312" w:eastAsia="方正仿宋_GBK" w:cs="仿宋_GB2312"/>
          <w:sz w:val="32"/>
        </w:rPr>
        <w:t>。</w:t>
      </w:r>
    </w:p>
    <w:p>
      <w:pPr>
        <w:pStyle w:val="5"/>
        <w:shd w:val="clear" w:color="auto" w:fill="FFFFFF"/>
        <w:spacing w:line="600" w:lineRule="exact"/>
        <w:ind w:firstLine="643" w:firstLineChars="200"/>
        <w:rPr>
          <w:rFonts w:ascii="方正仿宋_GBK" w:hAnsi="仿宋_GB2312" w:eastAsia="方正仿宋_GBK" w:cs="仿宋_GB2312"/>
          <w:sz w:val="32"/>
        </w:rPr>
      </w:pPr>
      <w:r>
        <w:rPr>
          <w:rFonts w:hint="eastAsia" w:ascii="方正仿宋_GBK" w:hAnsi="仿宋_GB2312" w:eastAsia="方正仿宋_GBK" w:cs="仿宋_GB2312"/>
          <w:b/>
          <w:bCs/>
          <w:sz w:val="32"/>
        </w:rPr>
        <w:t>3.结转结余情况。</w:t>
      </w:r>
      <w:r>
        <w:rPr>
          <w:rFonts w:hint="eastAsia" w:ascii="方正仿宋_GBK" w:hAnsi="仿宋_GB2312" w:eastAsia="方正仿宋_GBK" w:cs="仿宋_GB2312"/>
          <w:sz w:val="32"/>
        </w:rPr>
        <w:t>2020年度年末一般公共预算财政拨款结转和结余71.48万元，较上年决算数减少50.98万元，下降41.6%，主要原因是</w:t>
      </w:r>
      <w:r>
        <w:rPr>
          <w:rFonts w:ascii="方正仿宋_GBK" w:hAnsi="仿宋_GB2312" w:eastAsia="方正仿宋_GBK" w:cs="仿宋_GB2312"/>
          <w:sz w:val="32"/>
        </w:rPr>
        <w:t>教育支出</w:t>
      </w:r>
      <w:r>
        <w:rPr>
          <w:rFonts w:hint="eastAsia" w:ascii="方正仿宋_GBK" w:hAnsi="仿宋_GB2312" w:eastAsia="方正仿宋_GBK" w:cs="仿宋_GB2312"/>
          <w:sz w:val="32"/>
        </w:rPr>
        <w:t>增加-50.98</w:t>
      </w:r>
      <w:r>
        <w:rPr>
          <w:rFonts w:ascii="方正仿宋_GBK" w:hAnsi="仿宋_GB2312" w:eastAsia="方正仿宋_GBK" w:cs="仿宋_GB2312"/>
          <w:sz w:val="32"/>
        </w:rPr>
        <w:t>元</w:t>
      </w:r>
      <w:r>
        <w:rPr>
          <w:rFonts w:hint="eastAsia" w:ascii="方正仿宋_GBK" w:hAnsi="仿宋_GB2312" w:eastAsia="方正仿宋_GBK" w:cs="仿宋_GB2312"/>
          <w:sz w:val="32"/>
        </w:rPr>
        <w:t>。</w:t>
      </w:r>
    </w:p>
    <w:p>
      <w:pPr>
        <w:pStyle w:val="5"/>
        <w:shd w:val="clear" w:color="auto" w:fill="FFFFFF"/>
        <w:spacing w:line="600" w:lineRule="exact"/>
        <w:ind w:firstLine="643" w:firstLineChars="200"/>
        <w:rPr>
          <w:rFonts w:ascii="方正仿宋_GBK" w:hAnsi="仿宋_GB2312" w:eastAsia="方正仿宋_GBK" w:cs="仿宋_GB2312"/>
          <w:sz w:val="32"/>
        </w:rPr>
      </w:pPr>
      <w:r>
        <w:rPr>
          <w:rFonts w:hint="eastAsia" w:ascii="方正仿宋_GBK" w:hAnsi="仿宋_GB2312" w:eastAsia="方正仿宋_GBK" w:cs="仿宋_GB2312"/>
          <w:b/>
          <w:bCs/>
          <w:sz w:val="32"/>
        </w:rPr>
        <w:t>4.比较情况</w:t>
      </w:r>
      <w:r>
        <w:rPr>
          <w:rFonts w:hint="eastAsia" w:ascii="方正仿宋_GBK" w:hAnsi="仿宋_GB2312" w:eastAsia="方正仿宋_GBK" w:cs="仿宋_GB2312"/>
          <w:sz w:val="32"/>
        </w:rPr>
        <w:t>。本部门2020年度一般公共预算财政拨款支出主要用于以下几个方面：</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w:t>
      </w:r>
      <w:r>
        <w:rPr>
          <w:rFonts w:hint="eastAsia" w:ascii="方正仿宋_GBK" w:hAnsi="仿宋_GB2312" w:eastAsia="方正仿宋_GBK" w:cs="仿宋_GB2312"/>
          <w:sz w:val="32"/>
          <w:lang w:val="en-US" w:eastAsia="zh-CN"/>
        </w:rPr>
        <w:t>1</w:t>
      </w:r>
      <w:r>
        <w:rPr>
          <w:rFonts w:hint="eastAsia" w:ascii="方正仿宋_GBK" w:hAnsi="仿宋_GB2312" w:eastAsia="方正仿宋_GBK" w:cs="仿宋_GB2312"/>
          <w:sz w:val="32"/>
        </w:rPr>
        <w:t>）教育支出1,485.86万元，占68%，较年初预算数增加161.16万 元，增长12.2%，主要原因是增加在职人员目标考核。</w:t>
      </w:r>
    </w:p>
    <w:p>
      <w:pPr>
        <w:pStyle w:val="5"/>
        <w:shd w:val="clear" w:color="auto" w:fill="FFFFFF"/>
        <w:spacing w:line="600" w:lineRule="exact"/>
        <w:ind w:firstLine="640" w:firstLineChars="200"/>
        <w:rPr>
          <w:rFonts w:ascii="方正仿宋_GBK" w:hAnsi="仿宋_GB2312" w:eastAsia="方正仿宋_GBK" w:cs="仿宋_GB2312"/>
          <w:sz w:val="32"/>
        </w:rPr>
      </w:pP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w:t>
      </w:r>
      <w:r>
        <w:rPr>
          <w:rFonts w:hint="eastAsia" w:ascii="方正仿宋_GBK" w:hAnsi="仿宋_GB2312" w:eastAsia="方正仿宋_GBK" w:cs="仿宋_GB2312"/>
          <w:sz w:val="32"/>
          <w:lang w:val="en-US" w:eastAsia="zh-CN"/>
        </w:rPr>
        <w:t>2</w:t>
      </w:r>
      <w:r>
        <w:rPr>
          <w:rFonts w:hint="eastAsia" w:ascii="方正仿宋_GBK" w:hAnsi="仿宋_GB2312" w:eastAsia="方正仿宋_GBK" w:cs="仿宋_GB2312"/>
          <w:sz w:val="32"/>
        </w:rPr>
        <w:t>）社会保障与就业支出514.22万元，占23.5%，较年初预算数增加145.36万 元，增长39.4%，主要原因是退休目标考核。</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w:t>
      </w:r>
      <w:r>
        <w:rPr>
          <w:rFonts w:hint="eastAsia" w:ascii="方正仿宋_GBK" w:hAnsi="仿宋_GB2312" w:eastAsia="方正仿宋_GBK" w:cs="仿宋_GB2312"/>
          <w:sz w:val="32"/>
          <w:lang w:val="en-US" w:eastAsia="zh-CN"/>
        </w:rPr>
        <w:t>3</w:t>
      </w:r>
      <w:r>
        <w:rPr>
          <w:rFonts w:hint="eastAsia" w:ascii="方正仿宋_GBK" w:hAnsi="仿宋_GB2312" w:eastAsia="方正仿宋_GBK" w:cs="仿宋_GB2312"/>
          <w:sz w:val="32"/>
        </w:rPr>
        <w:t>）卫生健康支出100.71万元，占4.6%，较年初预算数减少12.62万 元，下降11.1%，主要原因是人员减少。</w:t>
      </w:r>
    </w:p>
    <w:p>
      <w:pPr>
        <w:pStyle w:val="5"/>
        <w:shd w:val="clear" w:color="auto" w:fill="FFFFFF"/>
        <w:spacing w:line="600" w:lineRule="exact"/>
        <w:ind w:firstLine="640" w:firstLineChars="200"/>
        <w:rPr>
          <w:rStyle w:val="8"/>
          <w:rFonts w:ascii="方正楷体_GBK" w:eastAsia="方正楷体_GBK"/>
          <w:sz w:val="32"/>
          <w:szCs w:val="32"/>
        </w:rPr>
      </w:pPr>
      <w:r>
        <w:rPr>
          <w:rStyle w:val="8"/>
          <w:rFonts w:hint="eastAsia" w:ascii="方正楷体_GBK" w:eastAsia="方正楷体_GBK"/>
          <w:b w:val="0"/>
          <w:bCs w:val="0"/>
          <w:sz w:val="32"/>
          <w:szCs w:val="32"/>
        </w:rPr>
        <w:t>（四）一般公共预算财政拨款基本支出决算情况说明</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  2020年度一般公共财政拨款基本支出2,090.64万元。其中：人员经费1,963.53万元，较上年决算数增加261.71万 元，增长15.4%，主要原因是工资福利支出增加121.29万元，对个人各家庭的补助支出增加140.42万元。人员经费用途主要包括工资福利支出、对个人各家庭的补助支出。公用经费127.12万元，较上年决算数减少9.77万元，下降7.1%，主要原因是学生人数减少。公用经费用途主要包括办公费、水费、电费、维修费、设备购置费、差旅费、培训费等。</w:t>
      </w:r>
    </w:p>
    <w:p>
      <w:pPr>
        <w:pStyle w:val="5"/>
        <w:shd w:val="clear" w:color="auto" w:fill="FFFFFF"/>
        <w:spacing w:line="600" w:lineRule="exact"/>
        <w:ind w:firstLine="643" w:firstLineChars="200"/>
        <w:rPr>
          <w:rStyle w:val="8"/>
          <w:rFonts w:ascii="方正楷体_GBK" w:eastAsia="方正楷体_GBK"/>
          <w:sz w:val="32"/>
          <w:szCs w:val="32"/>
        </w:rPr>
      </w:pPr>
      <w:r>
        <w:rPr>
          <w:rStyle w:val="8"/>
          <w:rFonts w:hint="eastAsia" w:ascii="方正楷体_GBK" w:eastAsia="方正楷体_GBK"/>
          <w:sz w:val="32"/>
          <w:szCs w:val="32"/>
        </w:rPr>
        <w:t>（五）政府性基金预算收支决算情况说明</w:t>
      </w:r>
    </w:p>
    <w:p>
      <w:pPr>
        <w:pStyle w:val="12"/>
        <w:autoSpaceDE w:val="0"/>
        <w:autoSpaceDN/>
        <w:spacing w:before="0" w:beforeAutospacing="0" w:after="0" w:afterAutospacing="0" w:line="600" w:lineRule="exact"/>
        <w:ind w:left="0" w:right="0" w:firstLine="640" w:firstLineChars="200"/>
        <w:rPr>
          <w:rFonts w:hint="default" w:ascii="Times New Roman" w:hAnsi="Times New Roman" w:eastAsia="方正仿宋_GBK" w:cs="宋体"/>
          <w:kern w:val="0"/>
          <w:sz w:val="32"/>
          <w:szCs w:val="32"/>
        </w:rPr>
      </w:pPr>
      <w:r>
        <w:rPr>
          <w:rFonts w:hint="default" w:ascii="Times New Roman" w:hAnsi="Times New Roman" w:eastAsia="方正仿宋_GBK" w:cs="宋体"/>
          <w:kern w:val="0"/>
          <w:sz w:val="32"/>
          <w:szCs w:val="32"/>
        </w:rPr>
        <w:t xml:space="preserve">  </w:t>
      </w:r>
      <w:r>
        <w:rPr>
          <w:rFonts w:hint="eastAsia" w:ascii="方正仿宋_GBK" w:hAnsi="方正仿宋_GBK" w:eastAsia="方正仿宋_GBK" w:cs="方正仿宋_GBK"/>
          <w:kern w:val="0"/>
          <w:sz w:val="32"/>
          <w:szCs w:val="32"/>
        </w:rPr>
        <w:t>本部门</w:t>
      </w:r>
      <w:r>
        <w:rPr>
          <w:rFonts w:hint="default" w:ascii="Times New Roman" w:hAnsi="Times New Roman" w:eastAsia="方正仿宋_GBK" w:cs="Times New Roman"/>
          <w:kern w:val="0"/>
          <w:sz w:val="32"/>
          <w:szCs w:val="32"/>
        </w:rPr>
        <w:t>2020</w:t>
      </w:r>
      <w:r>
        <w:rPr>
          <w:rFonts w:hint="eastAsia" w:ascii="方正仿宋_GBK" w:hAnsi="方正仿宋_GBK" w:eastAsia="方正仿宋_GBK" w:cs="方正仿宋_GBK"/>
          <w:kern w:val="0"/>
          <w:sz w:val="32"/>
          <w:szCs w:val="32"/>
        </w:rPr>
        <w:t>年度无政府性基金预算财政拨款收支。</w:t>
      </w:r>
      <w:r>
        <w:rPr>
          <w:rStyle w:val="8"/>
          <w:rFonts w:hint="eastAsia" w:ascii="方正楷体_GBK" w:eastAsia="方正楷体_GBK"/>
          <w:b w:val="0"/>
          <w:bCs w:val="0"/>
          <w:sz w:val="32"/>
          <w:szCs w:val="32"/>
        </w:rPr>
        <w:t>（六）国有资本经营预算财政拨款</w:t>
      </w:r>
      <w:r>
        <w:rPr>
          <w:rStyle w:val="8"/>
          <w:rFonts w:hint="eastAsia" w:ascii="方正楷体_GBK" w:eastAsia="方正楷体_GBK"/>
          <w:b w:val="0"/>
          <w:bCs w:val="0"/>
          <w:sz w:val="32"/>
          <w:szCs w:val="32"/>
          <w:lang w:eastAsia="zh-CN"/>
        </w:rPr>
        <w:t>支出</w:t>
      </w:r>
      <w:r>
        <w:rPr>
          <w:rStyle w:val="8"/>
          <w:rFonts w:hint="eastAsia" w:ascii="方正楷体_GBK" w:eastAsia="方正楷体_GBK"/>
          <w:b w:val="0"/>
          <w:bCs w:val="0"/>
          <w:sz w:val="32"/>
          <w:szCs w:val="32"/>
        </w:rPr>
        <w:t>决算情况说明。</w:t>
      </w:r>
      <w:r>
        <w:rPr>
          <w:rStyle w:val="8"/>
          <w:rFonts w:hint="eastAsia" w:ascii="方正楷体_GBK" w:eastAsia="方正楷体_GBK"/>
          <w:sz w:val="32"/>
          <w:szCs w:val="32"/>
        </w:rPr>
        <w:br w:type="textWrapping"/>
      </w:r>
      <w:r>
        <w:rPr>
          <w:rFonts w:hint="default" w:ascii="Times New Roman" w:hAnsi="Times New Roman" w:eastAsia="方正仿宋_GBK" w:cs="宋体"/>
          <w:kern w:val="0"/>
          <w:sz w:val="32"/>
          <w:szCs w:val="32"/>
        </w:rPr>
        <w:t xml:space="preserve">  </w:t>
      </w:r>
      <w:r>
        <w:rPr>
          <w:rFonts w:hint="eastAsia" w:ascii="方正仿宋_GBK" w:hAnsi="方正仿宋_GBK" w:eastAsia="方正仿宋_GBK" w:cs="方正仿宋_GBK"/>
          <w:kern w:val="0"/>
          <w:sz w:val="32"/>
          <w:szCs w:val="32"/>
        </w:rPr>
        <w:t>本部门</w:t>
      </w:r>
      <w:r>
        <w:rPr>
          <w:rFonts w:hint="default" w:ascii="Times New Roman" w:hAnsi="Times New Roman" w:eastAsia="方正仿宋_GBK" w:cs="Times New Roman"/>
          <w:kern w:val="0"/>
          <w:sz w:val="32"/>
          <w:szCs w:val="32"/>
        </w:rPr>
        <w:t>2020</w:t>
      </w:r>
      <w:r>
        <w:rPr>
          <w:rFonts w:hint="eastAsia" w:ascii="方正仿宋_GBK" w:hAnsi="方正仿宋_GBK" w:eastAsia="方正仿宋_GBK" w:cs="方正仿宋_GBK"/>
          <w:kern w:val="0"/>
          <w:sz w:val="32"/>
          <w:szCs w:val="32"/>
        </w:rPr>
        <w:t>年度无国有资本经营预算财政拨款支出。</w:t>
      </w:r>
    </w:p>
    <w:p>
      <w:pPr>
        <w:pStyle w:val="5"/>
        <w:shd w:val="clear" w:color="auto" w:fill="FFFFFF"/>
        <w:spacing w:line="600" w:lineRule="exact"/>
        <w:ind w:firstLine="640" w:firstLineChars="200"/>
        <w:rPr>
          <w:rFonts w:ascii="方正黑体_GBK" w:hAnsi="黑体" w:eastAsia="方正黑体_GBK" w:cs="仿宋_GB2312"/>
          <w:bCs/>
          <w:kern w:val="2"/>
          <w:sz w:val="32"/>
          <w:szCs w:val="32"/>
        </w:rPr>
      </w:pPr>
      <w:r>
        <w:rPr>
          <w:rFonts w:hint="eastAsia" w:ascii="方正黑体_GBK" w:hAnsi="黑体" w:eastAsia="方正黑体_GBK" w:cs="仿宋_GB2312"/>
          <w:bCs/>
          <w:kern w:val="2"/>
          <w:sz w:val="32"/>
          <w:szCs w:val="32"/>
        </w:rPr>
        <w:t>三、“三公”经费情况说明</w:t>
      </w:r>
    </w:p>
    <w:p>
      <w:pPr>
        <w:pStyle w:val="5"/>
        <w:shd w:val="clear" w:color="auto" w:fill="FFFFFF"/>
        <w:spacing w:line="600" w:lineRule="exact"/>
        <w:ind w:firstLine="643" w:firstLineChars="200"/>
        <w:rPr>
          <w:rStyle w:val="8"/>
          <w:rFonts w:ascii="方正楷体_GBK" w:eastAsia="方正楷体_GBK"/>
          <w:sz w:val="32"/>
          <w:szCs w:val="32"/>
        </w:rPr>
      </w:pPr>
      <w:r>
        <w:rPr>
          <w:rStyle w:val="8"/>
          <w:rFonts w:hint="eastAsia" w:ascii="方正楷体_GBK" w:eastAsia="方正楷体_GBK"/>
          <w:sz w:val="32"/>
          <w:szCs w:val="32"/>
        </w:rPr>
        <w:t>（一）“三公”经费支出总体情况说明</w:t>
      </w:r>
    </w:p>
    <w:p>
      <w:pPr>
        <w:pStyle w:val="13"/>
        <w:shd w:val="clear" w:fill="FFFFFF"/>
        <w:autoSpaceDE w:val="0"/>
        <w:autoSpaceDN/>
        <w:adjustRightInd w:val="0"/>
        <w:snapToGrid w:val="0"/>
        <w:spacing w:before="0" w:beforeAutospacing="0" w:after="0" w:afterAutospacing="0" w:line="600" w:lineRule="exact"/>
        <w:ind w:left="0" w:right="0" w:firstLine="640" w:firstLineChars="200"/>
        <w:jc w:val="both"/>
        <w:rPr>
          <w:rFonts w:hint="default" w:ascii="Times New Roman" w:hAnsi="Times New Roman" w:eastAsia="方正仿宋_GBK" w:cs="宋体"/>
          <w:kern w:val="0"/>
          <w:sz w:val="32"/>
          <w:szCs w:val="32"/>
          <w:shd w:val="clear" w:fill="FFFFFF"/>
        </w:rPr>
      </w:pPr>
      <w:r>
        <w:rPr>
          <w:rFonts w:hint="default" w:ascii="Times New Roman" w:hAnsi="Times New Roman" w:eastAsia="方正仿宋_GBK" w:cs="Times New Roman"/>
          <w:kern w:val="0"/>
          <w:sz w:val="32"/>
          <w:szCs w:val="32"/>
          <w:shd w:val="clear" w:fill="FFFFFF"/>
        </w:rPr>
        <w:t>2020</w:t>
      </w:r>
      <w:r>
        <w:rPr>
          <w:rFonts w:hint="eastAsia" w:ascii="方正仿宋_GBK" w:hAnsi="方正仿宋_GBK" w:eastAsia="方正仿宋_GBK" w:cs="方正仿宋_GBK"/>
          <w:kern w:val="0"/>
          <w:sz w:val="32"/>
          <w:szCs w:val="32"/>
          <w:shd w:val="clear" w:fill="FFFFFF"/>
        </w:rPr>
        <w:t>年度“三公”经费支出共计</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万元，较年初预算数增加</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万元，增长</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 较上年支出数增加</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 元，增长</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。本单位</w:t>
      </w:r>
      <w:r>
        <w:rPr>
          <w:rFonts w:hint="default" w:ascii="Times New Roman" w:hAnsi="Times New Roman" w:eastAsia="方正仿宋_GBK" w:cs="Times New Roman"/>
          <w:kern w:val="0"/>
          <w:sz w:val="32"/>
          <w:szCs w:val="32"/>
          <w:shd w:val="clear" w:fill="FFFFFF"/>
        </w:rPr>
        <w:t>2020</w:t>
      </w:r>
      <w:r>
        <w:rPr>
          <w:rFonts w:hint="eastAsia" w:ascii="方正仿宋_GBK" w:hAnsi="方正仿宋_GBK" w:eastAsia="方正仿宋_GBK" w:cs="方正仿宋_GBK"/>
          <w:kern w:val="0"/>
          <w:sz w:val="32"/>
          <w:szCs w:val="32"/>
          <w:shd w:val="clear" w:fill="FFFFFF"/>
        </w:rPr>
        <w:t>年未发生“三公”经费支出。</w:t>
      </w:r>
    </w:p>
    <w:p>
      <w:pPr>
        <w:pStyle w:val="5"/>
        <w:shd w:val="clear" w:color="auto" w:fill="FFFFFF"/>
        <w:spacing w:line="600" w:lineRule="exact"/>
        <w:ind w:firstLine="643" w:firstLineChars="200"/>
        <w:rPr>
          <w:rStyle w:val="8"/>
          <w:rFonts w:ascii="方正楷体_GBK" w:eastAsia="方正楷体_GBK"/>
          <w:sz w:val="32"/>
          <w:szCs w:val="32"/>
        </w:rPr>
      </w:pPr>
      <w:r>
        <w:rPr>
          <w:rStyle w:val="8"/>
          <w:rFonts w:hint="eastAsia" w:ascii="方正楷体_GBK" w:eastAsia="方正楷体_GBK"/>
          <w:bCs w:val="0"/>
          <w:sz w:val="32"/>
          <w:szCs w:val="32"/>
        </w:rPr>
        <w:t>（二）“三公”经费分项支出情况</w:t>
      </w:r>
    </w:p>
    <w:p>
      <w:pPr>
        <w:pStyle w:val="13"/>
        <w:shd w:val="clear" w:fill="FFFFFF"/>
        <w:autoSpaceDE w:val="0"/>
        <w:autoSpaceDN/>
        <w:adjustRightInd w:val="0"/>
        <w:snapToGrid w:val="0"/>
        <w:spacing w:before="0" w:beforeAutospacing="0" w:after="0" w:afterAutospacing="0" w:line="600" w:lineRule="exact"/>
        <w:ind w:left="0" w:right="0" w:firstLine="640" w:firstLineChars="200"/>
        <w:jc w:val="both"/>
        <w:rPr>
          <w:rFonts w:hint="default" w:ascii="Times New Roman" w:hAnsi="Times New Roman" w:eastAsia="方正仿宋_GBK" w:cs="宋体"/>
          <w:kern w:val="0"/>
          <w:sz w:val="32"/>
          <w:szCs w:val="32"/>
          <w:shd w:val="clear" w:fill="FFFFFF"/>
        </w:rPr>
      </w:pPr>
      <w:r>
        <w:rPr>
          <w:rFonts w:hint="default" w:ascii="Times New Roman" w:hAnsi="Times New Roman" w:eastAsia="方正仿宋_GBK" w:cs="Times New Roman"/>
          <w:kern w:val="0"/>
          <w:sz w:val="32"/>
          <w:szCs w:val="32"/>
          <w:shd w:val="clear" w:fill="FFFFFF"/>
        </w:rPr>
        <w:t>2020</w:t>
      </w:r>
      <w:r>
        <w:rPr>
          <w:rFonts w:hint="eastAsia" w:ascii="方正仿宋_GBK" w:hAnsi="方正仿宋_GBK" w:eastAsia="方正仿宋_GBK" w:cs="方正仿宋_GBK"/>
          <w:kern w:val="0"/>
          <w:sz w:val="32"/>
          <w:szCs w:val="32"/>
          <w:shd w:val="clear" w:fill="FFFFFF"/>
        </w:rPr>
        <w:t>年度本部门因公出国（境）费用</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万元，费用支出较年初预算数增加</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万元，增长</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，较上年支出数增加</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万元，增长</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。本单位</w:t>
      </w:r>
      <w:r>
        <w:rPr>
          <w:rFonts w:hint="default" w:ascii="Times New Roman" w:hAnsi="Times New Roman" w:eastAsia="方正仿宋_GBK" w:cs="Times New Roman"/>
          <w:kern w:val="0"/>
          <w:sz w:val="32"/>
          <w:szCs w:val="32"/>
          <w:shd w:val="clear" w:fill="FFFFFF"/>
        </w:rPr>
        <w:t>2020</w:t>
      </w:r>
      <w:r>
        <w:rPr>
          <w:rFonts w:hint="eastAsia" w:ascii="方正仿宋_GBK" w:hAnsi="方正仿宋_GBK" w:eastAsia="方正仿宋_GBK" w:cs="方正仿宋_GBK"/>
          <w:kern w:val="0"/>
          <w:sz w:val="32"/>
          <w:szCs w:val="32"/>
          <w:shd w:val="clear" w:fill="FFFFFF"/>
        </w:rPr>
        <w:t>年度本部门未发生因公出国（境）费用。</w:t>
      </w:r>
    </w:p>
    <w:p>
      <w:pPr>
        <w:pStyle w:val="13"/>
        <w:shd w:val="clear" w:fill="FFFFFF"/>
        <w:autoSpaceDE w:val="0"/>
        <w:autoSpaceDN/>
        <w:adjustRightInd w:val="0"/>
        <w:snapToGrid w:val="0"/>
        <w:spacing w:before="0" w:beforeAutospacing="0" w:after="0" w:afterAutospacing="0" w:line="600" w:lineRule="exact"/>
        <w:ind w:left="0" w:right="0" w:firstLine="640" w:firstLineChars="200"/>
        <w:jc w:val="both"/>
        <w:rPr>
          <w:rFonts w:hint="default" w:ascii="Times New Roman" w:hAnsi="Times New Roman" w:eastAsia="方正仿宋_GBK" w:cs="宋体"/>
          <w:kern w:val="0"/>
          <w:sz w:val="32"/>
          <w:szCs w:val="32"/>
          <w:shd w:val="clear" w:fill="FFFFFF"/>
        </w:rPr>
      </w:pPr>
      <w:r>
        <w:rPr>
          <w:rFonts w:hint="eastAsia" w:ascii="方正仿宋_GBK" w:hAnsi="方正仿宋_GBK" w:eastAsia="方正仿宋_GBK" w:cs="方正仿宋_GBK"/>
          <w:kern w:val="0"/>
          <w:sz w:val="32"/>
          <w:szCs w:val="32"/>
          <w:shd w:val="clear" w:fill="FFFFFF"/>
        </w:rPr>
        <w:t>公务车购置费</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万元，费用支出较年初预算数增加</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万元，增长</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。较上年支出数增加</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万元，增长</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。本单位</w:t>
      </w:r>
      <w:r>
        <w:rPr>
          <w:rFonts w:hint="default" w:ascii="Times New Roman" w:hAnsi="Times New Roman" w:eastAsia="方正仿宋_GBK" w:cs="Times New Roman"/>
          <w:kern w:val="0"/>
          <w:sz w:val="32"/>
          <w:szCs w:val="32"/>
          <w:shd w:val="clear" w:fill="FFFFFF"/>
        </w:rPr>
        <w:t>2020</w:t>
      </w:r>
      <w:r>
        <w:rPr>
          <w:rFonts w:hint="eastAsia" w:ascii="方正仿宋_GBK" w:hAnsi="方正仿宋_GBK" w:eastAsia="方正仿宋_GBK" w:cs="方正仿宋_GBK"/>
          <w:kern w:val="0"/>
          <w:sz w:val="32"/>
          <w:szCs w:val="32"/>
          <w:shd w:val="clear" w:fill="FFFFFF"/>
        </w:rPr>
        <w:t>年度未发生公务车购置费。</w:t>
      </w:r>
    </w:p>
    <w:p>
      <w:pPr>
        <w:pStyle w:val="13"/>
        <w:shd w:val="clear" w:fill="FFFFFF"/>
        <w:autoSpaceDE w:val="0"/>
        <w:autoSpaceDN/>
        <w:adjustRightInd w:val="0"/>
        <w:snapToGrid w:val="0"/>
        <w:spacing w:before="0" w:beforeAutospacing="0" w:after="0" w:afterAutospacing="0" w:line="600" w:lineRule="exact"/>
        <w:ind w:left="0" w:right="0" w:firstLine="640" w:firstLineChars="200"/>
        <w:jc w:val="both"/>
        <w:rPr>
          <w:rFonts w:hint="default" w:ascii="Times New Roman" w:hAnsi="Times New Roman" w:eastAsia="方正仿宋_GBK" w:cs="宋体"/>
          <w:kern w:val="0"/>
          <w:sz w:val="32"/>
          <w:szCs w:val="32"/>
          <w:shd w:val="clear" w:fill="FFFFFF"/>
        </w:rPr>
      </w:pPr>
      <w:r>
        <w:rPr>
          <w:rFonts w:hint="eastAsia" w:ascii="方正仿宋_GBK" w:hAnsi="方正仿宋_GBK" w:eastAsia="方正仿宋_GBK" w:cs="方正仿宋_GBK"/>
          <w:kern w:val="0"/>
          <w:sz w:val="32"/>
          <w:szCs w:val="32"/>
          <w:shd w:val="clear" w:fill="FFFFFF"/>
        </w:rPr>
        <w:t>公务车运行维护费</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万元，费用支出较年初预算数增加</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万元，增长</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，较上年支出数增加</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万元，增长</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。本单位</w:t>
      </w:r>
      <w:r>
        <w:rPr>
          <w:rFonts w:hint="default" w:ascii="Times New Roman" w:hAnsi="Times New Roman" w:eastAsia="方正仿宋_GBK" w:cs="Times New Roman"/>
          <w:kern w:val="0"/>
          <w:sz w:val="32"/>
          <w:szCs w:val="32"/>
          <w:shd w:val="clear" w:fill="FFFFFF"/>
        </w:rPr>
        <w:t>2020</w:t>
      </w:r>
      <w:r>
        <w:rPr>
          <w:rFonts w:hint="eastAsia" w:ascii="方正仿宋_GBK" w:hAnsi="方正仿宋_GBK" w:eastAsia="方正仿宋_GBK" w:cs="方正仿宋_GBK"/>
          <w:kern w:val="0"/>
          <w:sz w:val="32"/>
          <w:szCs w:val="32"/>
          <w:shd w:val="clear" w:fill="FFFFFF"/>
        </w:rPr>
        <w:t>年度未发生公务车运行维护费。</w:t>
      </w:r>
    </w:p>
    <w:p>
      <w:pPr>
        <w:pStyle w:val="13"/>
        <w:shd w:val="clear" w:fill="FFFFFF"/>
        <w:autoSpaceDE w:val="0"/>
        <w:autoSpaceDN/>
        <w:adjustRightInd w:val="0"/>
        <w:snapToGrid w:val="0"/>
        <w:spacing w:before="0" w:beforeAutospacing="0" w:after="0" w:afterAutospacing="0" w:line="600" w:lineRule="exact"/>
        <w:ind w:left="0" w:right="0" w:firstLine="640" w:firstLineChars="200"/>
        <w:jc w:val="both"/>
        <w:rPr>
          <w:rFonts w:ascii="方正仿宋_GBK" w:hAnsi="仿宋_GB2312" w:eastAsia="方正仿宋_GBK" w:cs="仿宋_GB2312"/>
          <w:sz w:val="32"/>
        </w:rPr>
      </w:pPr>
      <w:r>
        <w:rPr>
          <w:rFonts w:hint="eastAsia" w:ascii="方正仿宋_GBK" w:hAnsi="方正仿宋_GBK" w:eastAsia="方正仿宋_GBK" w:cs="方正仿宋_GBK"/>
          <w:kern w:val="0"/>
          <w:sz w:val="32"/>
          <w:szCs w:val="32"/>
          <w:shd w:val="clear" w:fill="FFFFFF"/>
        </w:rPr>
        <w:t>公务接待费</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万元，费用支出较年初预算数增加</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万元，增长</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。较上年支出数增加</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万元，增长</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。本单位</w:t>
      </w:r>
      <w:r>
        <w:rPr>
          <w:rFonts w:hint="default" w:ascii="Times New Roman" w:hAnsi="Times New Roman" w:eastAsia="方正仿宋_GBK" w:cs="Times New Roman"/>
          <w:kern w:val="0"/>
          <w:sz w:val="32"/>
          <w:szCs w:val="32"/>
          <w:shd w:val="clear" w:fill="FFFFFF"/>
        </w:rPr>
        <w:t>2020</w:t>
      </w:r>
      <w:r>
        <w:rPr>
          <w:rFonts w:hint="eastAsia" w:ascii="方正仿宋_GBK" w:hAnsi="方正仿宋_GBK" w:eastAsia="方正仿宋_GBK" w:cs="方正仿宋_GBK"/>
          <w:kern w:val="0"/>
          <w:sz w:val="32"/>
          <w:szCs w:val="32"/>
          <w:shd w:val="clear" w:fill="FFFFFF"/>
        </w:rPr>
        <w:t>年度未发生公务接待费。</w:t>
      </w:r>
    </w:p>
    <w:p>
      <w:pPr>
        <w:pStyle w:val="5"/>
        <w:shd w:val="clear" w:color="auto" w:fill="FFFFFF"/>
        <w:spacing w:line="600" w:lineRule="exact"/>
        <w:ind w:firstLine="643" w:firstLineChars="200"/>
        <w:rPr>
          <w:rStyle w:val="8"/>
          <w:rFonts w:ascii="方正楷体_GBK" w:eastAsia="方正楷体_GBK"/>
          <w:sz w:val="32"/>
          <w:szCs w:val="32"/>
        </w:rPr>
      </w:pPr>
      <w:r>
        <w:rPr>
          <w:rStyle w:val="8"/>
          <w:rFonts w:hint="eastAsia" w:ascii="方正楷体_GBK" w:eastAsia="方正楷体_GBK"/>
          <w:sz w:val="32"/>
          <w:szCs w:val="32"/>
        </w:rPr>
        <w:t>（三）“三公”经费实物量情况</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2020年度本部门因公出国（境）共计0个团组，0人；公务用车购置0辆，公务车保有量为0辆；国内公务接待0批次0人，其中：国内外 事接待0批次，0人；国（境）外公务接待0批次，0人。2020年本部门人均接待费0.00元，车均购置费0.00万元，车均维护费0.00万元。</w:t>
      </w:r>
    </w:p>
    <w:p>
      <w:pPr>
        <w:pStyle w:val="5"/>
        <w:shd w:val="clear" w:color="auto" w:fill="FFFFFF"/>
        <w:spacing w:line="600" w:lineRule="exact"/>
        <w:ind w:firstLine="640" w:firstLineChars="200"/>
        <w:rPr>
          <w:rFonts w:ascii="方正黑体_GBK" w:hAnsi="黑体" w:eastAsia="方正黑体_GBK" w:cs="仿宋_GB2312"/>
          <w:kern w:val="2"/>
          <w:sz w:val="32"/>
          <w:szCs w:val="32"/>
        </w:rPr>
      </w:pPr>
      <w:r>
        <w:rPr>
          <w:rFonts w:hint="eastAsia" w:ascii="方正黑体_GBK" w:hAnsi="黑体" w:eastAsia="方正黑体_GBK" w:cs="仿宋_GB2312"/>
          <w:kern w:val="2"/>
          <w:sz w:val="32"/>
          <w:szCs w:val="32"/>
        </w:rPr>
        <w:t>四、其他需要说明的事项</w:t>
      </w:r>
    </w:p>
    <w:p>
      <w:pPr>
        <w:pStyle w:val="5"/>
        <w:shd w:val="clear" w:color="auto" w:fill="FFFFFF"/>
        <w:spacing w:line="600" w:lineRule="exact"/>
        <w:ind w:firstLine="643" w:firstLineChars="200"/>
        <w:rPr>
          <w:rStyle w:val="8"/>
          <w:rFonts w:ascii="方正楷体_GBK" w:eastAsia="方正楷体_GBK"/>
          <w:sz w:val="32"/>
          <w:szCs w:val="32"/>
        </w:rPr>
      </w:pPr>
      <w:r>
        <w:rPr>
          <w:rStyle w:val="8"/>
          <w:rFonts w:hint="eastAsia" w:ascii="方正楷体_GBK" w:eastAsia="方正楷体_GBK"/>
          <w:bCs w:val="0"/>
          <w:sz w:val="32"/>
          <w:szCs w:val="32"/>
        </w:rPr>
        <w:t>（一）机关运行经费情况说明</w:t>
      </w:r>
    </w:p>
    <w:p>
      <w:pPr>
        <w:pStyle w:val="13"/>
        <w:shd w:val="clear" w:fill="FFFFFF"/>
        <w:autoSpaceDE w:val="0"/>
        <w:autoSpaceDN/>
        <w:adjustRightInd w:val="0"/>
        <w:snapToGrid w:val="0"/>
        <w:spacing w:before="0" w:beforeAutospacing="0" w:after="0" w:afterAutospacing="0" w:line="600" w:lineRule="exact"/>
        <w:ind w:left="0" w:right="0" w:firstLine="640" w:firstLineChars="200"/>
        <w:jc w:val="both"/>
        <w:rPr>
          <w:rFonts w:hint="default" w:ascii="Times New Roman" w:hAnsi="Times New Roman" w:eastAsia="方正仿宋_GBK" w:cs="宋体"/>
          <w:kern w:val="0"/>
          <w:sz w:val="32"/>
          <w:szCs w:val="32"/>
          <w:shd w:val="clear" w:fill="FFFFFF"/>
        </w:rPr>
      </w:pPr>
      <w:r>
        <w:rPr>
          <w:rFonts w:hint="default" w:ascii="Times New Roman" w:hAnsi="Times New Roman" w:eastAsia="方正仿宋_GBK" w:cs="Times New Roman"/>
          <w:kern w:val="0"/>
          <w:sz w:val="32"/>
          <w:szCs w:val="32"/>
          <w:shd w:val="clear" w:fill="FFFFFF"/>
        </w:rPr>
        <w:t>2020</w:t>
      </w:r>
      <w:r>
        <w:rPr>
          <w:rFonts w:hint="eastAsia" w:ascii="方正仿宋_GBK" w:hAnsi="方正仿宋_GBK" w:eastAsia="方正仿宋_GBK" w:cs="方正仿宋_GBK"/>
          <w:kern w:val="0"/>
          <w:sz w:val="32"/>
          <w:szCs w:val="32"/>
          <w:shd w:val="clear" w:fill="FFFFFF"/>
        </w:rPr>
        <w:t>年度本部门机关运行经费支出</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万元，机关运行经费较上年决算数增加</w:t>
      </w:r>
      <w:r>
        <w:rPr>
          <w:rFonts w:hint="default" w:ascii="Times New Roman" w:hAnsi="Times New Roman" w:eastAsia="方正仿宋_GBK" w:cs="Times New Roman"/>
          <w:kern w:val="0"/>
          <w:sz w:val="32"/>
          <w:szCs w:val="32"/>
          <w:shd w:val="clear" w:fill="FFFFFF"/>
        </w:rPr>
        <w:t>0.00</w:t>
      </w:r>
      <w:r>
        <w:rPr>
          <w:rFonts w:hint="eastAsia" w:ascii="方正仿宋_GBK" w:hAnsi="方正仿宋_GBK" w:eastAsia="方正仿宋_GBK" w:cs="方正仿宋_GBK"/>
          <w:kern w:val="0"/>
          <w:sz w:val="32"/>
          <w:szCs w:val="32"/>
          <w:shd w:val="clear" w:fill="FFFFFF"/>
        </w:rPr>
        <w:t>万元，增长</w:t>
      </w:r>
      <w:r>
        <w:rPr>
          <w:rFonts w:hint="default" w:ascii="Times New Roman" w:hAnsi="Times New Roman" w:eastAsia="方正仿宋_GBK" w:cs="Times New Roman"/>
          <w:kern w:val="0"/>
          <w:sz w:val="32"/>
          <w:szCs w:val="32"/>
          <w:shd w:val="clear" w:fill="FFFFFF"/>
        </w:rPr>
        <w:t>0%</w:t>
      </w:r>
      <w:r>
        <w:rPr>
          <w:rFonts w:hint="eastAsia" w:ascii="方正仿宋_GBK" w:hAnsi="方正仿宋_GBK" w:eastAsia="方正仿宋_GBK" w:cs="方正仿宋_GBK"/>
          <w:kern w:val="0"/>
          <w:sz w:val="32"/>
          <w:szCs w:val="32"/>
          <w:shd w:val="clear" w:fill="FFFFFF"/>
        </w:rPr>
        <w:t>，按照部门决算列报口径，我单位不在机关运行经费统计范围之内。</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本年度会议费支出0.22万元，较上年决算数减少2.23万元，下降91%，主要原因是疫情原因减少了会议。本年度培训费支出 3.56万元，较上年决算数减少3.23万元，下降47.6%，主要原因是疫情原</w:t>
      </w:r>
      <w:bookmarkStart w:id="0" w:name="_GoBack"/>
      <w:bookmarkEnd w:id="0"/>
      <w:r>
        <w:rPr>
          <w:rFonts w:hint="eastAsia" w:ascii="方正仿宋_GBK" w:hAnsi="仿宋_GB2312" w:eastAsia="方正仿宋_GBK" w:cs="仿宋_GB2312"/>
          <w:sz w:val="32"/>
        </w:rPr>
        <w:t>因减少数培训为网上培训。</w:t>
      </w:r>
    </w:p>
    <w:p>
      <w:pPr>
        <w:pStyle w:val="5"/>
        <w:shd w:val="clear" w:color="auto" w:fill="FFFFFF"/>
        <w:spacing w:line="600" w:lineRule="exact"/>
        <w:ind w:firstLine="643" w:firstLineChars="200"/>
        <w:rPr>
          <w:rStyle w:val="8"/>
          <w:rFonts w:ascii="方正楷体_GBK" w:eastAsia="方正楷体_GBK"/>
          <w:sz w:val="32"/>
          <w:szCs w:val="32"/>
        </w:rPr>
      </w:pPr>
      <w:r>
        <w:rPr>
          <w:rStyle w:val="8"/>
          <w:rFonts w:hint="eastAsia" w:ascii="方正楷体_GBK" w:eastAsia="方正楷体_GBK"/>
          <w:sz w:val="32"/>
          <w:szCs w:val="32"/>
        </w:rPr>
        <w:t>（二）国有资产占用情况说明</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截至2020年12月31日，本部门共有车辆0辆，其中，副部（省）级及以上领导用车0辆、主要领导干部用车0辆、机要通信用车0辆、应急保障用车0辆、执法执勤用车0辆，特种专业技术用车0辆，离退休干部用车0辆，其他用车0辆，单价50万元（含）以上通用设备0台（套），单价100万元（含）以上专用设备0台（套）。</w:t>
      </w:r>
    </w:p>
    <w:p>
      <w:pPr>
        <w:pStyle w:val="5"/>
        <w:shd w:val="clear" w:color="auto" w:fill="FFFFFF"/>
        <w:spacing w:line="600" w:lineRule="exact"/>
        <w:ind w:firstLine="643" w:firstLineChars="200"/>
        <w:rPr>
          <w:rStyle w:val="8"/>
          <w:rFonts w:ascii="方正楷体_GBK" w:eastAsia="方正楷体_GBK"/>
          <w:sz w:val="32"/>
          <w:szCs w:val="32"/>
        </w:rPr>
      </w:pPr>
      <w:r>
        <w:rPr>
          <w:rStyle w:val="8"/>
          <w:rFonts w:hint="eastAsia" w:ascii="方正楷体_GBK" w:eastAsia="方正楷体_GBK"/>
          <w:bCs w:val="0"/>
          <w:sz w:val="32"/>
          <w:szCs w:val="32"/>
        </w:rPr>
        <w:t>（三）政府采购支出情况说明</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2020年度本部门政府采购支出总额1.17万元，其中：政府采购货物支出1.17万元、政府采购工程支出0.00万元、政府采购服务支出0.00万元。授予中小企业合同金额1.17万元，占政府采购支出总额的100%，其中：授予小微企业合同金额 1.17万元，占政府采购支出总额的100%。主要用于采购图书。</w:t>
      </w:r>
    </w:p>
    <w:p>
      <w:pPr>
        <w:pStyle w:val="5"/>
        <w:shd w:val="clear" w:color="auto" w:fill="FFFFFF"/>
        <w:spacing w:line="600" w:lineRule="exact"/>
        <w:ind w:firstLine="640" w:firstLineChars="200"/>
        <w:rPr>
          <w:rFonts w:ascii="方正黑体_GBK" w:hAnsi="黑体" w:eastAsia="方正黑体_GBK" w:cs="仿宋_GB2312"/>
          <w:bCs/>
          <w:kern w:val="2"/>
          <w:sz w:val="32"/>
          <w:szCs w:val="32"/>
        </w:rPr>
      </w:pPr>
      <w:r>
        <w:rPr>
          <w:rFonts w:hint="eastAsia" w:ascii="方正黑体_GBK" w:hAnsi="黑体" w:eastAsia="方正黑体_GBK" w:cs="仿宋_GB2312"/>
          <w:bCs/>
          <w:kern w:val="2"/>
          <w:sz w:val="32"/>
          <w:szCs w:val="32"/>
        </w:rPr>
        <w:t>五、预算绩效管理情况说明</w:t>
      </w:r>
    </w:p>
    <w:p>
      <w:pPr>
        <w:pStyle w:val="5"/>
        <w:shd w:val="clear" w:color="auto" w:fill="FFFFFF"/>
        <w:spacing w:line="600" w:lineRule="exact"/>
        <w:ind w:firstLine="643" w:firstLineChars="200"/>
        <w:rPr>
          <w:rStyle w:val="8"/>
          <w:rFonts w:ascii="方正楷体_GBK" w:eastAsia="方正楷体_GBK"/>
          <w:sz w:val="32"/>
          <w:szCs w:val="32"/>
        </w:rPr>
      </w:pPr>
      <w:r>
        <w:rPr>
          <w:rStyle w:val="8"/>
          <w:rFonts w:hint="eastAsia" w:ascii="方正楷体_GBK" w:eastAsia="方正楷体_GBK"/>
          <w:sz w:val="32"/>
          <w:szCs w:val="32"/>
        </w:rPr>
        <w:t>（一）预算绩效管理工作开展情况</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根据预算绩效管理要求，本单位对部门整体7个项目开展了绩效自评，其中，以填报目标自评表形式开展自评7项，涉及资金71.47万元；。</w:t>
      </w:r>
    </w:p>
    <w:p>
      <w:pPr>
        <w:pStyle w:val="5"/>
        <w:shd w:val="clear" w:color="auto" w:fill="FFFFFF"/>
        <w:spacing w:line="600" w:lineRule="exact"/>
        <w:ind w:firstLine="643" w:firstLineChars="200"/>
        <w:rPr>
          <w:rStyle w:val="8"/>
          <w:rFonts w:ascii="方正楷体_GBK" w:eastAsia="方正楷体_GBK"/>
          <w:sz w:val="32"/>
          <w:szCs w:val="32"/>
        </w:rPr>
      </w:pPr>
      <w:r>
        <w:rPr>
          <w:rStyle w:val="8"/>
          <w:rFonts w:hint="eastAsia" w:ascii="方正楷体_GBK" w:eastAsia="方正楷体_GBK"/>
          <w:bCs w:val="0"/>
          <w:sz w:val="32"/>
          <w:szCs w:val="32"/>
        </w:rPr>
        <w:t>（二）绩效自评结果</w:t>
      </w:r>
    </w:p>
    <w:p>
      <w:pPr>
        <w:pStyle w:val="5"/>
        <w:shd w:val="clear" w:color="auto" w:fill="FFFFFF"/>
        <w:spacing w:line="600" w:lineRule="exact"/>
        <w:ind w:firstLine="643" w:firstLineChars="200"/>
        <w:rPr>
          <w:rFonts w:ascii="方正仿宋_GBK" w:hAnsi="仿宋_GB2312" w:eastAsia="方正仿宋_GBK" w:cs="仿宋_GB2312"/>
          <w:b/>
          <w:bCs/>
          <w:sz w:val="32"/>
        </w:rPr>
      </w:pPr>
      <w:r>
        <w:rPr>
          <w:rFonts w:hint="eastAsia" w:ascii="方正仿宋_GBK" w:hAnsi="仿宋_GB2312" w:eastAsia="方正仿宋_GBK" w:cs="仿宋_GB2312"/>
          <w:b/>
          <w:bCs/>
          <w:sz w:val="32"/>
        </w:rPr>
        <w:t>1.绩效自评表</w:t>
      </w:r>
    </w:p>
    <w:tbl>
      <w:tblPr>
        <w:tblStyle w:val="6"/>
        <w:tblW w:w="8540" w:type="dxa"/>
        <w:tblInd w:w="93" w:type="dxa"/>
        <w:tblLayout w:type="autofit"/>
        <w:tblCellMar>
          <w:top w:w="0" w:type="dxa"/>
          <w:left w:w="108" w:type="dxa"/>
          <w:bottom w:w="0" w:type="dxa"/>
          <w:right w:w="108" w:type="dxa"/>
        </w:tblCellMar>
      </w:tblPr>
      <w:tblGrid>
        <w:gridCol w:w="700"/>
        <w:gridCol w:w="1480"/>
        <w:gridCol w:w="940"/>
        <w:gridCol w:w="760"/>
        <w:gridCol w:w="1320"/>
        <w:gridCol w:w="1300"/>
        <w:gridCol w:w="1040"/>
        <w:gridCol w:w="1000"/>
      </w:tblGrid>
      <w:tr>
        <w:tblPrEx>
          <w:tblCellMar>
            <w:top w:w="0" w:type="dxa"/>
            <w:left w:w="108" w:type="dxa"/>
            <w:bottom w:w="0" w:type="dxa"/>
            <w:right w:w="108" w:type="dxa"/>
          </w:tblCellMar>
        </w:tblPrEx>
        <w:trPr>
          <w:trHeight w:val="585" w:hRule="atLeast"/>
        </w:trPr>
        <w:tc>
          <w:tcPr>
            <w:tcW w:w="8540" w:type="dxa"/>
            <w:gridSpan w:val="8"/>
            <w:tcBorders>
              <w:top w:val="nil"/>
              <w:left w:val="nil"/>
              <w:bottom w:val="nil"/>
              <w:right w:val="nil"/>
            </w:tcBorders>
            <w:shd w:val="clear" w:color="auto" w:fill="auto"/>
            <w:vAlign w:val="center"/>
          </w:tcPr>
          <w:p>
            <w:pPr>
              <w:jc w:val="center"/>
              <w:rPr>
                <w:b/>
                <w:bCs/>
                <w:color w:val="000000"/>
                <w:sz w:val="32"/>
                <w:szCs w:val="32"/>
              </w:rPr>
            </w:pPr>
            <w:r>
              <w:rPr>
                <w:rFonts w:hint="eastAsia"/>
                <w:b/>
                <w:bCs/>
                <w:color w:val="000000"/>
                <w:sz w:val="32"/>
                <w:szCs w:val="32"/>
              </w:rPr>
              <w:t>2021年度部门（单位）项目支出绩效自评表</w:t>
            </w:r>
          </w:p>
        </w:tc>
      </w:tr>
      <w:tr>
        <w:tblPrEx>
          <w:tblCellMar>
            <w:top w:w="0" w:type="dxa"/>
            <w:left w:w="108" w:type="dxa"/>
            <w:bottom w:w="0" w:type="dxa"/>
            <w:right w:w="108" w:type="dxa"/>
          </w:tblCellMar>
        </w:tblPrEx>
        <w:trPr>
          <w:trHeight w:val="780" w:hRule="atLeast"/>
        </w:trPr>
        <w:tc>
          <w:tcPr>
            <w:tcW w:w="2180" w:type="dxa"/>
            <w:gridSpan w:val="2"/>
            <w:tcBorders>
              <w:top w:val="nil"/>
              <w:left w:val="nil"/>
              <w:bottom w:val="single" w:color="auto" w:sz="4" w:space="0"/>
              <w:right w:val="nil"/>
            </w:tcBorders>
            <w:shd w:val="clear" w:color="auto" w:fill="auto"/>
            <w:vAlign w:val="center"/>
          </w:tcPr>
          <w:p>
            <w:pPr>
              <w:rPr>
                <w:b/>
                <w:bCs/>
                <w:color w:val="000000"/>
                <w:sz w:val="20"/>
                <w:szCs w:val="20"/>
              </w:rPr>
            </w:pPr>
            <w:r>
              <w:rPr>
                <w:rFonts w:hint="eastAsia"/>
                <w:b/>
                <w:bCs/>
                <w:color w:val="000000"/>
                <w:sz w:val="20"/>
                <w:szCs w:val="20"/>
              </w:rPr>
              <w:t>填表单位（盖章）：重庆市綦江区打通第一小学</w:t>
            </w:r>
          </w:p>
        </w:tc>
        <w:tc>
          <w:tcPr>
            <w:tcW w:w="940" w:type="dxa"/>
            <w:tcBorders>
              <w:top w:val="nil"/>
              <w:left w:val="nil"/>
              <w:bottom w:val="nil"/>
              <w:right w:val="nil"/>
            </w:tcBorders>
            <w:shd w:val="clear" w:color="auto" w:fill="auto"/>
            <w:vAlign w:val="center"/>
          </w:tcPr>
          <w:p>
            <w:pPr>
              <w:jc w:val="center"/>
              <w:rPr>
                <w:b/>
                <w:bCs/>
                <w:color w:val="000000"/>
                <w:sz w:val="32"/>
                <w:szCs w:val="32"/>
              </w:rPr>
            </w:pPr>
          </w:p>
        </w:tc>
        <w:tc>
          <w:tcPr>
            <w:tcW w:w="760" w:type="dxa"/>
            <w:tcBorders>
              <w:top w:val="nil"/>
              <w:left w:val="nil"/>
              <w:bottom w:val="nil"/>
              <w:right w:val="nil"/>
            </w:tcBorders>
            <w:shd w:val="clear" w:color="auto" w:fill="auto"/>
            <w:vAlign w:val="center"/>
          </w:tcPr>
          <w:p>
            <w:pPr>
              <w:jc w:val="center"/>
              <w:rPr>
                <w:b/>
                <w:bCs/>
                <w:color w:val="000000"/>
                <w:sz w:val="32"/>
                <w:szCs w:val="32"/>
              </w:rPr>
            </w:pPr>
          </w:p>
        </w:tc>
        <w:tc>
          <w:tcPr>
            <w:tcW w:w="1320" w:type="dxa"/>
            <w:tcBorders>
              <w:top w:val="nil"/>
              <w:left w:val="nil"/>
              <w:bottom w:val="nil"/>
              <w:right w:val="nil"/>
            </w:tcBorders>
            <w:shd w:val="clear" w:color="auto" w:fill="auto"/>
            <w:vAlign w:val="center"/>
          </w:tcPr>
          <w:p>
            <w:pPr>
              <w:jc w:val="center"/>
              <w:rPr>
                <w:b/>
                <w:bCs/>
                <w:color w:val="000000"/>
                <w:sz w:val="32"/>
                <w:szCs w:val="32"/>
              </w:rPr>
            </w:pPr>
          </w:p>
        </w:tc>
        <w:tc>
          <w:tcPr>
            <w:tcW w:w="1300" w:type="dxa"/>
            <w:tcBorders>
              <w:top w:val="nil"/>
              <w:left w:val="nil"/>
              <w:bottom w:val="nil"/>
              <w:right w:val="nil"/>
            </w:tcBorders>
            <w:shd w:val="clear" w:color="auto" w:fill="auto"/>
            <w:vAlign w:val="center"/>
          </w:tcPr>
          <w:p>
            <w:pPr>
              <w:jc w:val="center"/>
              <w:rPr>
                <w:b/>
                <w:bCs/>
                <w:color w:val="000000"/>
                <w:sz w:val="32"/>
                <w:szCs w:val="32"/>
              </w:rPr>
            </w:pPr>
          </w:p>
        </w:tc>
        <w:tc>
          <w:tcPr>
            <w:tcW w:w="1040" w:type="dxa"/>
            <w:tcBorders>
              <w:top w:val="nil"/>
              <w:left w:val="nil"/>
              <w:bottom w:val="nil"/>
              <w:right w:val="nil"/>
            </w:tcBorders>
            <w:shd w:val="clear" w:color="auto" w:fill="auto"/>
            <w:vAlign w:val="center"/>
          </w:tcPr>
          <w:p>
            <w:pPr>
              <w:jc w:val="center"/>
              <w:rPr>
                <w:b/>
                <w:bCs/>
                <w:color w:val="000000"/>
                <w:sz w:val="32"/>
                <w:szCs w:val="32"/>
              </w:rPr>
            </w:pPr>
          </w:p>
        </w:tc>
        <w:tc>
          <w:tcPr>
            <w:tcW w:w="1000" w:type="dxa"/>
            <w:tcBorders>
              <w:top w:val="nil"/>
              <w:left w:val="nil"/>
              <w:bottom w:val="nil"/>
              <w:right w:val="nil"/>
            </w:tcBorders>
            <w:shd w:val="clear" w:color="auto" w:fill="auto"/>
            <w:vAlign w:val="center"/>
          </w:tcPr>
          <w:p>
            <w:pPr>
              <w:jc w:val="center"/>
              <w:rPr>
                <w:b/>
                <w:bCs/>
                <w:color w:val="000000"/>
                <w:sz w:val="32"/>
                <w:szCs w:val="32"/>
              </w:rPr>
            </w:pPr>
          </w:p>
        </w:tc>
      </w:tr>
      <w:tr>
        <w:tblPrEx>
          <w:tblCellMar>
            <w:top w:w="0" w:type="dxa"/>
            <w:left w:w="108" w:type="dxa"/>
            <w:bottom w:w="0" w:type="dxa"/>
            <w:right w:w="108" w:type="dxa"/>
          </w:tblCellMar>
        </w:tblPrEx>
        <w:trPr>
          <w:trHeight w:val="645" w:hRule="atLeast"/>
        </w:trPr>
        <w:tc>
          <w:tcPr>
            <w:tcW w:w="700"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项目名称</w:t>
            </w:r>
          </w:p>
        </w:tc>
        <w:tc>
          <w:tcPr>
            <w:tcW w:w="3180" w:type="dxa"/>
            <w:gridSpan w:val="3"/>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贫困幼儿资助</w:t>
            </w:r>
          </w:p>
        </w:tc>
        <w:tc>
          <w:tcPr>
            <w:tcW w:w="1320" w:type="dxa"/>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自评总分</w:t>
            </w:r>
            <w:r>
              <w:rPr>
                <w:rFonts w:hint="eastAsia"/>
                <w:color w:val="000000"/>
                <w:sz w:val="20"/>
                <w:szCs w:val="20"/>
              </w:rPr>
              <w:br w:type="textWrapping"/>
            </w:r>
            <w:r>
              <w:rPr>
                <w:rFonts w:hint="eastAsia"/>
                <w:color w:val="000000"/>
                <w:sz w:val="20"/>
                <w:szCs w:val="20"/>
              </w:rPr>
              <w:t>（分)</w:t>
            </w:r>
          </w:p>
        </w:tc>
        <w:tc>
          <w:tcPr>
            <w:tcW w:w="3340" w:type="dxa"/>
            <w:gridSpan w:val="3"/>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r>
      <w:tr>
        <w:tblPrEx>
          <w:tblCellMar>
            <w:top w:w="0" w:type="dxa"/>
            <w:left w:w="108" w:type="dxa"/>
            <w:bottom w:w="0" w:type="dxa"/>
            <w:right w:w="108" w:type="dxa"/>
          </w:tblCellMar>
        </w:tblPrEx>
        <w:trPr>
          <w:trHeight w:val="645" w:hRule="atLeast"/>
        </w:trPr>
        <w:tc>
          <w:tcPr>
            <w:tcW w:w="700"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业务主管部门</w:t>
            </w:r>
          </w:p>
        </w:tc>
        <w:tc>
          <w:tcPr>
            <w:tcW w:w="3180" w:type="dxa"/>
            <w:gridSpan w:val="3"/>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重庆市綦江区教育委员会</w:t>
            </w:r>
          </w:p>
        </w:tc>
        <w:tc>
          <w:tcPr>
            <w:tcW w:w="132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联系人</w:t>
            </w:r>
            <w:r>
              <w:rPr>
                <w:rFonts w:hint="eastAsia"/>
                <w:color w:val="000000"/>
                <w:sz w:val="20"/>
                <w:szCs w:val="20"/>
              </w:rPr>
              <w:br w:type="textWrapping"/>
            </w:r>
            <w:r>
              <w:rPr>
                <w:rFonts w:hint="eastAsia"/>
                <w:color w:val="000000"/>
                <w:sz w:val="20"/>
                <w:szCs w:val="20"/>
              </w:rPr>
              <w:t>及电话</w:t>
            </w:r>
          </w:p>
        </w:tc>
        <w:tc>
          <w:tcPr>
            <w:tcW w:w="3340" w:type="dxa"/>
            <w:gridSpan w:val="3"/>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赵春喜13896102660</w:t>
            </w:r>
          </w:p>
        </w:tc>
      </w:tr>
      <w:tr>
        <w:tblPrEx>
          <w:tblCellMar>
            <w:top w:w="0" w:type="dxa"/>
            <w:left w:w="108" w:type="dxa"/>
            <w:bottom w:w="0" w:type="dxa"/>
            <w:right w:w="108" w:type="dxa"/>
          </w:tblCellMar>
        </w:tblPrEx>
        <w:trPr>
          <w:trHeight w:val="495" w:hRule="atLeast"/>
        </w:trPr>
        <w:tc>
          <w:tcPr>
            <w:tcW w:w="700"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项目资金（万元）</w:t>
            </w:r>
          </w:p>
        </w:tc>
        <w:tc>
          <w:tcPr>
            <w:tcW w:w="1480" w:type="dxa"/>
            <w:tcBorders>
              <w:top w:val="nil"/>
              <w:left w:val="nil"/>
              <w:bottom w:val="single" w:color="auto" w:sz="4" w:space="0"/>
              <w:right w:val="nil"/>
            </w:tcBorders>
            <w:shd w:val="clear" w:color="auto" w:fill="auto"/>
            <w:vAlign w:val="center"/>
          </w:tcPr>
          <w:p>
            <w:pPr>
              <w:rPr>
                <w:color w:val="000000"/>
                <w:sz w:val="20"/>
                <w:szCs w:val="20"/>
              </w:rPr>
            </w:pPr>
            <w:r>
              <w:rPr>
                <w:rFonts w:hint="eastAsia"/>
                <w:color w:val="000000"/>
                <w:sz w:val="20"/>
                <w:szCs w:val="20"/>
              </w:rPr>
              <w:t>　</w:t>
            </w:r>
          </w:p>
        </w:tc>
        <w:tc>
          <w:tcPr>
            <w:tcW w:w="1700" w:type="dxa"/>
            <w:gridSpan w:val="2"/>
            <w:tcBorders>
              <w:top w:val="single" w:color="auto" w:sz="4" w:space="0"/>
              <w:left w:val="single" w:color="auto" w:sz="4" w:space="0"/>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全年预算数（A）</w:t>
            </w:r>
          </w:p>
        </w:tc>
        <w:tc>
          <w:tcPr>
            <w:tcW w:w="132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全年执行数（B）</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执行率%（B/A）</w:t>
            </w:r>
          </w:p>
        </w:tc>
        <w:tc>
          <w:tcPr>
            <w:tcW w:w="204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执行率得分（分）</w:t>
            </w:r>
          </w:p>
        </w:tc>
      </w:tr>
      <w:tr>
        <w:tblPrEx>
          <w:tblCellMar>
            <w:top w:w="0" w:type="dxa"/>
            <w:left w:w="108" w:type="dxa"/>
            <w:bottom w:w="0" w:type="dxa"/>
            <w:right w:w="108" w:type="dxa"/>
          </w:tblCellMar>
        </w:tblPrEx>
        <w:trPr>
          <w:trHeight w:val="360" w:hRule="atLeast"/>
        </w:trPr>
        <w:tc>
          <w:tcPr>
            <w:tcW w:w="700"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480" w:type="dxa"/>
            <w:tcBorders>
              <w:top w:val="nil"/>
              <w:left w:val="nil"/>
              <w:bottom w:val="single" w:color="auto" w:sz="4" w:space="0"/>
              <w:right w:val="single" w:color="auto" w:sz="4" w:space="0"/>
            </w:tcBorders>
            <w:shd w:val="clear" w:color="auto" w:fill="auto"/>
            <w:vAlign w:val="center"/>
          </w:tcPr>
          <w:p>
            <w:pPr>
              <w:rPr>
                <w:color w:val="000000"/>
                <w:sz w:val="20"/>
                <w:szCs w:val="20"/>
              </w:rPr>
            </w:pPr>
            <w:r>
              <w:rPr>
                <w:rFonts w:hint="eastAsia"/>
                <w:color w:val="000000"/>
                <w:sz w:val="20"/>
                <w:szCs w:val="20"/>
              </w:rPr>
              <w:t>年度资金总额：</w:t>
            </w:r>
          </w:p>
        </w:tc>
        <w:tc>
          <w:tcPr>
            <w:tcW w:w="1700" w:type="dxa"/>
            <w:gridSpan w:val="2"/>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2.592</w:t>
            </w:r>
          </w:p>
        </w:tc>
        <w:tc>
          <w:tcPr>
            <w:tcW w:w="132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2.592</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100.00%</w:t>
            </w:r>
          </w:p>
        </w:tc>
        <w:tc>
          <w:tcPr>
            <w:tcW w:w="204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10.00</w:t>
            </w:r>
          </w:p>
        </w:tc>
      </w:tr>
      <w:tr>
        <w:tblPrEx>
          <w:tblCellMar>
            <w:top w:w="0" w:type="dxa"/>
            <w:left w:w="108" w:type="dxa"/>
            <w:bottom w:w="0" w:type="dxa"/>
            <w:right w:w="108" w:type="dxa"/>
          </w:tblCellMar>
        </w:tblPrEx>
        <w:trPr>
          <w:trHeight w:val="360" w:hRule="atLeast"/>
        </w:trPr>
        <w:tc>
          <w:tcPr>
            <w:tcW w:w="700"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其中：中央补助</w:t>
            </w:r>
          </w:p>
        </w:tc>
        <w:tc>
          <w:tcPr>
            <w:tcW w:w="1700" w:type="dxa"/>
            <w:gridSpan w:val="2"/>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　</w:t>
            </w:r>
          </w:p>
        </w:tc>
        <w:tc>
          <w:tcPr>
            <w:tcW w:w="132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　</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204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trHeight w:val="375" w:hRule="atLeast"/>
        </w:trPr>
        <w:tc>
          <w:tcPr>
            <w:tcW w:w="700"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xml:space="preserve">     市级补助</w:t>
            </w:r>
          </w:p>
        </w:tc>
        <w:tc>
          <w:tcPr>
            <w:tcW w:w="1700" w:type="dxa"/>
            <w:gridSpan w:val="2"/>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0.648</w:t>
            </w:r>
          </w:p>
        </w:tc>
        <w:tc>
          <w:tcPr>
            <w:tcW w:w="132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0.648</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100.00%</w:t>
            </w:r>
          </w:p>
        </w:tc>
        <w:tc>
          <w:tcPr>
            <w:tcW w:w="204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trHeight w:val="420" w:hRule="atLeast"/>
        </w:trPr>
        <w:tc>
          <w:tcPr>
            <w:tcW w:w="700"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xml:space="preserve">     区级资金</w:t>
            </w:r>
          </w:p>
        </w:tc>
        <w:tc>
          <w:tcPr>
            <w:tcW w:w="1700" w:type="dxa"/>
            <w:gridSpan w:val="2"/>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1.944</w:t>
            </w:r>
          </w:p>
        </w:tc>
        <w:tc>
          <w:tcPr>
            <w:tcW w:w="132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1.944</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100.00%</w:t>
            </w:r>
          </w:p>
        </w:tc>
        <w:tc>
          <w:tcPr>
            <w:tcW w:w="204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trHeight w:val="330" w:hRule="atLeast"/>
        </w:trPr>
        <w:tc>
          <w:tcPr>
            <w:tcW w:w="700"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xml:space="preserve">     其他资金</w:t>
            </w:r>
          </w:p>
        </w:tc>
        <w:tc>
          <w:tcPr>
            <w:tcW w:w="1700" w:type="dxa"/>
            <w:gridSpan w:val="2"/>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　</w:t>
            </w:r>
          </w:p>
        </w:tc>
        <w:tc>
          <w:tcPr>
            <w:tcW w:w="132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204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trHeight w:val="510" w:hRule="atLeast"/>
        </w:trPr>
        <w:tc>
          <w:tcPr>
            <w:tcW w:w="700"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年度总体目标</w:t>
            </w:r>
          </w:p>
        </w:tc>
        <w:tc>
          <w:tcPr>
            <w:tcW w:w="3180" w:type="dxa"/>
            <w:gridSpan w:val="3"/>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年初设定目标</w:t>
            </w:r>
          </w:p>
        </w:tc>
        <w:tc>
          <w:tcPr>
            <w:tcW w:w="4660" w:type="dxa"/>
            <w:gridSpan w:val="4"/>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全年目标实际完成情况</w:t>
            </w:r>
          </w:p>
        </w:tc>
      </w:tr>
      <w:tr>
        <w:tblPrEx>
          <w:tblCellMar>
            <w:top w:w="0" w:type="dxa"/>
            <w:left w:w="108" w:type="dxa"/>
            <w:bottom w:w="0" w:type="dxa"/>
            <w:right w:w="108" w:type="dxa"/>
          </w:tblCellMar>
        </w:tblPrEx>
        <w:trPr>
          <w:trHeight w:val="1140" w:hRule="atLeast"/>
        </w:trPr>
        <w:tc>
          <w:tcPr>
            <w:tcW w:w="70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3180" w:type="dxa"/>
            <w:gridSpan w:val="3"/>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确保我校24人次贫困幼儿能接受学前教育。</w:t>
            </w:r>
          </w:p>
        </w:tc>
        <w:tc>
          <w:tcPr>
            <w:tcW w:w="4660" w:type="dxa"/>
            <w:gridSpan w:val="4"/>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确保我校24人次贫困幼儿能接受学前教育。</w:t>
            </w:r>
          </w:p>
        </w:tc>
      </w:tr>
      <w:tr>
        <w:tblPrEx>
          <w:tblCellMar>
            <w:top w:w="0" w:type="dxa"/>
            <w:left w:w="108" w:type="dxa"/>
            <w:bottom w:w="0" w:type="dxa"/>
            <w:right w:w="108" w:type="dxa"/>
          </w:tblCellMar>
        </w:tblPrEx>
        <w:trPr>
          <w:trHeight w:val="645" w:hRule="atLeast"/>
        </w:trPr>
        <w:tc>
          <w:tcPr>
            <w:tcW w:w="700"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jc w:val="center"/>
              <w:rPr>
                <w:color w:val="000000"/>
                <w:sz w:val="20"/>
                <w:szCs w:val="20"/>
              </w:rPr>
            </w:pPr>
            <w:r>
              <w:rPr>
                <w:rFonts w:hint="eastAsia"/>
                <w:color w:val="000000"/>
                <w:sz w:val="20"/>
                <w:szCs w:val="20"/>
              </w:rPr>
              <w:t>绩效指标</w:t>
            </w: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指标名称</w:t>
            </w:r>
            <w:r>
              <w:rPr>
                <w:rFonts w:hint="eastAsia"/>
                <w:color w:val="000000"/>
                <w:sz w:val="20"/>
                <w:szCs w:val="20"/>
              </w:rPr>
              <w:br w:type="textWrapping"/>
            </w:r>
            <w:r>
              <w:rPr>
                <w:rFonts w:hint="eastAsia"/>
                <w:color w:val="000000"/>
                <w:sz w:val="20"/>
                <w:szCs w:val="20"/>
              </w:rPr>
              <w:t>（三级指标）</w:t>
            </w:r>
          </w:p>
        </w:tc>
        <w:tc>
          <w:tcPr>
            <w:tcW w:w="940" w:type="dxa"/>
            <w:tcBorders>
              <w:top w:val="nil"/>
              <w:left w:val="nil"/>
              <w:bottom w:val="single" w:color="auto" w:sz="4" w:space="0"/>
              <w:right w:val="single" w:color="auto" w:sz="4" w:space="0"/>
            </w:tcBorders>
            <w:shd w:val="clear" w:color="auto" w:fill="auto"/>
            <w:noWrap/>
            <w:vAlign w:val="center"/>
          </w:tcPr>
          <w:p>
            <w:pPr>
              <w:jc w:val="center"/>
              <w:rPr>
                <w:color w:val="000000"/>
                <w:sz w:val="20"/>
                <w:szCs w:val="20"/>
              </w:rPr>
            </w:pPr>
            <w:r>
              <w:rPr>
                <w:rFonts w:hint="eastAsia"/>
                <w:color w:val="000000"/>
                <w:sz w:val="20"/>
                <w:szCs w:val="20"/>
              </w:rPr>
              <w:t>计量单位</w:t>
            </w:r>
          </w:p>
        </w:tc>
        <w:tc>
          <w:tcPr>
            <w:tcW w:w="76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指标权重</w:t>
            </w:r>
          </w:p>
        </w:tc>
        <w:tc>
          <w:tcPr>
            <w:tcW w:w="132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指标值</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全年完成值</w:t>
            </w:r>
          </w:p>
        </w:tc>
        <w:tc>
          <w:tcPr>
            <w:tcW w:w="10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得分系数（%）</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指标得分</w:t>
            </w:r>
            <w:r>
              <w:rPr>
                <w:rFonts w:hint="eastAsia"/>
                <w:color w:val="000000"/>
                <w:sz w:val="20"/>
                <w:szCs w:val="20"/>
              </w:rPr>
              <w:br w:type="textWrapping"/>
            </w:r>
            <w:r>
              <w:rPr>
                <w:rFonts w:hint="eastAsia"/>
                <w:color w:val="000000"/>
                <w:sz w:val="20"/>
                <w:szCs w:val="20"/>
              </w:rPr>
              <w:t>（分)</w:t>
            </w:r>
          </w:p>
        </w:tc>
      </w:tr>
      <w:tr>
        <w:tblPrEx>
          <w:tblCellMar>
            <w:top w:w="0" w:type="dxa"/>
            <w:left w:w="108" w:type="dxa"/>
            <w:bottom w:w="0" w:type="dxa"/>
            <w:right w:w="108" w:type="dxa"/>
          </w:tblCellMar>
        </w:tblPrEx>
        <w:trPr>
          <w:trHeight w:val="585" w:hRule="atLeast"/>
        </w:trPr>
        <w:tc>
          <w:tcPr>
            <w:tcW w:w="70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资助人次</w:t>
            </w:r>
          </w:p>
        </w:tc>
        <w:tc>
          <w:tcPr>
            <w:tcW w:w="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人次</w:t>
            </w:r>
          </w:p>
        </w:tc>
        <w:tc>
          <w:tcPr>
            <w:tcW w:w="76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10</w:t>
            </w:r>
          </w:p>
        </w:tc>
        <w:tc>
          <w:tcPr>
            <w:tcW w:w="132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24</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24</w:t>
            </w:r>
          </w:p>
        </w:tc>
        <w:tc>
          <w:tcPr>
            <w:tcW w:w="10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w:t>
            </w:r>
          </w:p>
        </w:tc>
      </w:tr>
      <w:tr>
        <w:tblPrEx>
          <w:tblCellMar>
            <w:top w:w="0" w:type="dxa"/>
            <w:left w:w="108" w:type="dxa"/>
            <w:bottom w:w="0" w:type="dxa"/>
            <w:right w:w="108" w:type="dxa"/>
          </w:tblCellMar>
        </w:tblPrEx>
        <w:trPr>
          <w:trHeight w:val="645" w:hRule="atLeast"/>
        </w:trPr>
        <w:tc>
          <w:tcPr>
            <w:tcW w:w="70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补助标准</w:t>
            </w:r>
          </w:p>
        </w:tc>
        <w:tc>
          <w:tcPr>
            <w:tcW w:w="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元/期</w:t>
            </w:r>
          </w:p>
        </w:tc>
        <w:tc>
          <w:tcPr>
            <w:tcW w:w="76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10</w:t>
            </w:r>
          </w:p>
        </w:tc>
        <w:tc>
          <w:tcPr>
            <w:tcW w:w="1320" w:type="dxa"/>
            <w:tcBorders>
              <w:top w:val="nil"/>
              <w:left w:val="nil"/>
              <w:bottom w:val="single" w:color="auto" w:sz="4" w:space="0"/>
              <w:right w:val="single" w:color="auto" w:sz="4" w:space="0"/>
            </w:tcBorders>
            <w:shd w:val="clear" w:color="auto" w:fill="auto"/>
            <w:noWrap/>
            <w:vAlign w:val="center"/>
          </w:tcPr>
          <w:p>
            <w:pPr>
              <w:jc w:val="center"/>
              <w:rPr>
                <w:color w:val="000000"/>
                <w:sz w:val="20"/>
                <w:szCs w:val="20"/>
              </w:rPr>
            </w:pPr>
            <w:r>
              <w:rPr>
                <w:rFonts w:hint="eastAsia"/>
                <w:color w:val="000000"/>
                <w:sz w:val="20"/>
                <w:szCs w:val="20"/>
              </w:rPr>
              <w:t>1080</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1080</w:t>
            </w:r>
          </w:p>
        </w:tc>
        <w:tc>
          <w:tcPr>
            <w:tcW w:w="10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w:t>
            </w:r>
          </w:p>
        </w:tc>
      </w:tr>
      <w:tr>
        <w:tblPrEx>
          <w:tblCellMar>
            <w:top w:w="0" w:type="dxa"/>
            <w:left w:w="108" w:type="dxa"/>
            <w:bottom w:w="0" w:type="dxa"/>
            <w:right w:w="108" w:type="dxa"/>
          </w:tblCellMar>
        </w:tblPrEx>
        <w:trPr>
          <w:trHeight w:val="600" w:hRule="atLeast"/>
        </w:trPr>
        <w:tc>
          <w:tcPr>
            <w:tcW w:w="70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资助发放精准度</w:t>
            </w:r>
          </w:p>
        </w:tc>
        <w:tc>
          <w:tcPr>
            <w:tcW w:w="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c>
          <w:tcPr>
            <w:tcW w:w="76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20</w:t>
            </w:r>
          </w:p>
        </w:tc>
        <w:tc>
          <w:tcPr>
            <w:tcW w:w="132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0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20</w:t>
            </w:r>
          </w:p>
        </w:tc>
      </w:tr>
      <w:tr>
        <w:tblPrEx>
          <w:tblCellMar>
            <w:top w:w="0" w:type="dxa"/>
            <w:left w:w="108" w:type="dxa"/>
            <w:bottom w:w="0" w:type="dxa"/>
            <w:right w:w="108" w:type="dxa"/>
          </w:tblCellMar>
        </w:tblPrEx>
        <w:trPr>
          <w:trHeight w:val="615" w:hRule="atLeast"/>
        </w:trPr>
        <w:tc>
          <w:tcPr>
            <w:tcW w:w="70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资金到位准时度</w:t>
            </w:r>
          </w:p>
        </w:tc>
        <w:tc>
          <w:tcPr>
            <w:tcW w:w="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c>
          <w:tcPr>
            <w:tcW w:w="76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20</w:t>
            </w:r>
          </w:p>
        </w:tc>
        <w:tc>
          <w:tcPr>
            <w:tcW w:w="132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0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20</w:t>
            </w:r>
          </w:p>
        </w:tc>
      </w:tr>
      <w:tr>
        <w:tblPrEx>
          <w:tblCellMar>
            <w:top w:w="0" w:type="dxa"/>
            <w:left w:w="108" w:type="dxa"/>
            <w:bottom w:w="0" w:type="dxa"/>
            <w:right w:w="108" w:type="dxa"/>
          </w:tblCellMar>
        </w:tblPrEx>
        <w:trPr>
          <w:trHeight w:val="615" w:hRule="atLeast"/>
        </w:trPr>
        <w:tc>
          <w:tcPr>
            <w:tcW w:w="70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保障贫困学生入学率</w:t>
            </w:r>
          </w:p>
        </w:tc>
        <w:tc>
          <w:tcPr>
            <w:tcW w:w="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c>
          <w:tcPr>
            <w:tcW w:w="76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20</w:t>
            </w:r>
          </w:p>
        </w:tc>
        <w:tc>
          <w:tcPr>
            <w:tcW w:w="132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0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20</w:t>
            </w:r>
          </w:p>
        </w:tc>
      </w:tr>
      <w:tr>
        <w:tblPrEx>
          <w:tblCellMar>
            <w:top w:w="0" w:type="dxa"/>
            <w:left w:w="108" w:type="dxa"/>
            <w:bottom w:w="0" w:type="dxa"/>
            <w:right w:w="108" w:type="dxa"/>
          </w:tblCellMar>
        </w:tblPrEx>
        <w:trPr>
          <w:trHeight w:val="615" w:hRule="atLeast"/>
        </w:trPr>
        <w:tc>
          <w:tcPr>
            <w:tcW w:w="70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家长学校满意度</w:t>
            </w:r>
          </w:p>
        </w:tc>
        <w:tc>
          <w:tcPr>
            <w:tcW w:w="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c>
          <w:tcPr>
            <w:tcW w:w="76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5</w:t>
            </w:r>
          </w:p>
        </w:tc>
        <w:tc>
          <w:tcPr>
            <w:tcW w:w="132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0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5</w:t>
            </w:r>
          </w:p>
        </w:tc>
      </w:tr>
      <w:tr>
        <w:tblPrEx>
          <w:tblCellMar>
            <w:top w:w="0" w:type="dxa"/>
            <w:left w:w="108" w:type="dxa"/>
            <w:bottom w:w="0" w:type="dxa"/>
            <w:right w:w="108" w:type="dxa"/>
          </w:tblCellMar>
        </w:tblPrEx>
        <w:trPr>
          <w:trHeight w:val="630" w:hRule="atLeast"/>
        </w:trPr>
        <w:tc>
          <w:tcPr>
            <w:tcW w:w="70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社会公众满意度</w:t>
            </w:r>
          </w:p>
        </w:tc>
        <w:tc>
          <w:tcPr>
            <w:tcW w:w="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c>
          <w:tcPr>
            <w:tcW w:w="76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5</w:t>
            </w:r>
          </w:p>
        </w:tc>
        <w:tc>
          <w:tcPr>
            <w:tcW w:w="132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0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0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5</w:t>
            </w:r>
          </w:p>
        </w:tc>
      </w:tr>
      <w:tr>
        <w:tblPrEx>
          <w:tblCellMar>
            <w:top w:w="0" w:type="dxa"/>
            <w:left w:w="108" w:type="dxa"/>
            <w:bottom w:w="0" w:type="dxa"/>
            <w:right w:w="108" w:type="dxa"/>
          </w:tblCellMar>
        </w:tblPrEx>
        <w:trPr>
          <w:trHeight w:val="1980" w:hRule="atLeast"/>
        </w:trPr>
        <w:tc>
          <w:tcPr>
            <w:tcW w:w="700"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未完成绩效目标或偏离较多的原因、改进措施及其他说明</w:t>
            </w:r>
          </w:p>
        </w:tc>
        <w:tc>
          <w:tcPr>
            <w:tcW w:w="7840" w:type="dxa"/>
            <w:gridSpan w:val="7"/>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r>
    </w:tbl>
    <w:p>
      <w:pPr>
        <w:pStyle w:val="5"/>
        <w:shd w:val="clear" w:color="auto" w:fill="FFFFFF"/>
        <w:spacing w:line="600" w:lineRule="exact"/>
        <w:ind w:firstLine="643" w:firstLineChars="200"/>
        <w:rPr>
          <w:rStyle w:val="8"/>
          <w:rFonts w:ascii="方正楷体_GBK" w:eastAsia="方正楷体_GBK"/>
          <w:sz w:val="32"/>
          <w:szCs w:val="32"/>
        </w:rPr>
      </w:pPr>
      <w:r>
        <w:rPr>
          <w:rStyle w:val="8"/>
          <w:rFonts w:hint="eastAsia" w:ascii="方正楷体_GBK" w:eastAsia="方正楷体_GBK"/>
          <w:sz w:val="32"/>
          <w:szCs w:val="32"/>
        </w:rPr>
        <w:t>（三）重点绩效评价结果</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无</w:t>
      </w:r>
    </w:p>
    <w:p>
      <w:pPr>
        <w:pStyle w:val="5"/>
        <w:shd w:val="clear" w:color="auto" w:fill="FFFFFF"/>
        <w:spacing w:line="600" w:lineRule="exact"/>
        <w:ind w:firstLine="640" w:firstLineChars="200"/>
        <w:rPr>
          <w:rFonts w:ascii="方正黑体_GBK" w:hAnsi="黑体" w:eastAsia="方正黑体_GBK" w:cs="仿宋_GB2312"/>
          <w:kern w:val="2"/>
          <w:sz w:val="32"/>
          <w:szCs w:val="32"/>
        </w:rPr>
      </w:pPr>
      <w:r>
        <w:rPr>
          <w:rFonts w:hint="eastAsia" w:ascii="方正黑体_GBK" w:hAnsi="黑体" w:eastAsia="方正黑体_GBK" w:cs="仿宋_GB2312"/>
          <w:kern w:val="2"/>
          <w:sz w:val="32"/>
          <w:szCs w:val="32"/>
        </w:rPr>
        <w:t>六、专业名词解释</w:t>
      </w:r>
    </w:p>
    <w:p>
      <w:pPr>
        <w:pStyle w:val="5"/>
        <w:shd w:val="clear" w:color="auto" w:fill="FFFFFF"/>
        <w:spacing w:line="600" w:lineRule="exact"/>
        <w:ind w:firstLine="640" w:firstLineChars="200"/>
        <w:rPr>
          <w:rFonts w:ascii="方正仿宋_GBK" w:hAnsi="仿宋_GB2312" w:eastAsia="方正仿宋_GBK" w:cs="仿宋_GB2312"/>
          <w:sz w:val="32"/>
        </w:rPr>
      </w:pPr>
      <w:r>
        <w:rPr>
          <w:rFonts w:hint="eastAsia" w:ascii="方正仿宋_GBK" w:hAnsi="仿宋_GB2312" w:eastAsia="方正仿宋_GBK" w:cs="仿宋_GB2312"/>
          <w:sz w:val="32"/>
        </w:rPr>
        <w:t>无</w:t>
      </w:r>
    </w:p>
    <w:p>
      <w:pPr>
        <w:pStyle w:val="5"/>
        <w:shd w:val="clear" w:color="auto" w:fill="FFFFFF"/>
        <w:spacing w:line="600" w:lineRule="exact"/>
        <w:ind w:firstLine="643" w:firstLineChars="200"/>
        <w:rPr>
          <w:rFonts w:ascii="方正仿宋_GBK" w:hAnsi="仿宋_GB2312" w:eastAsia="方正仿宋_GBK" w:cs="仿宋_GB2312"/>
          <w:sz w:val="32"/>
        </w:rPr>
      </w:pPr>
      <w:r>
        <w:rPr>
          <w:rStyle w:val="8"/>
          <w:rFonts w:hint="eastAsia" w:ascii="方正楷体_GBK" w:eastAsia="方正楷体_GBK"/>
          <w:bCs w:val="0"/>
          <w:sz w:val="32"/>
          <w:szCs w:val="32"/>
        </w:rPr>
        <w:t>（一）财政拨款收入</w:t>
      </w:r>
      <w:r>
        <w:rPr>
          <w:rStyle w:val="8"/>
          <w:rFonts w:hint="eastAsia" w:ascii="方正楷体_GBK" w:eastAsia="方正楷体_GBK"/>
          <w:sz w:val="32"/>
          <w:szCs w:val="32"/>
        </w:rPr>
        <w:t>：</w:t>
      </w:r>
      <w:r>
        <w:rPr>
          <w:rFonts w:hint="eastAsia" w:ascii="方正仿宋_GBK" w:hAnsi="仿宋_GB2312" w:eastAsia="方正仿宋_GBK" w:cs="仿宋_GB2312"/>
          <w:sz w:val="32"/>
        </w:rPr>
        <w:t>指本年度从本级财政部门取得的财政拨款，包括一般公共预算财政拨款和政府性基金预算财政拨款。</w:t>
      </w:r>
    </w:p>
    <w:p>
      <w:pPr>
        <w:pStyle w:val="5"/>
        <w:shd w:val="clear" w:color="auto" w:fill="FFFFFF"/>
        <w:spacing w:line="600" w:lineRule="exact"/>
        <w:ind w:firstLine="643" w:firstLineChars="200"/>
        <w:rPr>
          <w:rFonts w:ascii="方正仿宋_GBK" w:hAnsi="仿宋_GB2312" w:eastAsia="方正仿宋_GBK" w:cs="仿宋_GB2312"/>
          <w:sz w:val="32"/>
        </w:rPr>
      </w:pPr>
      <w:r>
        <w:rPr>
          <w:rStyle w:val="8"/>
          <w:rFonts w:hint="eastAsia" w:ascii="方正楷体_GBK" w:eastAsia="方正楷体_GBK"/>
          <w:sz w:val="32"/>
          <w:szCs w:val="32"/>
        </w:rPr>
        <w:t>（二）事业收入：</w:t>
      </w:r>
      <w:r>
        <w:rPr>
          <w:rFonts w:hint="eastAsia" w:ascii="方正仿宋_GBK" w:hAnsi="仿宋_GB2312" w:eastAsia="方正仿宋_GBK" w:cs="仿宋_GB2312"/>
          <w:sz w:val="32"/>
        </w:rPr>
        <w:t>指事业单位开展专业业务活动及其辅助活动取得的现金流入；事业单位收到的财政专户实际核拨的教育收费等资金在此反映。</w:t>
      </w:r>
    </w:p>
    <w:p>
      <w:pPr>
        <w:pStyle w:val="5"/>
        <w:shd w:val="clear" w:color="auto" w:fill="FFFFFF"/>
        <w:spacing w:line="600" w:lineRule="exact"/>
        <w:ind w:firstLine="643" w:firstLineChars="200"/>
        <w:rPr>
          <w:rFonts w:ascii="方正仿宋_GBK" w:hAnsi="仿宋_GB2312" w:eastAsia="方正仿宋_GBK" w:cs="仿宋_GB2312"/>
          <w:sz w:val="32"/>
        </w:rPr>
      </w:pPr>
      <w:r>
        <w:rPr>
          <w:rStyle w:val="8"/>
          <w:rFonts w:hint="eastAsia" w:ascii="方正楷体_GBK" w:eastAsia="方正楷体_GBK"/>
          <w:bCs w:val="0"/>
          <w:sz w:val="32"/>
          <w:szCs w:val="32"/>
        </w:rPr>
        <w:t>（三）经营收入</w:t>
      </w:r>
      <w:r>
        <w:rPr>
          <w:rStyle w:val="8"/>
          <w:rFonts w:hint="eastAsia" w:ascii="方正楷体_GBK" w:eastAsia="方正楷体_GBK"/>
          <w:sz w:val="32"/>
          <w:szCs w:val="32"/>
        </w:rPr>
        <w:t>：</w:t>
      </w:r>
      <w:r>
        <w:rPr>
          <w:rFonts w:hint="eastAsia" w:ascii="方正仿宋_GBK" w:hAnsi="仿宋_GB2312" w:eastAsia="方正仿宋_GBK" w:cs="仿宋_GB2312"/>
          <w:sz w:val="32"/>
        </w:rPr>
        <w:t>指事业单位在专业业务活动及其辅助活动之外开展非独立核算经营活动取得的现金流入。</w:t>
      </w:r>
    </w:p>
    <w:p>
      <w:pPr>
        <w:pStyle w:val="5"/>
        <w:shd w:val="clear" w:color="auto" w:fill="FFFFFF"/>
        <w:spacing w:line="600" w:lineRule="exact"/>
        <w:ind w:firstLine="643" w:firstLineChars="200"/>
        <w:rPr>
          <w:rFonts w:ascii="方正仿宋_GBK" w:hAnsi="仿宋_GB2312" w:eastAsia="方正仿宋_GBK" w:cs="仿宋_GB2312"/>
          <w:sz w:val="32"/>
        </w:rPr>
      </w:pPr>
      <w:r>
        <w:rPr>
          <w:rStyle w:val="8"/>
          <w:rFonts w:hint="eastAsia" w:ascii="方正楷体_GBK" w:eastAsia="方正楷体_GBK"/>
          <w:sz w:val="32"/>
          <w:szCs w:val="32"/>
        </w:rPr>
        <w:t>（四）其他收入：</w:t>
      </w:r>
      <w:r>
        <w:rPr>
          <w:rFonts w:hint="eastAsia" w:ascii="方正仿宋_GBK" w:hAnsi="仿宋_GB2312" w:eastAsia="方正仿宋_GBK" w:cs="仿宋_GB2312"/>
          <w:sz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5"/>
        <w:shd w:val="clear" w:color="auto" w:fill="FFFFFF"/>
        <w:spacing w:line="600" w:lineRule="exact"/>
        <w:ind w:firstLine="643" w:firstLineChars="200"/>
        <w:rPr>
          <w:rFonts w:ascii="方正仿宋_GBK" w:hAnsi="仿宋_GB2312" w:eastAsia="方正仿宋_GBK" w:cs="仿宋_GB2312"/>
          <w:sz w:val="32"/>
        </w:rPr>
      </w:pPr>
      <w:r>
        <w:rPr>
          <w:rStyle w:val="8"/>
          <w:rFonts w:hint="eastAsia" w:ascii="方正楷体_GBK" w:eastAsia="方正楷体_GBK"/>
          <w:bCs w:val="0"/>
          <w:sz w:val="32"/>
          <w:szCs w:val="32"/>
        </w:rPr>
        <w:t>（五）使用非财政拨款结余</w:t>
      </w:r>
      <w:r>
        <w:rPr>
          <w:rStyle w:val="8"/>
          <w:rFonts w:hint="eastAsia" w:ascii="方正楷体_GBK" w:eastAsia="方正楷体_GBK"/>
          <w:sz w:val="32"/>
          <w:szCs w:val="32"/>
        </w:rPr>
        <w:t>：</w:t>
      </w:r>
      <w:r>
        <w:rPr>
          <w:rFonts w:hint="eastAsia" w:ascii="方正仿宋_GBK" w:hAnsi="仿宋_GB2312" w:eastAsia="方正仿宋_GBK" w:cs="仿宋_GB2312"/>
          <w:sz w:val="32"/>
        </w:rPr>
        <w:t>指单位在当年的“财政拨款收入”、“事业收入”、“经营收入”、“其他收入”等不足以安排当年支出的情况下，使用以前年度积累的非财政拨款结余弥补本年度收支缺口的资金。</w:t>
      </w:r>
    </w:p>
    <w:p>
      <w:pPr>
        <w:pStyle w:val="5"/>
        <w:shd w:val="clear" w:color="auto" w:fill="FFFFFF"/>
        <w:spacing w:line="600" w:lineRule="exact"/>
        <w:ind w:firstLine="643" w:firstLineChars="200"/>
        <w:rPr>
          <w:rFonts w:ascii="方正仿宋_GBK" w:hAnsi="仿宋_GB2312" w:eastAsia="方正仿宋_GBK" w:cs="仿宋_GB2312"/>
          <w:sz w:val="32"/>
        </w:rPr>
      </w:pPr>
      <w:r>
        <w:rPr>
          <w:rStyle w:val="8"/>
          <w:rFonts w:hint="eastAsia" w:ascii="方正楷体_GBK" w:eastAsia="方正楷体_GBK"/>
          <w:sz w:val="32"/>
          <w:szCs w:val="32"/>
        </w:rPr>
        <w:t>（六）年初结转和结余：</w:t>
      </w:r>
      <w:r>
        <w:rPr>
          <w:rFonts w:hint="eastAsia" w:ascii="方正仿宋_GBK" w:hAnsi="仿宋_GB2312" w:eastAsia="方正仿宋_GBK" w:cs="仿宋_GB2312"/>
          <w:sz w:val="32"/>
        </w:rPr>
        <w:t>指单位上年结转本年使用的基本支出结转、项目支出结转和结余、经营结余。</w:t>
      </w:r>
    </w:p>
    <w:p>
      <w:pPr>
        <w:pStyle w:val="5"/>
        <w:shd w:val="clear" w:color="auto" w:fill="FFFFFF"/>
        <w:spacing w:line="600" w:lineRule="exact"/>
        <w:ind w:firstLine="643" w:firstLineChars="200"/>
        <w:rPr>
          <w:rFonts w:ascii="方正仿宋_GBK" w:hAnsi="仿宋_GB2312" w:eastAsia="方正仿宋_GBK" w:cs="仿宋_GB2312"/>
          <w:sz w:val="32"/>
        </w:rPr>
      </w:pPr>
      <w:r>
        <w:rPr>
          <w:rStyle w:val="8"/>
          <w:rFonts w:hint="eastAsia" w:ascii="方正楷体_GBK" w:eastAsia="方正楷体_GBK"/>
          <w:bCs w:val="0"/>
          <w:sz w:val="32"/>
          <w:szCs w:val="32"/>
        </w:rPr>
        <w:t>（七）结余分配</w:t>
      </w:r>
      <w:r>
        <w:rPr>
          <w:rStyle w:val="8"/>
          <w:rFonts w:hint="eastAsia" w:ascii="方正楷体_GBK" w:eastAsia="方正楷体_GBK"/>
          <w:sz w:val="32"/>
          <w:szCs w:val="32"/>
        </w:rPr>
        <w:t>：</w:t>
      </w:r>
      <w:r>
        <w:rPr>
          <w:rFonts w:hint="eastAsia" w:ascii="方正仿宋_GBK" w:hAnsi="仿宋_GB2312" w:eastAsia="方正仿宋_GBK" w:cs="仿宋_GB2312"/>
          <w:sz w:val="32"/>
        </w:rPr>
        <w:t>指单位按照国家有关规定，缴纳所得税、提取专用基金、转入非财政拨款结余等当年结余的分配情况。</w:t>
      </w:r>
    </w:p>
    <w:p>
      <w:pPr>
        <w:pStyle w:val="5"/>
        <w:shd w:val="clear" w:color="auto" w:fill="FFFFFF"/>
        <w:spacing w:line="600" w:lineRule="exact"/>
        <w:ind w:firstLine="643" w:firstLineChars="200"/>
        <w:rPr>
          <w:rFonts w:ascii="方正仿宋_GBK" w:hAnsi="仿宋_GB2312" w:eastAsia="方正仿宋_GBK" w:cs="仿宋_GB2312"/>
          <w:sz w:val="32"/>
        </w:rPr>
      </w:pPr>
      <w:r>
        <w:rPr>
          <w:rStyle w:val="8"/>
          <w:rFonts w:hint="eastAsia" w:ascii="方正楷体_GBK" w:eastAsia="方正楷体_GBK"/>
          <w:sz w:val="32"/>
          <w:szCs w:val="32"/>
        </w:rPr>
        <w:t>（八）年末结转和结余：</w:t>
      </w:r>
      <w:r>
        <w:rPr>
          <w:rFonts w:hint="eastAsia" w:ascii="方正仿宋_GBK" w:hAnsi="仿宋_GB2312" w:eastAsia="方正仿宋_GBK" w:cs="仿宋_GB2312"/>
          <w:sz w:val="32"/>
        </w:rPr>
        <w:t>指单位结转下年的基本支出结转、项目支出结转和结余、经营结余。</w:t>
      </w:r>
    </w:p>
    <w:p>
      <w:pPr>
        <w:pStyle w:val="5"/>
        <w:shd w:val="clear" w:color="auto" w:fill="FFFFFF"/>
        <w:spacing w:line="600" w:lineRule="exact"/>
        <w:ind w:firstLine="643" w:firstLineChars="200"/>
        <w:rPr>
          <w:rFonts w:ascii="方正仿宋_GBK" w:hAnsi="仿宋_GB2312" w:eastAsia="方正仿宋_GBK" w:cs="仿宋_GB2312"/>
          <w:sz w:val="32"/>
        </w:rPr>
      </w:pPr>
      <w:r>
        <w:rPr>
          <w:rStyle w:val="8"/>
          <w:rFonts w:hint="eastAsia" w:ascii="方正楷体_GBK" w:eastAsia="方正楷体_GBK"/>
          <w:bCs w:val="0"/>
          <w:sz w:val="32"/>
          <w:szCs w:val="32"/>
        </w:rPr>
        <w:t>（九）基本支出</w:t>
      </w:r>
      <w:r>
        <w:rPr>
          <w:rStyle w:val="8"/>
          <w:rFonts w:hint="eastAsia" w:ascii="方正楷体_GBK" w:eastAsia="方正楷体_GBK"/>
          <w:sz w:val="32"/>
          <w:szCs w:val="32"/>
        </w:rPr>
        <w:t>：</w:t>
      </w:r>
      <w:r>
        <w:rPr>
          <w:rFonts w:hint="eastAsia" w:ascii="方正仿宋_GBK" w:hAnsi="仿宋_GB2312" w:eastAsia="方正仿宋_GBK" w:cs="仿宋_GB2312"/>
          <w:sz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5"/>
        <w:shd w:val="clear" w:color="auto" w:fill="FFFFFF"/>
        <w:spacing w:line="600" w:lineRule="exact"/>
        <w:ind w:firstLine="643" w:firstLineChars="200"/>
        <w:rPr>
          <w:rFonts w:ascii="方正仿宋_GBK" w:hAnsi="仿宋_GB2312" w:eastAsia="方正仿宋_GBK" w:cs="仿宋_GB2312"/>
          <w:sz w:val="32"/>
        </w:rPr>
      </w:pPr>
      <w:r>
        <w:rPr>
          <w:rStyle w:val="8"/>
          <w:rFonts w:hint="eastAsia" w:ascii="方正楷体_GBK" w:eastAsia="方正楷体_GBK"/>
          <w:bCs w:val="0"/>
          <w:sz w:val="32"/>
          <w:szCs w:val="32"/>
        </w:rPr>
        <w:t>（十）项目支出</w:t>
      </w:r>
      <w:r>
        <w:rPr>
          <w:rFonts w:hint="eastAsia" w:ascii="方正仿宋_GBK" w:hAnsi="仿宋_GB2312" w:eastAsia="方正仿宋_GBK" w:cs="仿宋_GB2312"/>
          <w:sz w:val="32"/>
        </w:rPr>
        <w:t>：指在基本支出之外为完成特定行政任务和事业发展目标所发生的支出。</w:t>
      </w:r>
    </w:p>
    <w:p>
      <w:pPr>
        <w:pStyle w:val="5"/>
        <w:shd w:val="clear" w:color="auto" w:fill="FFFFFF"/>
        <w:spacing w:line="600" w:lineRule="exact"/>
        <w:ind w:firstLine="643" w:firstLineChars="200"/>
        <w:rPr>
          <w:rFonts w:ascii="方正仿宋_GBK" w:hAnsi="仿宋_GB2312" w:eastAsia="方正仿宋_GBK" w:cs="仿宋_GB2312"/>
          <w:sz w:val="32"/>
        </w:rPr>
      </w:pPr>
      <w:r>
        <w:rPr>
          <w:rStyle w:val="8"/>
          <w:rFonts w:hint="eastAsia" w:ascii="方正楷体_GBK" w:eastAsia="方正楷体_GBK"/>
          <w:sz w:val="32"/>
          <w:szCs w:val="32"/>
        </w:rPr>
        <w:t>（十一）经营支出</w:t>
      </w:r>
      <w:r>
        <w:rPr>
          <w:rFonts w:hint="eastAsia" w:ascii="方正仿宋_GBK" w:hAnsi="仿宋_GB2312" w:eastAsia="方正仿宋_GBK" w:cs="仿宋_GB2312"/>
          <w:sz w:val="32"/>
        </w:rPr>
        <w:t>：指事业单位在专业业务活动及其辅助活动之外开展非独立核算经营活动发生的支出。</w:t>
      </w:r>
    </w:p>
    <w:p>
      <w:pPr>
        <w:pStyle w:val="5"/>
        <w:shd w:val="clear" w:color="auto" w:fill="FFFFFF"/>
        <w:spacing w:line="600" w:lineRule="exact"/>
        <w:ind w:firstLine="643" w:firstLineChars="200"/>
        <w:rPr>
          <w:rFonts w:ascii="方正仿宋_GBK" w:hAnsi="仿宋_GB2312" w:eastAsia="方正仿宋_GBK" w:cs="仿宋_GB2312"/>
          <w:sz w:val="32"/>
        </w:rPr>
      </w:pPr>
      <w:r>
        <w:rPr>
          <w:rStyle w:val="8"/>
          <w:rFonts w:hint="eastAsia" w:ascii="方正楷体_GBK" w:eastAsia="方正楷体_GBK"/>
          <w:bCs w:val="0"/>
          <w:sz w:val="32"/>
          <w:szCs w:val="32"/>
        </w:rPr>
        <w:t>（十二）“三公”经费</w:t>
      </w:r>
      <w:r>
        <w:rPr>
          <w:rFonts w:hint="eastAsia" w:ascii="方正仿宋_GBK" w:hAnsi="仿宋_GB2312" w:eastAsia="方正仿宋_GBK" w:cs="仿宋_GB2312"/>
          <w:sz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5"/>
        <w:shd w:val="clear" w:color="auto" w:fill="FFFFFF"/>
        <w:spacing w:line="600" w:lineRule="exact"/>
        <w:ind w:firstLine="643" w:firstLineChars="200"/>
        <w:rPr>
          <w:rFonts w:ascii="方正仿宋_GBK" w:hAnsi="仿宋_GB2312" w:eastAsia="方正仿宋_GBK" w:cs="仿宋_GB2312"/>
          <w:sz w:val="32"/>
        </w:rPr>
      </w:pPr>
      <w:r>
        <w:rPr>
          <w:rStyle w:val="8"/>
          <w:rFonts w:hint="eastAsia" w:ascii="方正楷体_GBK" w:eastAsia="方正楷体_GBK"/>
          <w:sz w:val="32"/>
          <w:szCs w:val="32"/>
        </w:rPr>
        <w:t>（十三）机关运行经费</w:t>
      </w:r>
      <w:r>
        <w:rPr>
          <w:rFonts w:hint="eastAsia" w:ascii="方正仿宋_GBK" w:hAnsi="仿宋_GB2312" w:eastAsia="方正仿宋_GBK" w:cs="仿宋_GB2312"/>
          <w:sz w:val="32"/>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5"/>
        <w:shd w:val="clear" w:color="auto" w:fill="FFFFFF"/>
        <w:spacing w:line="600" w:lineRule="exact"/>
        <w:ind w:firstLine="643" w:firstLineChars="200"/>
        <w:rPr>
          <w:rFonts w:ascii="方正仿宋_GBK" w:hAnsi="仿宋_GB2312" w:eastAsia="方正仿宋_GBK" w:cs="仿宋_GB2312"/>
          <w:sz w:val="32"/>
        </w:rPr>
      </w:pPr>
      <w:r>
        <w:rPr>
          <w:rFonts w:hint="eastAsia" w:ascii="方正仿宋_GBK" w:hAnsi="仿宋_GB2312" w:eastAsia="方正仿宋_GBK" w:cs="仿宋_GB2312"/>
          <w:b/>
          <w:bCs/>
          <w:sz w:val="32"/>
        </w:rPr>
        <w:t>（</w:t>
      </w:r>
      <w:r>
        <w:rPr>
          <w:rStyle w:val="8"/>
          <w:rFonts w:hint="eastAsia" w:ascii="方正楷体_GBK" w:eastAsia="方正楷体_GBK"/>
          <w:bCs w:val="0"/>
          <w:sz w:val="32"/>
          <w:szCs w:val="32"/>
        </w:rPr>
        <w:t>十四）工资福利支出（支出经济分类科目类级）</w:t>
      </w:r>
      <w:r>
        <w:rPr>
          <w:rFonts w:hint="eastAsia" w:ascii="方正仿宋_GBK" w:hAnsi="仿宋_GB2312" w:eastAsia="方正仿宋_GBK" w:cs="仿宋_GB2312"/>
          <w:sz w:val="32"/>
        </w:rPr>
        <w:t>：反映单位开支的在职职工和编制外长期聘用人员的各类劳动报酬，以及为上述人员缴纳的各项社会保险费等。</w:t>
      </w:r>
    </w:p>
    <w:p>
      <w:pPr>
        <w:pStyle w:val="5"/>
        <w:shd w:val="clear" w:color="auto" w:fill="FFFFFF"/>
        <w:spacing w:line="600" w:lineRule="exact"/>
        <w:ind w:firstLine="643" w:firstLineChars="200"/>
        <w:rPr>
          <w:rFonts w:ascii="方正仿宋_GBK" w:hAnsi="仿宋_GB2312" w:eastAsia="方正仿宋_GBK" w:cs="仿宋_GB2312"/>
          <w:sz w:val="32"/>
        </w:rPr>
      </w:pPr>
      <w:r>
        <w:rPr>
          <w:rStyle w:val="8"/>
          <w:rFonts w:hint="eastAsia" w:ascii="方正楷体_GBK" w:eastAsia="方正楷体_GBK"/>
          <w:sz w:val="32"/>
          <w:szCs w:val="32"/>
        </w:rPr>
        <w:t>（十五）商品和服务支出（支出经济分类科目类级）</w:t>
      </w:r>
      <w:r>
        <w:rPr>
          <w:rFonts w:hint="eastAsia" w:ascii="方正仿宋_GBK" w:hAnsi="仿宋_GB2312" w:eastAsia="方正仿宋_GBK" w:cs="仿宋_GB2312"/>
          <w:sz w:val="32"/>
        </w:rPr>
        <w:t>：反映单位购买商品和服务的支出（不包括用于购置固定资产的支出、战略性和应急储备支出）。</w:t>
      </w:r>
    </w:p>
    <w:p>
      <w:pPr>
        <w:pStyle w:val="5"/>
        <w:shd w:val="clear" w:color="auto" w:fill="FFFFFF"/>
        <w:spacing w:line="600" w:lineRule="exact"/>
        <w:ind w:firstLine="643" w:firstLineChars="200"/>
        <w:rPr>
          <w:rFonts w:ascii="方正仿宋_GBK" w:hAnsi="仿宋_GB2312" w:eastAsia="方正仿宋_GBK" w:cs="仿宋_GB2312"/>
          <w:sz w:val="32"/>
        </w:rPr>
      </w:pPr>
      <w:r>
        <w:rPr>
          <w:rStyle w:val="8"/>
          <w:rFonts w:hint="eastAsia" w:ascii="方正楷体_GBK" w:eastAsia="方正楷体_GBK"/>
          <w:bCs w:val="0"/>
          <w:sz w:val="32"/>
          <w:szCs w:val="32"/>
        </w:rPr>
        <w:t>（十六）对个人和家庭的补助（支出经济分类科目类级）</w:t>
      </w:r>
      <w:r>
        <w:rPr>
          <w:rFonts w:hint="eastAsia" w:ascii="方正仿宋_GBK" w:hAnsi="仿宋_GB2312" w:eastAsia="方正仿宋_GBK" w:cs="仿宋_GB2312"/>
          <w:sz w:val="32"/>
        </w:rPr>
        <w:t>：反映用于对个人和家庭的补助支出。</w:t>
      </w:r>
    </w:p>
    <w:p>
      <w:pPr>
        <w:pStyle w:val="5"/>
        <w:shd w:val="clear" w:color="auto" w:fill="FFFFFF"/>
        <w:spacing w:line="600" w:lineRule="exact"/>
        <w:ind w:firstLine="643" w:firstLineChars="200"/>
        <w:rPr>
          <w:rFonts w:ascii="方正仿宋_GBK" w:hAnsi="仿宋_GB2312" w:eastAsia="方正仿宋_GBK" w:cs="仿宋_GB2312"/>
          <w:sz w:val="32"/>
        </w:rPr>
      </w:pPr>
      <w:r>
        <w:rPr>
          <w:rStyle w:val="8"/>
          <w:rFonts w:hint="eastAsia" w:ascii="方正楷体_GBK" w:eastAsia="方正楷体_GBK"/>
          <w:sz w:val="32"/>
          <w:szCs w:val="32"/>
        </w:rPr>
        <w:t>（十七）其他资本性支出（支出经济分类科目类级）</w:t>
      </w:r>
      <w:r>
        <w:rPr>
          <w:rFonts w:hint="eastAsia" w:ascii="方正仿宋_GBK" w:hAnsi="仿宋_GB2312" w:eastAsia="方正仿宋_GBK" w:cs="仿宋_GB2312"/>
          <w:sz w:val="32"/>
        </w:rPr>
        <w:t>：反映非各级发展与改革部门集中安排的用于购置固定资产、战略性和应急性储备、土地和无形资产，以及构建基础设施、大型修缮和财政支持企业更新改造所发生的支出。</w:t>
      </w:r>
    </w:p>
    <w:p>
      <w:pPr>
        <w:pStyle w:val="5"/>
        <w:shd w:val="clear" w:color="auto" w:fill="FFFFFF"/>
        <w:spacing w:line="600" w:lineRule="exact"/>
        <w:ind w:firstLine="640" w:firstLineChars="200"/>
        <w:rPr>
          <w:rFonts w:ascii="方正黑体_GBK" w:hAnsi="黑体" w:eastAsia="方正黑体_GBK" w:cs="仿宋_GB2312"/>
          <w:bCs/>
          <w:kern w:val="2"/>
          <w:sz w:val="32"/>
          <w:szCs w:val="32"/>
        </w:rPr>
      </w:pPr>
      <w:r>
        <w:rPr>
          <w:rFonts w:hint="eastAsia" w:ascii="方正黑体_GBK" w:hAnsi="黑体" w:eastAsia="方正黑体_GBK" w:cs="仿宋_GB2312"/>
          <w:bCs/>
          <w:kern w:val="2"/>
          <w:sz w:val="32"/>
          <w:szCs w:val="32"/>
        </w:rPr>
        <w:t>七、决算公开联系方式及信息反馈渠道</w:t>
      </w:r>
    </w:p>
    <w:p>
      <w:pPr>
        <w:pStyle w:val="5"/>
        <w:shd w:val="clear" w:color="auto" w:fill="FFFFFF"/>
        <w:spacing w:line="600" w:lineRule="exact"/>
        <w:ind w:firstLine="640" w:firstLineChars="200"/>
        <w:rPr>
          <w:rFonts w:ascii="方正黑体_GBK" w:hAnsi="黑体" w:eastAsia="方正黑体_GBK" w:cs="仿宋_GB2312"/>
          <w:bCs/>
          <w:kern w:val="2"/>
          <w:sz w:val="32"/>
          <w:szCs w:val="32"/>
        </w:rPr>
      </w:pPr>
      <w:r>
        <w:rPr>
          <w:rFonts w:hint="eastAsia" w:ascii="方正黑体_GBK" w:hAnsi="黑体" w:eastAsia="方正黑体_GBK" w:cs="仿宋_GB2312"/>
          <w:bCs/>
          <w:kern w:val="2"/>
          <w:sz w:val="32"/>
          <w:szCs w:val="32"/>
        </w:rPr>
        <w:t>本单位决算公开信息反馈和联系方式：023-48702610</w:t>
      </w:r>
    </w:p>
    <w:p>
      <w:pPr>
        <w:pStyle w:val="5"/>
        <w:shd w:val="clear" w:color="auto" w:fill="FFFFFF"/>
        <w:rPr>
          <w:rFonts w:ascii="方正仿宋_GBK" w:hAnsi="仿宋_GB2312" w:eastAsia="方正仿宋_GBK" w:cs="仿宋_GB2312"/>
          <w:sz w:val="32"/>
        </w:rPr>
      </w:pPr>
    </w:p>
    <w:sectPr>
      <w:pgSz w:w="11907"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2"/>
  </w:compat>
  <w:docVars>
    <w:docVar w:name="commondata" w:val="eyJoZGlkIjoiN2QzOWU2OThlZTU0ZDM0MWQ0NWYwODQ4MWQ5MmFiZmMifQ=="/>
  </w:docVars>
  <w:rsids>
    <w:rsidRoot w:val="009B7D66"/>
    <w:rsid w:val="00081E1E"/>
    <w:rsid w:val="00107471"/>
    <w:rsid w:val="001E2380"/>
    <w:rsid w:val="001E59EF"/>
    <w:rsid w:val="00212B29"/>
    <w:rsid w:val="00264712"/>
    <w:rsid w:val="002C6AB9"/>
    <w:rsid w:val="002D3DF7"/>
    <w:rsid w:val="003E62C1"/>
    <w:rsid w:val="003F6FDB"/>
    <w:rsid w:val="00477017"/>
    <w:rsid w:val="004855E2"/>
    <w:rsid w:val="004D7853"/>
    <w:rsid w:val="0051478E"/>
    <w:rsid w:val="006163A6"/>
    <w:rsid w:val="00665143"/>
    <w:rsid w:val="006C299F"/>
    <w:rsid w:val="006D4395"/>
    <w:rsid w:val="0076755A"/>
    <w:rsid w:val="00797E9B"/>
    <w:rsid w:val="007A7517"/>
    <w:rsid w:val="007B5DDF"/>
    <w:rsid w:val="007F2FE1"/>
    <w:rsid w:val="00967C36"/>
    <w:rsid w:val="009B7D66"/>
    <w:rsid w:val="00AC32FD"/>
    <w:rsid w:val="00AF67C2"/>
    <w:rsid w:val="00B8164D"/>
    <w:rsid w:val="00B97C1B"/>
    <w:rsid w:val="00C031E5"/>
    <w:rsid w:val="00C40C28"/>
    <w:rsid w:val="00CC3E55"/>
    <w:rsid w:val="00CD3535"/>
    <w:rsid w:val="00D63A23"/>
    <w:rsid w:val="00D733E2"/>
    <w:rsid w:val="00D84D57"/>
    <w:rsid w:val="00DF1427"/>
    <w:rsid w:val="00E15827"/>
    <w:rsid w:val="00EE0CAE"/>
    <w:rsid w:val="00F175C5"/>
    <w:rsid w:val="00F656B4"/>
    <w:rsid w:val="00F95015"/>
    <w:rsid w:val="00F97443"/>
    <w:rsid w:val="00FA4F4A"/>
    <w:rsid w:val="00FC4AAE"/>
    <w:rsid w:val="02A46519"/>
    <w:rsid w:val="19A700F5"/>
    <w:rsid w:val="2A6D2621"/>
    <w:rsid w:val="36DC47DF"/>
    <w:rsid w:val="387A7E7B"/>
    <w:rsid w:val="3ACD5F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uiPriority w:val="0"/>
    <w:pPr>
      <w:widowControl w:val="0"/>
      <w:jc w:val="both"/>
    </w:pPr>
    <w:rPr>
      <w:rFonts w:ascii="Calibri" w:hAnsi="Calibri" w:cs="Times New Roman"/>
      <w:kern w:val="2"/>
      <w:sz w:val="18"/>
      <w:szCs w:val="18"/>
    </w:rPr>
  </w:style>
  <w:style w:type="paragraph" w:styleId="3">
    <w:name w:val="footer"/>
    <w:basedOn w:val="1"/>
    <w:link w:val="10"/>
    <w:semiHidden/>
    <w:unhideWhenUsed/>
    <w:uiPriority w:val="99"/>
    <w:pPr>
      <w:tabs>
        <w:tab w:val="center" w:pos="4153"/>
        <w:tab w:val="right" w:pos="8306"/>
      </w:tabs>
      <w:snapToGrid w:val="0"/>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spacing w:before="100" w:beforeAutospacing="1" w:after="100" w:afterAutospacing="1"/>
    </w:pPr>
  </w:style>
  <w:style w:type="character" w:styleId="8">
    <w:name w:val="Strong"/>
    <w:basedOn w:val="7"/>
    <w:qFormat/>
    <w:uiPriority w:val="22"/>
    <w:rPr>
      <w:b/>
      <w:bCs/>
    </w:rPr>
  </w:style>
  <w:style w:type="character" w:customStyle="1" w:styleId="9">
    <w:name w:val="页眉 Char"/>
    <w:basedOn w:val="7"/>
    <w:link w:val="4"/>
    <w:semiHidden/>
    <w:locked/>
    <w:uiPriority w:val="99"/>
    <w:rPr>
      <w:rFonts w:hint="eastAsia" w:ascii="宋体" w:hAnsi="宋体" w:eastAsia="宋体" w:cs="宋体"/>
      <w:sz w:val="18"/>
      <w:szCs w:val="18"/>
    </w:rPr>
  </w:style>
  <w:style w:type="character" w:customStyle="1" w:styleId="10">
    <w:name w:val="页脚 Char"/>
    <w:basedOn w:val="7"/>
    <w:link w:val="3"/>
    <w:semiHidden/>
    <w:locked/>
    <w:uiPriority w:val="99"/>
    <w:rPr>
      <w:rFonts w:hint="eastAsia" w:ascii="宋体" w:hAnsi="宋体" w:eastAsia="宋体" w:cs="宋体"/>
      <w:sz w:val="18"/>
      <w:szCs w:val="18"/>
    </w:rPr>
  </w:style>
  <w:style w:type="character" w:customStyle="1" w:styleId="11">
    <w:name w:val="批注框文本 Char"/>
    <w:basedOn w:val="7"/>
    <w:link w:val="2"/>
    <w:uiPriority w:val="0"/>
    <w:rPr>
      <w:rFonts w:ascii="Calibri" w:hAnsi="Calibri" w:eastAsia="宋体"/>
      <w:kern w:val="2"/>
      <w:sz w:val="18"/>
      <w:szCs w:val="18"/>
    </w:rPr>
  </w:style>
  <w:style w:type="paragraph" w:customStyle="1" w:styleId="12">
    <w:name w:val="普通(网站) Char Char Char"/>
    <w:basedOn w:val="1"/>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paragraph" w:customStyle="1" w:styleId="13">
    <w:name w:val="普通(网站) Char Char"/>
    <w:basedOn w:val="1"/>
    <w:qFormat/>
    <w:uiPriority w:val="0"/>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8B263-B677-4B4B-8CB9-264E0C9308B9}">
  <ds:schemaRefs/>
</ds:datastoreItem>
</file>

<file path=docProps/app.xml><?xml version="1.0" encoding="utf-8"?>
<Properties xmlns="http://schemas.openxmlformats.org/officeDocument/2006/extended-properties" xmlns:vt="http://schemas.openxmlformats.org/officeDocument/2006/docPropsVTypes">
  <Template>Normal</Template>
  <Pages>14</Pages>
  <Words>5239</Words>
  <Characters>6035</Characters>
  <Lines>54</Lines>
  <Paragraphs>15</Paragraphs>
  <TotalTime>0</TotalTime>
  <ScaleCrop>false</ScaleCrop>
  <LinksUpToDate>false</LinksUpToDate>
  <CharactersWithSpaces>6098</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2022-08-28T07:38:00Z</dcterms:created>
  <dc:creator>admin</dc:creator>
  <cp:lastModifiedBy>陈列</cp:lastModifiedBy>
  <dcterms:modified xsi:type="dcterms:W3CDTF">2022-09-02T02:44:09Z</dcterms:modified>
  <dc:title>公开报告模板</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08479F8931D54E978DB356D63E74DEF1</vt:lpwstr>
  </property>
</Properties>
</file>