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1100" w:firstLineChars="250"/>
        <w:jc w:val="center"/>
        <w:rPr>
          <w:rFonts w:hint="eastAsia" w:ascii="方正小标宋_GBK" w:hAnsi="Times New Roman" w:eastAsia="方正小标宋_GBK" w:cs="Times New Roman"/>
          <w:sz w:val="44"/>
          <w:szCs w:val="44"/>
        </w:rPr>
      </w:pPr>
      <w:r>
        <w:rPr>
          <w:rFonts w:hint="eastAsia" w:ascii="方正小标宋_GBK" w:hAnsi="Times New Roman" w:eastAsia="方正小标宋_GBK" w:cs="Times New Roman"/>
          <w:sz w:val="44"/>
          <w:szCs w:val="44"/>
        </w:rPr>
        <w:t>重庆市綦江区藻渡学校</w:t>
      </w:r>
    </w:p>
    <w:p>
      <w:pPr>
        <w:spacing w:line="600" w:lineRule="exact"/>
        <w:ind w:firstLine="1100" w:firstLineChars="250"/>
        <w:jc w:val="center"/>
        <w:rPr>
          <w:rFonts w:hint="eastAsia" w:ascii="方正小标宋_GBK" w:hAnsi="Times New Roman" w:eastAsia="方正小标宋_GBK" w:cs="Times New Roman"/>
          <w:sz w:val="44"/>
          <w:szCs w:val="44"/>
        </w:rPr>
      </w:pPr>
      <w:r>
        <w:rPr>
          <w:rFonts w:hint="eastAsia" w:ascii="方正小标宋_GBK" w:hAnsi="Times New Roman" w:eastAsia="方正小标宋_GBK" w:cs="Times New Roman"/>
          <w:sz w:val="44"/>
          <w:szCs w:val="44"/>
        </w:rPr>
        <w:t>2020年度部门决算情况说明</w:t>
      </w:r>
    </w:p>
    <w:p>
      <w:pPr>
        <w:spacing w:line="600" w:lineRule="exact"/>
        <w:ind w:firstLine="1100" w:firstLineChars="250"/>
        <w:rPr>
          <w:rFonts w:hint="eastAsia" w:ascii="方正小标宋_GBK" w:hAnsi="Times New Roman" w:eastAsia="方正小标宋_GBK" w:cs="Times New Roman"/>
          <w:sz w:val="44"/>
          <w:szCs w:val="44"/>
        </w:rPr>
      </w:pPr>
      <w:r>
        <w:rPr>
          <w:rFonts w:hint="eastAsia" w:ascii="方正小标宋_GBK" w:hAnsi="Times New Roman" w:eastAsia="方正小标宋_GBK" w:cs="Times New Roman"/>
          <w:sz w:val="44"/>
          <w:szCs w:val="44"/>
        </w:rPr>
        <w:t> </w:t>
      </w:r>
    </w:p>
    <w:p>
      <w:pPr>
        <w:pStyle w:val="10"/>
        <w:tabs>
          <w:tab w:val="center" w:pos="4153"/>
          <w:tab w:val="left" w:pos="7275"/>
        </w:tabs>
        <w:spacing w:line="600" w:lineRule="exact"/>
        <w:ind w:firstLine="640"/>
        <w:rPr>
          <w:rFonts w:hint="eastAsia" w:ascii="Times New Roman" w:hAnsi="Times New Roman" w:eastAsia="方正黑体_GBK" w:cs="Times New Roman"/>
          <w:sz w:val="32"/>
          <w:szCs w:val="32"/>
        </w:rPr>
      </w:pPr>
      <w:r>
        <w:rPr>
          <w:rFonts w:hint="eastAsia" w:ascii="Times New Roman" w:hAnsi="Times New Roman" w:eastAsia="方正黑体_GBK" w:cs="Times New Roman"/>
          <w:sz w:val="32"/>
          <w:szCs w:val="32"/>
        </w:rPr>
        <w:t>一、部门基本情况</w:t>
      </w:r>
    </w:p>
    <w:p>
      <w:pPr>
        <w:pStyle w:val="4"/>
        <w:shd w:val="clear" w:color="auto" w:fill="FFFFFF"/>
        <w:snapToGrid w:val="0"/>
        <w:rPr>
          <w:rFonts w:hint="eastAsia" w:ascii="Times New Roman" w:hAnsi="Times New Roman" w:eastAsia="方正楷体_GBK" w:cs="Times New Roman"/>
          <w:color w:val="333333"/>
          <w:kern w:val="2"/>
          <w:sz w:val="32"/>
          <w:szCs w:val="32"/>
          <w:lang w:val="en-US" w:eastAsia="zh-CN" w:bidi="ar-SA"/>
        </w:rPr>
      </w:pPr>
      <w:r>
        <w:rPr>
          <w:rFonts w:hint="eastAsia"/>
          <w:sz w:val="27"/>
          <w:szCs w:val="27"/>
        </w:rPr>
        <w:t xml:space="preserve">  </w:t>
      </w:r>
      <w:r>
        <w:rPr>
          <w:rFonts w:hint="eastAsia" w:ascii="Times New Roman" w:hAnsi="Times New Roman" w:eastAsia="方正楷体_GBK" w:cs="Times New Roman"/>
          <w:color w:val="333333"/>
          <w:kern w:val="2"/>
          <w:sz w:val="32"/>
          <w:szCs w:val="32"/>
          <w:lang w:val="en-US" w:eastAsia="zh-CN" w:bidi="ar-SA"/>
        </w:rPr>
        <w:t>（一）职能职责</w:t>
      </w:r>
    </w:p>
    <w:p>
      <w:pPr>
        <w:pStyle w:val="4"/>
        <w:shd w:val="clear" w:color="auto" w:fill="FFFFFF"/>
        <w:snapToGrid w:val="0"/>
        <w:rPr>
          <w:rFonts w:hint="eastAsia" w:ascii="Times New Roman" w:hAnsi="Times New Roman" w:eastAsia="方正仿宋_GBK" w:cs="宋体"/>
          <w:kern w:val="0"/>
          <w:sz w:val="32"/>
          <w:szCs w:val="32"/>
          <w:lang w:val="en-US" w:eastAsia="zh-CN" w:bidi="ar-SA"/>
        </w:rPr>
      </w:pPr>
      <w:r>
        <w:rPr>
          <w:rStyle w:val="7"/>
          <w:rFonts w:hint="eastAsia"/>
          <w:color w:val="000000" w:themeColor="text1"/>
          <w:sz w:val="27"/>
          <w:szCs w:val="27"/>
        </w:rPr>
        <w:t> </w:t>
      </w:r>
      <w:r>
        <w:rPr>
          <w:rFonts w:hint="eastAsia" w:ascii="Times New Roman" w:hAnsi="Times New Roman" w:eastAsia="方正仿宋_GBK" w:cs="宋体"/>
          <w:kern w:val="0"/>
          <w:sz w:val="32"/>
          <w:szCs w:val="32"/>
          <w:lang w:val="en-US" w:eastAsia="zh-CN" w:bidi="ar-SA"/>
        </w:rPr>
        <w:t>实施小学义务教育，促进基础教育发展。小学学历教育（相关社会服务）。</w:t>
      </w:r>
    </w:p>
    <w:p>
      <w:pPr>
        <w:pStyle w:val="4"/>
        <w:shd w:val="clear" w:color="auto" w:fill="FFFFFF"/>
        <w:snapToGrid w:val="0"/>
        <w:rPr>
          <w:rFonts w:hint="eastAsia" w:ascii="Times New Roman" w:hAnsi="Times New Roman" w:eastAsia="方正楷体_GBK" w:cs="Times New Roman"/>
          <w:color w:val="333333"/>
          <w:kern w:val="2"/>
          <w:sz w:val="32"/>
          <w:szCs w:val="32"/>
          <w:lang w:val="en-US" w:eastAsia="zh-CN" w:bidi="ar-SA"/>
        </w:rPr>
      </w:pPr>
      <w:r>
        <w:rPr>
          <w:rFonts w:hint="eastAsia"/>
          <w:sz w:val="27"/>
          <w:szCs w:val="27"/>
        </w:rPr>
        <w:t xml:space="preserve">  </w:t>
      </w:r>
      <w:r>
        <w:rPr>
          <w:rFonts w:hint="eastAsia" w:ascii="Times New Roman" w:hAnsi="Times New Roman" w:eastAsia="方正楷体_GBK" w:cs="Times New Roman"/>
          <w:color w:val="333333"/>
          <w:kern w:val="2"/>
          <w:sz w:val="32"/>
          <w:szCs w:val="32"/>
          <w:lang w:val="en-US" w:eastAsia="zh-CN" w:bidi="ar-SA"/>
        </w:rPr>
        <w:t>（二）机构设置</w:t>
      </w:r>
    </w:p>
    <w:p>
      <w:pPr>
        <w:pStyle w:val="4"/>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 根据《重庆市綦江区教育委员会关于全区教育系统事业单位更名的函》（綦教函〔2012〕9号）文件，更名为重庆市綦江区民族小学，属于全额拨款事业单位，编制18人。</w:t>
      </w:r>
    </w:p>
    <w:p>
      <w:pPr>
        <w:pStyle w:val="4"/>
        <w:shd w:val="clear" w:color="auto" w:fill="FFFFFF"/>
        <w:snapToGrid w:val="0"/>
        <w:rPr>
          <w:rFonts w:hint="eastAsia" w:ascii="Times New Roman" w:hAnsi="Times New Roman" w:eastAsia="方正楷体_GBK" w:cs="Times New Roman"/>
          <w:color w:val="333333"/>
          <w:kern w:val="2"/>
          <w:sz w:val="32"/>
          <w:szCs w:val="32"/>
          <w:lang w:val="en-US" w:eastAsia="zh-CN" w:bidi="ar-SA"/>
        </w:rPr>
      </w:pPr>
      <w:r>
        <w:rPr>
          <w:rFonts w:hint="eastAsia"/>
          <w:sz w:val="27"/>
          <w:szCs w:val="27"/>
        </w:rPr>
        <w:t> </w:t>
      </w:r>
      <w:r>
        <w:rPr>
          <w:rFonts w:hint="eastAsia" w:ascii="Times New Roman" w:hAnsi="Times New Roman" w:eastAsia="方正楷体_GBK" w:cs="Times New Roman"/>
          <w:color w:val="333333"/>
          <w:kern w:val="2"/>
          <w:sz w:val="32"/>
          <w:szCs w:val="32"/>
          <w:lang w:val="en-US" w:eastAsia="zh-CN" w:bidi="ar-SA"/>
        </w:rPr>
        <w:t xml:space="preserve"> （三）单位构成</w:t>
      </w:r>
    </w:p>
    <w:p>
      <w:pPr>
        <w:pStyle w:val="4"/>
        <w:shd w:val="clear" w:color="auto" w:fill="FFFFFF"/>
        <w:snapToGrid w:val="0"/>
        <w:rPr>
          <w:rFonts w:hint="eastAsia" w:ascii="Times New Roman" w:hAnsi="Times New Roman" w:eastAsia="方正仿宋_GBK" w:cs="宋体"/>
          <w:kern w:val="0"/>
          <w:sz w:val="32"/>
          <w:szCs w:val="32"/>
          <w:lang w:val="en-US" w:eastAsia="zh-CN" w:bidi="ar-SA"/>
        </w:rPr>
      </w:pPr>
      <w:r>
        <w:rPr>
          <w:rStyle w:val="7"/>
          <w:rFonts w:hint="eastAsia"/>
          <w:sz w:val="27"/>
          <w:szCs w:val="27"/>
        </w:rPr>
        <w:t> </w:t>
      </w:r>
      <w:r>
        <w:rPr>
          <w:rFonts w:hint="eastAsia" w:ascii="Times New Roman" w:hAnsi="Times New Roman" w:eastAsia="方正仿宋_GBK" w:cs="宋体"/>
          <w:kern w:val="0"/>
          <w:sz w:val="32"/>
          <w:szCs w:val="32"/>
          <w:lang w:val="en-US" w:eastAsia="zh-CN" w:bidi="ar-SA"/>
        </w:rPr>
        <w:t>按照《重庆市綦江区机构编制委员会办公室关于调整教育系统各学校校级领导职数和内设机构设置的通知》（綦编办〔2013〕187号）文件，本单位属全额拨款事业单位，校级领导职数2个，内设机构数量2个，分别为总务处、政教处。编制18人，在岗教职工22人，退休教师29人，小学生62人，幼儿10人。</w:t>
      </w:r>
    </w:p>
    <w:p>
      <w:pPr>
        <w:pStyle w:val="4"/>
        <w:shd w:val="clear" w:color="auto" w:fill="FFFFFF"/>
        <w:snapToGrid w:val="0"/>
        <w:rPr>
          <w:rFonts w:hint="eastAsia" w:ascii="Times New Roman" w:hAnsi="Times New Roman" w:eastAsia="方正黑体_GBK" w:cs="Times New Roman"/>
          <w:kern w:val="2"/>
          <w:sz w:val="32"/>
          <w:szCs w:val="32"/>
          <w:lang w:val="en-US" w:eastAsia="zh-CN" w:bidi="ar-SA"/>
        </w:rPr>
      </w:pPr>
      <w:r>
        <w:rPr>
          <w:rFonts w:hint="eastAsia" w:ascii="Times New Roman" w:hAnsi="Times New Roman" w:eastAsia="方正黑体_GBK" w:cs="Times New Roman"/>
          <w:kern w:val="2"/>
          <w:sz w:val="32"/>
          <w:szCs w:val="32"/>
          <w:lang w:val="en-US" w:eastAsia="zh-CN" w:bidi="ar-SA"/>
        </w:rPr>
        <w:t>二、部门决算情况说明</w:t>
      </w:r>
    </w:p>
    <w:p>
      <w:pPr>
        <w:pStyle w:val="4"/>
        <w:shd w:val="clear" w:color="auto" w:fill="FFFFFF"/>
        <w:snapToGrid w:val="0"/>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（一）收入支出决算总体情况说明</w:t>
      </w:r>
    </w:p>
    <w:p>
      <w:pPr>
        <w:pStyle w:val="4"/>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1.总体情况。2020年度收入总计494.37万元，支出总计494.37万元。收支较上年决算数增加45.48万元、 增长 10.1%，主要原因是人员经费支出增加。</w:t>
      </w:r>
    </w:p>
    <w:p>
      <w:pPr>
        <w:pStyle w:val="4"/>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2.收入情况。2020年度收入合计407.70万元，较上年决算数增加35.63万元，增长9.6%，主要原因 是人员经费支出增加。其中：财政拨款收入407.14万元，占99.9%；事业收入0.56万元，占0.1%；经营收入0.00万元，占0%；其他收入0.00万元，占0%。此外，使用非财政拨款结余0.00万元，年初结转和结余86.67万元。</w:t>
      </w:r>
    </w:p>
    <w:p>
      <w:pPr>
        <w:pStyle w:val="4"/>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3.支出情况。2020年度支出合计485.81万元，较上年决算数增加62.76万元，增长14.8%，主要原因是人员经费增加。其中：基本支出 439.72万元，占90.5%；项目支出46.09万元，占9.5%；经营支出0.00万元，占0%。此外，结余分配0.00万元。</w:t>
      </w:r>
    </w:p>
    <w:p>
      <w:pPr>
        <w:pStyle w:val="4"/>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4.结转结余情况。2020年度年末结转和结余8.56万元，较上年决算数减少17.28万元，下降66.9%，主要原因是充分利用上级安排资金解决学校困难。</w:t>
      </w:r>
    </w:p>
    <w:p>
      <w:pPr>
        <w:pStyle w:val="4"/>
        <w:shd w:val="clear" w:color="auto" w:fill="FFFFFF"/>
        <w:snapToGrid w:val="0"/>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（二）财政拨款收入支出决算总体情况说明</w:t>
      </w:r>
    </w:p>
    <w:p>
      <w:pPr>
        <w:pStyle w:val="4"/>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  2020年度财政拨款收、支总计493.81万元。与2019年相比，财政拨款收、支总计各增加46.57万 元，增长10.4%。</w:t>
      </w:r>
    </w:p>
    <w:p>
      <w:pPr>
        <w:pStyle w:val="4"/>
        <w:shd w:val="clear" w:color="auto" w:fill="FFFFFF"/>
        <w:snapToGrid w:val="0"/>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（三）一般公共预算财政拨款支出决算情况说明</w:t>
      </w:r>
    </w:p>
    <w:p>
      <w:pPr>
        <w:pStyle w:val="4"/>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1.收入情况。2020年度一般公共预算财政拨款收入407.14万元，较上年决算数增加36.72万元，增长9.9%。较年初预算数增加61.15万元，增长17.7%。此外，年初财政拨款结转和结余86.67万元。</w:t>
      </w:r>
    </w:p>
    <w:p>
      <w:pPr>
        <w:pStyle w:val="4"/>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2.支出情况。2020年度一般公共预算财政拨款支出485.25万元，较上年决算数增加63.85万元，增长15.2%。较年初预算数增加113.43万 元，增长30.5%。</w:t>
      </w:r>
    </w:p>
    <w:p>
      <w:pPr>
        <w:pStyle w:val="4"/>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3.结转结余情况。2020年度年末一般公共预算财政拨款结转和结余8.56万元，较上年决算数减少17.28万元，下降66.9%。</w:t>
      </w:r>
    </w:p>
    <w:p>
      <w:pPr>
        <w:pStyle w:val="4"/>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4.比较情况。本部门2020年度一般公共预算财政拨款支出主要用于以下几个方面：</w:t>
      </w:r>
    </w:p>
    <w:p>
      <w:pPr>
        <w:pStyle w:val="4"/>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（1）教育支出316.61万元，占65.2%，较年初预算数增加100.46万元，增长46.5%。</w:t>
      </w:r>
    </w:p>
    <w:p>
      <w:pPr>
        <w:pStyle w:val="4"/>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（2）社会保障与就业支出125.86万元，占25.9%，较年初预算数增加10.81万元，增长9.4%，主要原因是工资福利增加。</w:t>
      </w:r>
    </w:p>
    <w:p>
      <w:pPr>
        <w:pStyle w:val="4"/>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（3）卫生健康支出25.04万元，占5.2%，较年初预算数增加0.95万 元，增长3.9%，主要原因是工资福利增加。</w:t>
      </w:r>
    </w:p>
    <w:p>
      <w:pPr>
        <w:pStyle w:val="4"/>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（4）住房保障支出17.73万元，占3.7%，较年初预算数增加1.20万 元，增长7.3%，主要原因是工资福利的增加。</w:t>
      </w:r>
    </w:p>
    <w:p>
      <w:pPr>
        <w:pStyle w:val="4"/>
        <w:shd w:val="clear" w:color="auto" w:fill="FFFFFF"/>
        <w:snapToGrid w:val="0"/>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（四）一般公共预算财政拨款基本支出决算情况说明</w:t>
      </w:r>
    </w:p>
    <w:p>
      <w:pPr>
        <w:pStyle w:val="4"/>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    2020年度一般公共财政拨款基本支出439.72万元。其中：人员经费405.07万元，较上年决算数增加39.05万 元，增长10.7%，主要原因是工资福利的增加。人员经费用途主要包括社会保障缴费的增加。公用经费34.65万元，较上年决算数增加21.75万元，增长168.6%。</w:t>
      </w:r>
    </w:p>
    <w:p>
      <w:pPr>
        <w:pStyle w:val="4"/>
        <w:shd w:val="clear" w:color="auto" w:fill="FFFFFF"/>
        <w:snapToGrid w:val="0"/>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（五）政府性基金预算收支决算情况说明</w:t>
      </w:r>
    </w:p>
    <w:p>
      <w:pPr>
        <w:pStyle w:val="4"/>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  2020年度政府性基金预算财政拨款年初结转结余0.00万元，年末结转结余0.00万元。本年收入0.00万元，较上年决算数增加0.00万元，增长%，。。本年支出0.00万元，较上年决算数增加0.00万元，增长%。</w:t>
      </w:r>
    </w:p>
    <w:p>
      <w:pPr>
        <w:pStyle w:val="4"/>
        <w:numPr>
          <w:ilvl w:val="0"/>
          <w:numId w:val="1"/>
        </w:numPr>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国有资本经营预算财政拨款支决算情况说明。</w:t>
      </w:r>
      <w:r>
        <w:rPr>
          <w:rFonts w:hint="eastAsia" w:ascii="Times New Roman" w:hAnsi="Times New Roman" w:eastAsia="方正仿宋_GBK" w:cs="宋体"/>
          <w:kern w:val="0"/>
          <w:sz w:val="32"/>
          <w:szCs w:val="32"/>
          <w:lang w:val="en-US" w:eastAsia="zh-CN" w:bidi="ar-SA"/>
        </w:rPr>
        <w:br w:type="textWrapping"/>
      </w:r>
      <w:r>
        <w:rPr>
          <w:rFonts w:hint="eastAsia" w:ascii="Times New Roman" w:hAnsi="Times New Roman" w:eastAsia="方正仿宋_GBK" w:cs="宋体"/>
          <w:kern w:val="0"/>
          <w:sz w:val="32"/>
          <w:szCs w:val="32"/>
          <w:lang w:val="en-US" w:eastAsia="zh-CN" w:bidi="ar-SA"/>
        </w:rPr>
        <w:t>  2020年度国有资本经营预算财政拨本年支出0.00万元，基本支出0.00万元，项目支出0.00万元，主要是用于</w:t>
      </w:r>
    </w:p>
    <w:p>
      <w:pPr>
        <w:pStyle w:val="4"/>
        <w:shd w:val="clear" w:color="auto" w:fill="FFFFFF"/>
        <w:snapToGrid w:val="0"/>
        <w:rPr>
          <w:rFonts w:hint="eastAsia" w:ascii="Times New Roman" w:hAnsi="Times New Roman" w:eastAsia="方正黑体_GBK" w:cs="Times New Roman"/>
          <w:kern w:val="2"/>
          <w:sz w:val="32"/>
          <w:szCs w:val="32"/>
          <w:lang w:val="en-US" w:eastAsia="zh-CN" w:bidi="ar-SA"/>
        </w:rPr>
      </w:pPr>
      <w:r>
        <w:rPr>
          <w:rFonts w:hint="eastAsia" w:ascii="Times New Roman" w:hAnsi="Times New Roman" w:eastAsia="方正黑体_GBK" w:cs="Times New Roman"/>
          <w:kern w:val="2"/>
          <w:sz w:val="32"/>
          <w:szCs w:val="32"/>
          <w:lang w:val="en-US" w:eastAsia="zh-CN" w:bidi="ar-SA"/>
        </w:rPr>
        <w:t>三、“三公”经费情况说明</w:t>
      </w:r>
    </w:p>
    <w:p>
      <w:pPr>
        <w:pStyle w:val="11"/>
        <w:autoSpaceDE w:val="0"/>
        <w:autoSpaceDN/>
        <w:spacing w:before="0" w:beforeAutospacing="0" w:after="0" w:afterAutospacing="0" w:line="600" w:lineRule="exact"/>
        <w:ind w:left="0" w:right="0" w:firstLine="640" w:firstLineChars="200"/>
        <w:rPr>
          <w:rFonts w:hint="default" w:ascii="Times New Roman" w:hAnsi="Times New Roman" w:eastAsia="方正楷体_GBK" w:cs="Times New Roman"/>
          <w:color w:val="333333"/>
          <w:kern w:val="2"/>
          <w:sz w:val="32"/>
          <w:szCs w:val="32"/>
        </w:rPr>
      </w:pPr>
      <w:r>
        <w:rPr>
          <w:rFonts w:hint="eastAsia" w:ascii="方正楷体_GBK" w:hAnsi="方正楷体_GBK" w:eastAsia="方正楷体_GBK" w:cs="方正楷体_GBK"/>
          <w:color w:val="333333"/>
          <w:kern w:val="2"/>
          <w:sz w:val="32"/>
          <w:szCs w:val="32"/>
        </w:rPr>
        <w:t>（一）“三公”经费支出总体情况说明</w:t>
      </w:r>
    </w:p>
    <w:p>
      <w:pPr>
        <w:pStyle w:val="12"/>
        <w:shd w:val="clear" w:fill="FFFFFF"/>
        <w:autoSpaceDE w:val="0"/>
        <w:autoSpaceDN/>
        <w:adjustRightInd w:val="0"/>
        <w:snapToGrid w:val="0"/>
        <w:spacing w:before="0" w:beforeAutospacing="0" w:after="0" w:afterAutospacing="0" w:line="600" w:lineRule="exact"/>
        <w:ind w:left="0" w:right="0" w:firstLine="640" w:firstLineChars="200"/>
        <w:jc w:val="both"/>
        <w:rPr>
          <w:rFonts w:hint="default" w:ascii="Times New Roman" w:hAnsi="Times New Roman" w:eastAsia="方正仿宋_GBK" w:cs="宋体"/>
          <w:kern w:val="0"/>
          <w:sz w:val="32"/>
          <w:szCs w:val="32"/>
          <w:shd w:val="clear" w:fill="FFFFFF"/>
        </w:rPr>
      </w:pPr>
      <w:r>
        <w:rPr>
          <w:rFonts w:hint="default" w:ascii="Times New Roman" w:hAnsi="Times New Roman" w:eastAsia="方正仿宋_GBK" w:cs="Times New Roman"/>
          <w:kern w:val="0"/>
          <w:sz w:val="32"/>
          <w:szCs w:val="32"/>
          <w:shd w:val="clear" w:fill="FFFFFF"/>
        </w:rPr>
        <w:t>2020</w:t>
      </w:r>
      <w:r>
        <w:rPr>
          <w:rFonts w:hint="eastAsia" w:ascii="方正仿宋_GBK" w:hAnsi="方正仿宋_GBK" w:eastAsia="方正仿宋_GBK" w:cs="方正仿宋_GBK"/>
          <w:kern w:val="0"/>
          <w:sz w:val="32"/>
          <w:szCs w:val="32"/>
          <w:shd w:val="clear" w:fill="FFFFFF"/>
        </w:rPr>
        <w:t>年度“三公”经费支出共计</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万元，较年初预算数增加</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万元，增长</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 较上年支出数增加</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 元，增长</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。本单位</w:t>
      </w:r>
      <w:r>
        <w:rPr>
          <w:rFonts w:hint="default" w:ascii="Times New Roman" w:hAnsi="Times New Roman" w:eastAsia="方正仿宋_GBK" w:cs="Times New Roman"/>
          <w:kern w:val="0"/>
          <w:sz w:val="32"/>
          <w:szCs w:val="32"/>
          <w:shd w:val="clear" w:fill="FFFFFF"/>
        </w:rPr>
        <w:t>2020</w:t>
      </w:r>
      <w:r>
        <w:rPr>
          <w:rFonts w:hint="eastAsia" w:ascii="方正仿宋_GBK" w:hAnsi="方正仿宋_GBK" w:eastAsia="方正仿宋_GBK" w:cs="方正仿宋_GBK"/>
          <w:kern w:val="0"/>
          <w:sz w:val="32"/>
          <w:szCs w:val="32"/>
          <w:shd w:val="clear" w:fill="FFFFFF"/>
        </w:rPr>
        <w:t>年未发生“三公”经费支出。</w:t>
      </w:r>
    </w:p>
    <w:p>
      <w:pPr>
        <w:pStyle w:val="11"/>
        <w:autoSpaceDE w:val="0"/>
        <w:autoSpaceDN/>
        <w:spacing w:before="0" w:beforeAutospacing="0" w:after="0" w:afterAutospacing="0" w:line="600" w:lineRule="exact"/>
        <w:ind w:left="0" w:right="0" w:firstLine="640" w:firstLineChars="200"/>
        <w:rPr>
          <w:rFonts w:hint="default" w:ascii="Times New Roman" w:hAnsi="Times New Roman" w:eastAsia="方正楷体_GBK" w:cs="Times New Roman"/>
          <w:color w:val="333333"/>
          <w:kern w:val="2"/>
          <w:sz w:val="32"/>
          <w:szCs w:val="32"/>
        </w:rPr>
      </w:pPr>
      <w:r>
        <w:rPr>
          <w:rFonts w:hint="eastAsia" w:ascii="方正楷体_GBK" w:hAnsi="方正楷体_GBK" w:eastAsia="方正楷体_GBK" w:cs="方正楷体_GBK"/>
          <w:color w:val="333333"/>
          <w:kern w:val="2"/>
          <w:sz w:val="32"/>
          <w:szCs w:val="32"/>
        </w:rPr>
        <w:t>（二）“三公”经费分项支出情况</w:t>
      </w:r>
    </w:p>
    <w:p>
      <w:pPr>
        <w:pStyle w:val="12"/>
        <w:shd w:val="clear" w:fill="FFFFFF"/>
        <w:autoSpaceDE w:val="0"/>
        <w:autoSpaceDN/>
        <w:adjustRightInd w:val="0"/>
        <w:snapToGrid w:val="0"/>
        <w:spacing w:before="0" w:beforeAutospacing="0" w:after="0" w:afterAutospacing="0" w:line="600" w:lineRule="exact"/>
        <w:ind w:left="0" w:right="0" w:firstLine="640" w:firstLineChars="200"/>
        <w:jc w:val="both"/>
        <w:rPr>
          <w:rFonts w:hint="default" w:ascii="Times New Roman" w:hAnsi="Times New Roman" w:eastAsia="方正仿宋_GBK" w:cs="宋体"/>
          <w:kern w:val="0"/>
          <w:sz w:val="32"/>
          <w:szCs w:val="32"/>
          <w:shd w:val="clear" w:fill="FFFFFF"/>
        </w:rPr>
      </w:pPr>
      <w:r>
        <w:rPr>
          <w:rFonts w:hint="default" w:ascii="Times New Roman" w:hAnsi="Times New Roman" w:eastAsia="方正仿宋_GBK" w:cs="Times New Roman"/>
          <w:kern w:val="0"/>
          <w:sz w:val="32"/>
          <w:szCs w:val="32"/>
          <w:shd w:val="clear" w:fill="FFFFFF"/>
        </w:rPr>
        <w:t>2020</w:t>
      </w:r>
      <w:r>
        <w:rPr>
          <w:rFonts w:hint="eastAsia" w:ascii="方正仿宋_GBK" w:hAnsi="方正仿宋_GBK" w:eastAsia="方正仿宋_GBK" w:cs="方正仿宋_GBK"/>
          <w:kern w:val="0"/>
          <w:sz w:val="32"/>
          <w:szCs w:val="32"/>
          <w:shd w:val="clear" w:fill="FFFFFF"/>
        </w:rPr>
        <w:t>年度本部门因公出国（境）费用</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万元，费用支出较年初预算数增加</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万元，增长</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，较上年支出数增加</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万元，增长</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。本单位</w:t>
      </w:r>
      <w:r>
        <w:rPr>
          <w:rFonts w:hint="default" w:ascii="Times New Roman" w:hAnsi="Times New Roman" w:eastAsia="方正仿宋_GBK" w:cs="Times New Roman"/>
          <w:kern w:val="0"/>
          <w:sz w:val="32"/>
          <w:szCs w:val="32"/>
          <w:shd w:val="clear" w:fill="FFFFFF"/>
        </w:rPr>
        <w:t>2020</w:t>
      </w:r>
      <w:r>
        <w:rPr>
          <w:rFonts w:hint="eastAsia" w:ascii="方正仿宋_GBK" w:hAnsi="方正仿宋_GBK" w:eastAsia="方正仿宋_GBK" w:cs="方正仿宋_GBK"/>
          <w:kern w:val="0"/>
          <w:sz w:val="32"/>
          <w:szCs w:val="32"/>
          <w:shd w:val="clear" w:fill="FFFFFF"/>
        </w:rPr>
        <w:t>年度本部门未发生因公出国（境）费用。</w:t>
      </w:r>
    </w:p>
    <w:p>
      <w:pPr>
        <w:pStyle w:val="12"/>
        <w:shd w:val="clear" w:fill="FFFFFF"/>
        <w:autoSpaceDE w:val="0"/>
        <w:autoSpaceDN/>
        <w:adjustRightInd w:val="0"/>
        <w:snapToGrid w:val="0"/>
        <w:spacing w:before="0" w:beforeAutospacing="0" w:after="0" w:afterAutospacing="0" w:line="600" w:lineRule="exact"/>
        <w:ind w:left="0" w:right="0" w:firstLine="640" w:firstLineChars="200"/>
        <w:jc w:val="both"/>
        <w:rPr>
          <w:rFonts w:hint="default" w:ascii="Times New Roman" w:hAnsi="Times New Roman" w:eastAsia="方正仿宋_GBK" w:cs="宋体"/>
          <w:kern w:val="0"/>
          <w:sz w:val="32"/>
          <w:szCs w:val="32"/>
          <w:shd w:val="clear" w:fill="FFFFFF"/>
        </w:rPr>
      </w:pPr>
      <w:r>
        <w:rPr>
          <w:rFonts w:hint="eastAsia" w:ascii="方正仿宋_GBK" w:hAnsi="方正仿宋_GBK" w:eastAsia="方正仿宋_GBK" w:cs="方正仿宋_GBK"/>
          <w:kern w:val="0"/>
          <w:sz w:val="32"/>
          <w:szCs w:val="32"/>
          <w:shd w:val="clear" w:fill="FFFFFF"/>
        </w:rPr>
        <w:t>公务车购置费</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万元，费用支出较年初预算数增加</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万元，增长</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。较上年支出数增加</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万元，增长</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。本单位</w:t>
      </w:r>
      <w:r>
        <w:rPr>
          <w:rFonts w:hint="default" w:ascii="Times New Roman" w:hAnsi="Times New Roman" w:eastAsia="方正仿宋_GBK" w:cs="Times New Roman"/>
          <w:kern w:val="0"/>
          <w:sz w:val="32"/>
          <w:szCs w:val="32"/>
          <w:shd w:val="clear" w:fill="FFFFFF"/>
        </w:rPr>
        <w:t>2020</w:t>
      </w:r>
      <w:r>
        <w:rPr>
          <w:rFonts w:hint="eastAsia" w:ascii="方正仿宋_GBK" w:hAnsi="方正仿宋_GBK" w:eastAsia="方正仿宋_GBK" w:cs="方正仿宋_GBK"/>
          <w:kern w:val="0"/>
          <w:sz w:val="32"/>
          <w:szCs w:val="32"/>
          <w:shd w:val="clear" w:fill="FFFFFF"/>
        </w:rPr>
        <w:t>年度未发生公务车购置费。</w:t>
      </w:r>
    </w:p>
    <w:p>
      <w:pPr>
        <w:pStyle w:val="12"/>
        <w:shd w:val="clear" w:fill="FFFFFF"/>
        <w:autoSpaceDE w:val="0"/>
        <w:autoSpaceDN/>
        <w:adjustRightInd w:val="0"/>
        <w:snapToGrid w:val="0"/>
        <w:spacing w:before="0" w:beforeAutospacing="0" w:after="0" w:afterAutospacing="0" w:line="600" w:lineRule="exact"/>
        <w:ind w:left="0" w:right="0" w:firstLine="640" w:firstLineChars="200"/>
        <w:jc w:val="both"/>
        <w:rPr>
          <w:rFonts w:hint="default" w:ascii="Times New Roman" w:hAnsi="Times New Roman" w:eastAsia="方正仿宋_GBK" w:cs="宋体"/>
          <w:kern w:val="0"/>
          <w:sz w:val="32"/>
          <w:szCs w:val="32"/>
          <w:shd w:val="clear" w:fill="FFFFFF"/>
        </w:rPr>
      </w:pPr>
      <w:r>
        <w:rPr>
          <w:rFonts w:hint="eastAsia" w:ascii="方正仿宋_GBK" w:hAnsi="方正仿宋_GBK" w:eastAsia="方正仿宋_GBK" w:cs="方正仿宋_GBK"/>
          <w:kern w:val="0"/>
          <w:sz w:val="32"/>
          <w:szCs w:val="32"/>
          <w:shd w:val="clear" w:fill="FFFFFF"/>
        </w:rPr>
        <w:t>公务车运行维护费</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万元，费用支出较年初预算数增加</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万元，增长</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，较上年支出数增加</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万元，增长</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。本单位</w:t>
      </w:r>
      <w:r>
        <w:rPr>
          <w:rFonts w:hint="default" w:ascii="Times New Roman" w:hAnsi="Times New Roman" w:eastAsia="方正仿宋_GBK" w:cs="Times New Roman"/>
          <w:kern w:val="0"/>
          <w:sz w:val="32"/>
          <w:szCs w:val="32"/>
          <w:shd w:val="clear" w:fill="FFFFFF"/>
        </w:rPr>
        <w:t>2020</w:t>
      </w:r>
      <w:r>
        <w:rPr>
          <w:rFonts w:hint="eastAsia" w:ascii="方正仿宋_GBK" w:hAnsi="方正仿宋_GBK" w:eastAsia="方正仿宋_GBK" w:cs="方正仿宋_GBK"/>
          <w:kern w:val="0"/>
          <w:sz w:val="32"/>
          <w:szCs w:val="32"/>
          <w:shd w:val="clear" w:fill="FFFFFF"/>
        </w:rPr>
        <w:t>年度未发生公务车运行维护费。</w:t>
      </w:r>
    </w:p>
    <w:p>
      <w:pPr>
        <w:pStyle w:val="12"/>
        <w:shd w:val="clear" w:fill="FFFFFF"/>
        <w:autoSpaceDE w:val="0"/>
        <w:autoSpaceDN/>
        <w:adjustRightInd w:val="0"/>
        <w:snapToGrid w:val="0"/>
        <w:spacing w:before="0" w:beforeAutospacing="0" w:after="0" w:afterAutospacing="0" w:line="600" w:lineRule="exact"/>
        <w:ind w:left="0" w:right="0" w:firstLine="640" w:firstLineChars="200"/>
        <w:jc w:val="both"/>
        <w:rPr>
          <w:rFonts w:hint="default" w:ascii="Times New Roman" w:hAnsi="Times New Roman" w:eastAsia="方正仿宋_GBK" w:cs="宋体"/>
          <w:kern w:val="0"/>
          <w:sz w:val="32"/>
          <w:szCs w:val="32"/>
          <w:shd w:val="clear" w:fill="FFFFFF"/>
        </w:rPr>
      </w:pPr>
      <w:r>
        <w:rPr>
          <w:rFonts w:hint="eastAsia" w:ascii="方正仿宋_GBK" w:hAnsi="方正仿宋_GBK" w:eastAsia="方正仿宋_GBK" w:cs="方正仿宋_GBK"/>
          <w:kern w:val="0"/>
          <w:sz w:val="32"/>
          <w:szCs w:val="32"/>
          <w:shd w:val="clear" w:fill="FFFFFF"/>
        </w:rPr>
        <w:t>公务接待费</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万元，费用支出较年初预算数增加</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万元，增长</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。较上年支出数增加</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万元，增长</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。本单位</w:t>
      </w:r>
      <w:r>
        <w:rPr>
          <w:rFonts w:hint="default" w:ascii="Times New Roman" w:hAnsi="Times New Roman" w:eastAsia="方正仿宋_GBK" w:cs="Times New Roman"/>
          <w:kern w:val="0"/>
          <w:sz w:val="32"/>
          <w:szCs w:val="32"/>
          <w:shd w:val="clear" w:fill="FFFFFF"/>
        </w:rPr>
        <w:t>2020</w:t>
      </w:r>
      <w:r>
        <w:rPr>
          <w:rFonts w:hint="eastAsia" w:ascii="方正仿宋_GBK" w:hAnsi="方正仿宋_GBK" w:eastAsia="方正仿宋_GBK" w:cs="方正仿宋_GBK"/>
          <w:kern w:val="0"/>
          <w:sz w:val="32"/>
          <w:szCs w:val="32"/>
          <w:shd w:val="clear" w:fill="FFFFFF"/>
        </w:rPr>
        <w:t>年度未发生公务接待费。</w:t>
      </w:r>
    </w:p>
    <w:p>
      <w:pPr>
        <w:pStyle w:val="11"/>
        <w:autoSpaceDE w:val="0"/>
        <w:autoSpaceDN/>
        <w:spacing w:before="0" w:beforeAutospacing="0" w:after="0" w:afterAutospacing="0" w:line="600" w:lineRule="exact"/>
        <w:ind w:left="0" w:right="0" w:firstLine="640" w:firstLineChars="200"/>
        <w:rPr>
          <w:rFonts w:hint="default" w:ascii="Times New Roman" w:hAnsi="Times New Roman" w:eastAsia="方正楷体_GBK" w:cs="Times New Roman"/>
          <w:color w:val="333333"/>
          <w:kern w:val="2"/>
          <w:sz w:val="32"/>
          <w:szCs w:val="32"/>
        </w:rPr>
      </w:pPr>
      <w:r>
        <w:rPr>
          <w:rFonts w:hint="eastAsia" w:ascii="方正楷体_GBK" w:hAnsi="方正楷体_GBK" w:eastAsia="方正楷体_GBK" w:cs="方正楷体_GBK"/>
          <w:color w:val="333333"/>
          <w:kern w:val="2"/>
          <w:sz w:val="32"/>
          <w:szCs w:val="32"/>
        </w:rPr>
        <w:t>（三）“三公”经费实物量情况</w:t>
      </w:r>
    </w:p>
    <w:p>
      <w:pPr>
        <w:pStyle w:val="12"/>
        <w:shd w:val="clear" w:fill="FFFFFF"/>
        <w:autoSpaceDE w:val="0"/>
        <w:autoSpaceDN/>
        <w:adjustRightInd w:val="0"/>
        <w:snapToGrid w:val="0"/>
        <w:spacing w:before="0" w:beforeAutospacing="0" w:after="0" w:afterAutospacing="0" w:line="600" w:lineRule="exact"/>
        <w:ind w:left="0" w:right="0" w:firstLine="640" w:firstLineChars="200"/>
        <w:jc w:val="both"/>
        <w:rPr>
          <w:rFonts w:hint="default" w:ascii="Times New Roman" w:hAnsi="Times New Roman" w:eastAsia="方正仿宋_GBK" w:cs="宋体"/>
          <w:kern w:val="0"/>
          <w:sz w:val="32"/>
          <w:szCs w:val="32"/>
          <w:shd w:val="clear" w:fill="FFFFFF"/>
        </w:rPr>
      </w:pPr>
      <w:r>
        <w:rPr>
          <w:rFonts w:hint="default" w:ascii="Times New Roman" w:hAnsi="Times New Roman" w:eastAsia="方正仿宋_GBK" w:cs="Times New Roman"/>
          <w:kern w:val="0"/>
          <w:sz w:val="32"/>
          <w:szCs w:val="32"/>
          <w:shd w:val="clear" w:fill="FFFFFF"/>
        </w:rPr>
        <w:t>2020</w:t>
      </w:r>
      <w:r>
        <w:rPr>
          <w:rFonts w:hint="eastAsia" w:ascii="方正仿宋_GBK" w:hAnsi="方正仿宋_GBK" w:eastAsia="方正仿宋_GBK" w:cs="方正仿宋_GBK"/>
          <w:kern w:val="0"/>
          <w:sz w:val="32"/>
          <w:szCs w:val="32"/>
          <w:shd w:val="clear" w:fill="FFFFFF"/>
        </w:rPr>
        <w:t>年度本部门因公出国（境）共计</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个团组，</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人；公务用车购置</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辆，公务车保有量为</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辆；国内公务接待</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批次</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人，其中：国内外 事接待</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批次，</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人；国（境）外公务接待</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批次，</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人。</w:t>
      </w:r>
      <w:r>
        <w:rPr>
          <w:rFonts w:hint="default" w:ascii="Times New Roman" w:hAnsi="Times New Roman" w:eastAsia="方正仿宋_GBK" w:cs="Times New Roman"/>
          <w:kern w:val="0"/>
          <w:sz w:val="32"/>
          <w:szCs w:val="32"/>
          <w:shd w:val="clear" w:fill="FFFFFF"/>
        </w:rPr>
        <w:t>2020</w:t>
      </w:r>
      <w:r>
        <w:rPr>
          <w:rFonts w:hint="eastAsia" w:ascii="方正仿宋_GBK" w:hAnsi="方正仿宋_GBK" w:eastAsia="方正仿宋_GBK" w:cs="方正仿宋_GBK"/>
          <w:kern w:val="0"/>
          <w:sz w:val="32"/>
          <w:szCs w:val="32"/>
          <w:shd w:val="clear" w:fill="FFFFFF"/>
        </w:rPr>
        <w:t>年本部门人均接待费</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元，车均购置费</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万元，车均维护费</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w:t>
      </w:r>
    </w:p>
    <w:p>
      <w:pPr>
        <w:pStyle w:val="4"/>
        <w:shd w:val="clear" w:color="auto" w:fill="FFFFFF"/>
        <w:snapToGrid w:val="0"/>
        <w:rPr>
          <w:rFonts w:hint="eastAsia" w:ascii="Times New Roman" w:hAnsi="Times New Roman" w:eastAsia="方正黑体_GBK" w:cs="Times New Roman"/>
          <w:kern w:val="2"/>
          <w:sz w:val="32"/>
          <w:szCs w:val="32"/>
          <w:lang w:val="en-US" w:eastAsia="zh-CN" w:bidi="ar-SA"/>
        </w:rPr>
      </w:pPr>
      <w:r>
        <w:rPr>
          <w:rFonts w:hint="eastAsia" w:ascii="Times New Roman" w:hAnsi="Times New Roman" w:eastAsia="方正黑体_GBK" w:cs="Times New Roman"/>
          <w:kern w:val="2"/>
          <w:sz w:val="32"/>
          <w:szCs w:val="32"/>
          <w:lang w:val="en-US" w:eastAsia="zh-CN" w:bidi="ar-SA"/>
        </w:rPr>
        <w:t>四、其他需要说明的事项</w:t>
      </w:r>
    </w:p>
    <w:p>
      <w:pPr>
        <w:pStyle w:val="4"/>
        <w:numPr>
          <w:ilvl w:val="0"/>
          <w:numId w:val="0"/>
        </w:numPr>
        <w:shd w:val="clear" w:color="auto" w:fill="FFFFFF"/>
        <w:snapToGrid w:val="0"/>
        <w:rPr>
          <w:rFonts w:hint="eastAsia" w:ascii="方正楷体_GBK" w:hAnsi="方正楷体_GBK" w:eastAsia="方正楷体_GBK" w:cs="方正楷体_GBK"/>
          <w:color w:val="333333"/>
          <w:kern w:val="2"/>
          <w:sz w:val="32"/>
          <w:szCs w:val="32"/>
          <w:lang w:val="en-US" w:eastAsia="zh-CN" w:bidi="ar"/>
        </w:rPr>
      </w:pPr>
      <w:r>
        <w:rPr>
          <w:rFonts w:hint="eastAsia" w:ascii="方正楷体_GBK" w:hAnsi="方正楷体_GBK" w:eastAsia="方正楷体_GBK" w:cs="方正楷体_GBK"/>
          <w:color w:val="333333"/>
          <w:kern w:val="2"/>
          <w:sz w:val="32"/>
          <w:szCs w:val="32"/>
          <w:lang w:val="en-US" w:eastAsia="zh-CN" w:bidi="ar"/>
        </w:rPr>
        <w:t>（一）机关运行经费情况说明</w:t>
      </w:r>
    </w:p>
    <w:p>
      <w:pPr>
        <w:pStyle w:val="4"/>
        <w:numPr>
          <w:ilvl w:val="0"/>
          <w:numId w:val="0"/>
        </w:numPr>
        <w:shd w:val="clear" w:color="auto" w:fill="FFFFFF"/>
        <w:snapToGrid w:val="0"/>
        <w:ind w:firstLine="640" w:firstLineChars="200"/>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本年度会议费支出0.06万元，较上年决算数减少0.04万元，下降40%，主要原因是。本年度培训费支出 0.17万元，较上年决算数减少0.88万元，下降83.8%。</w:t>
      </w:r>
    </w:p>
    <w:p>
      <w:pPr>
        <w:pStyle w:val="4"/>
        <w:numPr>
          <w:ilvl w:val="0"/>
          <w:numId w:val="0"/>
        </w:numPr>
        <w:shd w:val="clear" w:color="auto" w:fill="FFFFFF"/>
        <w:snapToGrid w:val="0"/>
        <w:rPr>
          <w:rFonts w:hint="eastAsia" w:ascii="方正楷体_GBK" w:hAnsi="方正楷体_GBK" w:eastAsia="方正楷体_GBK" w:cs="方正楷体_GBK"/>
          <w:color w:val="333333"/>
          <w:kern w:val="2"/>
          <w:sz w:val="32"/>
          <w:szCs w:val="32"/>
          <w:lang w:val="en-US" w:eastAsia="zh-CN" w:bidi="ar"/>
        </w:rPr>
      </w:pPr>
      <w:r>
        <w:rPr>
          <w:rFonts w:hint="eastAsia" w:ascii="方正楷体_GBK" w:hAnsi="方正楷体_GBK" w:eastAsia="方正楷体_GBK" w:cs="方正楷体_GBK"/>
          <w:color w:val="333333"/>
          <w:kern w:val="2"/>
          <w:sz w:val="32"/>
          <w:szCs w:val="32"/>
          <w:lang w:val="en-US" w:eastAsia="zh-CN" w:bidi="ar"/>
        </w:rPr>
        <w:t>（二）国有资产占用情况说明</w:t>
      </w:r>
    </w:p>
    <w:p>
      <w:pPr>
        <w:pStyle w:val="4"/>
        <w:numPr>
          <w:ilvl w:val="0"/>
          <w:numId w:val="0"/>
        </w:numPr>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截至2020年12月31日，本部门共有车辆0辆，其中，副部（省）级及以上领导用车0辆、主要领导干部用车0辆、机要通信用车0辆、应急保障用车0辆、执法执勤用车0辆，特种专业技术用车0辆，离退休干部用车0辆，其他用车0辆，单价50万元（含）以上通用设备0台（套），单价100万元（含）以上专用设备0台（套）。</w:t>
      </w:r>
    </w:p>
    <w:p>
      <w:pPr>
        <w:pStyle w:val="4"/>
        <w:numPr>
          <w:ilvl w:val="0"/>
          <w:numId w:val="0"/>
        </w:numPr>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方正楷体_GBK" w:hAnsi="方正楷体_GBK" w:eastAsia="方正楷体_GBK" w:cs="方正楷体_GBK"/>
          <w:color w:val="333333"/>
          <w:kern w:val="2"/>
          <w:sz w:val="32"/>
          <w:szCs w:val="32"/>
          <w:lang w:val="en-US" w:eastAsia="zh-CN" w:bidi="ar"/>
        </w:rPr>
        <w:t>（三）政府采购支出情况说明</w:t>
      </w:r>
    </w:p>
    <w:p>
      <w:pPr>
        <w:pStyle w:val="4"/>
        <w:numPr>
          <w:ilvl w:val="0"/>
          <w:numId w:val="0"/>
        </w:numPr>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2020年度本部门政府采购支出总额0.00万元，其中：政府采购货物支出0.00万元、政府采购工程支出0.00万元、政府采购服务支出0.00万元。授予中小企业合同金额0.00万元，占政府采购支出总额的%，其中：授予小微企业合同金额 0.00万元，占政府采购支出总额的%。</w:t>
      </w:r>
    </w:p>
    <w:p>
      <w:pPr>
        <w:pStyle w:val="4"/>
        <w:shd w:val="clear" w:color="auto" w:fill="FFFFFF"/>
        <w:snapToGrid w:val="0"/>
        <w:rPr>
          <w:rFonts w:hint="eastAsia" w:ascii="Times New Roman" w:hAnsi="Times New Roman" w:eastAsia="方正黑体_GBK" w:cs="Times New Roman"/>
          <w:kern w:val="2"/>
          <w:sz w:val="32"/>
          <w:szCs w:val="32"/>
          <w:lang w:val="en-US" w:eastAsia="zh-CN" w:bidi="ar-SA"/>
        </w:rPr>
      </w:pPr>
      <w:r>
        <w:rPr>
          <w:rFonts w:hint="eastAsia" w:ascii="Times New Roman" w:hAnsi="Times New Roman" w:eastAsia="方正黑体_GBK" w:cs="Times New Roman"/>
          <w:kern w:val="2"/>
          <w:sz w:val="32"/>
          <w:szCs w:val="32"/>
          <w:lang w:val="en-US" w:eastAsia="zh-CN" w:bidi="ar-SA"/>
        </w:rPr>
        <w:t>五、预算绩效管理情况说明</w:t>
      </w:r>
      <w:bookmarkStart w:id="0" w:name="_GoBack"/>
      <w:bookmarkEnd w:id="0"/>
    </w:p>
    <w:p>
      <w:pPr>
        <w:pStyle w:val="4"/>
        <w:numPr>
          <w:ilvl w:val="0"/>
          <w:numId w:val="0"/>
        </w:numPr>
        <w:shd w:val="clear" w:color="auto" w:fill="FFFFFF"/>
        <w:snapToGrid w:val="0"/>
        <w:rPr>
          <w:rFonts w:hint="eastAsia" w:ascii="方正楷体_GBK" w:hAnsi="方正楷体_GBK" w:eastAsia="方正楷体_GBK" w:cs="方正楷体_GBK"/>
          <w:color w:val="333333"/>
          <w:kern w:val="2"/>
          <w:sz w:val="32"/>
          <w:szCs w:val="32"/>
          <w:lang w:val="en-US" w:eastAsia="zh-CN" w:bidi="ar"/>
        </w:rPr>
      </w:pPr>
      <w:r>
        <w:rPr>
          <w:rFonts w:hint="eastAsia" w:ascii="方正楷体_GBK" w:hAnsi="方正楷体_GBK" w:eastAsia="方正楷体_GBK" w:cs="方正楷体_GBK"/>
          <w:color w:val="333333"/>
          <w:kern w:val="2"/>
          <w:sz w:val="32"/>
          <w:szCs w:val="32"/>
          <w:lang w:val="en-US" w:eastAsia="zh-CN" w:bidi="ar"/>
        </w:rPr>
        <w:t>（一）预算绩效管理工作开展情况</w:t>
      </w:r>
    </w:p>
    <w:p>
      <w:pPr>
        <w:pStyle w:val="4"/>
        <w:numPr>
          <w:ilvl w:val="0"/>
          <w:numId w:val="0"/>
        </w:numPr>
        <w:shd w:val="clear" w:color="auto" w:fill="FFFFFF"/>
        <w:snapToGrid w:val="0"/>
        <w:rPr>
          <w:rFonts w:hint="eastAsia" w:ascii="方正楷体_GBK" w:hAnsi="方正楷体_GBK" w:eastAsia="方正楷体_GBK" w:cs="方正楷体_GBK"/>
          <w:color w:val="333333"/>
          <w:kern w:val="2"/>
          <w:sz w:val="32"/>
          <w:szCs w:val="32"/>
          <w:lang w:val="en-US" w:eastAsia="zh-CN" w:bidi="ar"/>
        </w:rPr>
      </w:pPr>
      <w:r>
        <w:rPr>
          <w:rFonts w:hint="eastAsia" w:ascii="方正楷体_GBK" w:hAnsi="方正楷体_GBK" w:eastAsia="方正楷体_GBK" w:cs="方正楷体_GBK"/>
          <w:color w:val="333333"/>
          <w:kern w:val="2"/>
          <w:sz w:val="32"/>
          <w:szCs w:val="32"/>
          <w:lang w:val="en-US" w:eastAsia="zh-CN" w:bidi="ar"/>
        </w:rPr>
        <w:t>（二）绩效自评结果</w:t>
      </w:r>
    </w:p>
    <w:p>
      <w:pPr>
        <w:pStyle w:val="4"/>
        <w:numPr>
          <w:ilvl w:val="0"/>
          <w:numId w:val="0"/>
        </w:numPr>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1.绩效自评表</w:t>
      </w:r>
    </w:p>
    <w:tbl>
      <w:tblPr>
        <w:tblStyle w:val="5"/>
        <w:tblW w:w="9004" w:type="dxa"/>
        <w:tblInd w:w="95" w:type="dxa"/>
        <w:tblLayout w:type="autofit"/>
        <w:tblCellMar>
          <w:top w:w="0" w:type="dxa"/>
          <w:left w:w="108" w:type="dxa"/>
          <w:bottom w:w="0" w:type="dxa"/>
          <w:right w:w="108" w:type="dxa"/>
        </w:tblCellMar>
      </w:tblPr>
      <w:tblGrid>
        <w:gridCol w:w="518"/>
        <w:gridCol w:w="759"/>
        <w:gridCol w:w="814"/>
        <w:gridCol w:w="1684"/>
        <w:gridCol w:w="936"/>
        <w:gridCol w:w="796"/>
        <w:gridCol w:w="759"/>
        <w:gridCol w:w="666"/>
        <w:gridCol w:w="666"/>
        <w:gridCol w:w="629"/>
        <w:gridCol w:w="777"/>
      </w:tblGrid>
      <w:tr>
        <w:tblPrEx>
          <w:tblCellMar>
            <w:top w:w="0" w:type="dxa"/>
            <w:left w:w="108" w:type="dxa"/>
            <w:bottom w:w="0" w:type="dxa"/>
            <w:right w:w="108" w:type="dxa"/>
          </w:tblCellMar>
        </w:tblPrEx>
        <w:trPr>
          <w:trHeight w:val="801" w:hRule="atLeast"/>
        </w:trPr>
        <w:tc>
          <w:tcPr>
            <w:tcW w:w="9004" w:type="dxa"/>
            <w:gridSpan w:val="11"/>
            <w:tcBorders>
              <w:top w:val="nil"/>
              <w:left w:val="nil"/>
              <w:bottom w:val="nil"/>
              <w:right w:val="nil"/>
            </w:tcBorders>
            <w:shd w:val="clear" w:color="auto" w:fill="auto"/>
            <w:noWrap/>
            <w:vAlign w:val="center"/>
          </w:tcPr>
          <w:p>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2020年度部门（单位）项目支出绩效自评汇总表</w:t>
            </w:r>
          </w:p>
        </w:tc>
      </w:tr>
      <w:tr>
        <w:tblPrEx>
          <w:tblCellMar>
            <w:top w:w="0" w:type="dxa"/>
            <w:left w:w="108" w:type="dxa"/>
            <w:bottom w:w="0" w:type="dxa"/>
            <w:right w:w="108" w:type="dxa"/>
          </w:tblCellMar>
        </w:tblPrEx>
        <w:trPr>
          <w:trHeight w:val="468" w:hRule="atLeast"/>
        </w:trPr>
        <w:tc>
          <w:tcPr>
            <w:tcW w:w="4711" w:type="dxa"/>
            <w:gridSpan w:val="5"/>
            <w:tcBorders>
              <w:top w:val="nil"/>
              <w:left w:val="nil"/>
              <w:bottom w:val="nil"/>
              <w:right w:val="nil"/>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填表单位（盖章）：重庆市綦江区藻渡小学</w:t>
            </w:r>
          </w:p>
        </w:tc>
        <w:tc>
          <w:tcPr>
            <w:tcW w:w="796" w:type="dxa"/>
            <w:tcBorders>
              <w:top w:val="nil"/>
              <w:left w:val="nil"/>
              <w:bottom w:val="nil"/>
              <w:right w:val="nil"/>
            </w:tcBorders>
            <w:shd w:val="clear" w:color="auto" w:fill="auto"/>
            <w:noWrap/>
            <w:vAlign w:val="center"/>
          </w:tcPr>
          <w:p>
            <w:pPr>
              <w:widowControl/>
              <w:jc w:val="left"/>
              <w:rPr>
                <w:rFonts w:ascii="宋体" w:hAnsi="宋体" w:eastAsia="宋体" w:cs="宋体"/>
                <w:kern w:val="0"/>
                <w:sz w:val="24"/>
                <w:szCs w:val="24"/>
              </w:rPr>
            </w:pPr>
          </w:p>
        </w:tc>
        <w:tc>
          <w:tcPr>
            <w:tcW w:w="759" w:type="dxa"/>
            <w:tcBorders>
              <w:top w:val="nil"/>
              <w:left w:val="nil"/>
              <w:bottom w:val="nil"/>
              <w:right w:val="nil"/>
            </w:tcBorders>
            <w:shd w:val="clear" w:color="auto" w:fill="auto"/>
            <w:noWrap/>
            <w:vAlign w:val="center"/>
          </w:tcPr>
          <w:p>
            <w:pPr>
              <w:widowControl/>
              <w:jc w:val="left"/>
              <w:rPr>
                <w:rFonts w:ascii="宋体" w:hAnsi="宋体" w:eastAsia="宋体" w:cs="宋体"/>
                <w:kern w:val="0"/>
                <w:sz w:val="24"/>
                <w:szCs w:val="24"/>
              </w:rPr>
            </w:pPr>
          </w:p>
        </w:tc>
        <w:tc>
          <w:tcPr>
            <w:tcW w:w="666" w:type="dxa"/>
            <w:tcBorders>
              <w:top w:val="nil"/>
              <w:left w:val="nil"/>
              <w:bottom w:val="nil"/>
              <w:right w:val="nil"/>
            </w:tcBorders>
            <w:shd w:val="clear" w:color="auto" w:fill="auto"/>
            <w:noWrap/>
            <w:vAlign w:val="center"/>
          </w:tcPr>
          <w:p>
            <w:pPr>
              <w:widowControl/>
              <w:jc w:val="left"/>
              <w:rPr>
                <w:rFonts w:ascii="宋体" w:hAnsi="宋体" w:eastAsia="宋体" w:cs="宋体"/>
                <w:kern w:val="0"/>
                <w:sz w:val="24"/>
                <w:szCs w:val="24"/>
              </w:rPr>
            </w:pPr>
          </w:p>
        </w:tc>
        <w:tc>
          <w:tcPr>
            <w:tcW w:w="666" w:type="dxa"/>
            <w:tcBorders>
              <w:top w:val="nil"/>
              <w:left w:val="nil"/>
              <w:bottom w:val="nil"/>
              <w:right w:val="nil"/>
            </w:tcBorders>
            <w:shd w:val="clear" w:color="auto" w:fill="auto"/>
            <w:noWrap/>
            <w:vAlign w:val="center"/>
          </w:tcPr>
          <w:p>
            <w:pPr>
              <w:widowControl/>
              <w:jc w:val="left"/>
              <w:rPr>
                <w:rFonts w:ascii="宋体" w:hAnsi="宋体" w:eastAsia="宋体" w:cs="宋体"/>
                <w:kern w:val="0"/>
                <w:sz w:val="24"/>
                <w:szCs w:val="24"/>
              </w:rPr>
            </w:pPr>
          </w:p>
        </w:tc>
        <w:tc>
          <w:tcPr>
            <w:tcW w:w="629" w:type="dxa"/>
            <w:tcBorders>
              <w:top w:val="nil"/>
              <w:left w:val="nil"/>
              <w:bottom w:val="nil"/>
              <w:right w:val="nil"/>
            </w:tcBorders>
            <w:shd w:val="clear" w:color="auto" w:fill="auto"/>
            <w:noWrap/>
            <w:vAlign w:val="center"/>
          </w:tcPr>
          <w:p>
            <w:pPr>
              <w:widowControl/>
              <w:jc w:val="left"/>
              <w:rPr>
                <w:rFonts w:ascii="宋体" w:hAnsi="宋体" w:eastAsia="宋体" w:cs="宋体"/>
                <w:kern w:val="0"/>
                <w:sz w:val="24"/>
                <w:szCs w:val="24"/>
              </w:rPr>
            </w:pPr>
          </w:p>
        </w:tc>
        <w:tc>
          <w:tcPr>
            <w:tcW w:w="777" w:type="dxa"/>
            <w:tcBorders>
              <w:top w:val="nil"/>
              <w:left w:val="nil"/>
              <w:bottom w:val="nil"/>
              <w:right w:val="nil"/>
            </w:tcBorders>
            <w:shd w:val="clear" w:color="auto" w:fill="auto"/>
            <w:noWrap/>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34" w:hRule="atLeast"/>
        </w:trPr>
        <w:tc>
          <w:tcPr>
            <w:tcW w:w="51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序号</w:t>
            </w:r>
          </w:p>
        </w:tc>
        <w:tc>
          <w:tcPr>
            <w:tcW w:w="75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指标管理科室</w:t>
            </w:r>
          </w:p>
        </w:tc>
        <w:tc>
          <w:tcPr>
            <w:tcW w:w="81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预算单位</w:t>
            </w:r>
          </w:p>
        </w:tc>
        <w:tc>
          <w:tcPr>
            <w:tcW w:w="168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项目名称</w:t>
            </w:r>
          </w:p>
        </w:tc>
        <w:tc>
          <w:tcPr>
            <w:tcW w:w="3157"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资金总量（万元）</w:t>
            </w:r>
          </w:p>
        </w:tc>
        <w:tc>
          <w:tcPr>
            <w:tcW w:w="66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自评得分</w:t>
            </w:r>
          </w:p>
        </w:tc>
        <w:tc>
          <w:tcPr>
            <w:tcW w:w="62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自评等级</w:t>
            </w:r>
          </w:p>
        </w:tc>
        <w:tc>
          <w:tcPr>
            <w:tcW w:w="777"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备注</w:t>
            </w:r>
          </w:p>
        </w:tc>
      </w:tr>
      <w:tr>
        <w:tblPrEx>
          <w:tblCellMar>
            <w:top w:w="0" w:type="dxa"/>
            <w:left w:w="108" w:type="dxa"/>
            <w:bottom w:w="0" w:type="dxa"/>
            <w:right w:w="108" w:type="dxa"/>
          </w:tblCellMar>
        </w:tblPrEx>
        <w:trPr>
          <w:trHeight w:val="726" w:hRule="atLeast"/>
        </w:trPr>
        <w:tc>
          <w:tcPr>
            <w:tcW w:w="518"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2"/>
              </w:rPr>
            </w:pPr>
          </w:p>
        </w:tc>
        <w:tc>
          <w:tcPr>
            <w:tcW w:w="75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2"/>
              </w:rPr>
            </w:pPr>
          </w:p>
        </w:tc>
        <w:tc>
          <w:tcPr>
            <w:tcW w:w="814"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2"/>
              </w:rPr>
            </w:pPr>
          </w:p>
        </w:tc>
        <w:tc>
          <w:tcPr>
            <w:tcW w:w="1684"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2"/>
              </w:rPr>
            </w:pPr>
          </w:p>
        </w:tc>
        <w:tc>
          <w:tcPr>
            <w:tcW w:w="93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中央资金</w:t>
            </w:r>
          </w:p>
        </w:tc>
        <w:tc>
          <w:tcPr>
            <w:tcW w:w="79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市级资金</w:t>
            </w:r>
          </w:p>
        </w:tc>
        <w:tc>
          <w:tcPr>
            <w:tcW w:w="7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区级资金</w:t>
            </w:r>
          </w:p>
        </w:tc>
        <w:tc>
          <w:tcPr>
            <w:tcW w:w="66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其他资金</w:t>
            </w:r>
          </w:p>
        </w:tc>
        <w:tc>
          <w:tcPr>
            <w:tcW w:w="66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2"/>
              </w:rPr>
            </w:pPr>
          </w:p>
        </w:tc>
        <w:tc>
          <w:tcPr>
            <w:tcW w:w="629"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2"/>
              </w:rPr>
            </w:pPr>
          </w:p>
        </w:tc>
        <w:tc>
          <w:tcPr>
            <w:tcW w:w="777"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2"/>
              </w:rPr>
            </w:pPr>
          </w:p>
        </w:tc>
      </w:tr>
      <w:tr>
        <w:tblPrEx>
          <w:tblCellMar>
            <w:top w:w="0" w:type="dxa"/>
            <w:left w:w="108" w:type="dxa"/>
            <w:bottom w:w="0" w:type="dxa"/>
            <w:right w:w="108" w:type="dxa"/>
          </w:tblCellMar>
        </w:tblPrEx>
        <w:trPr>
          <w:trHeight w:val="2137"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7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教科文科</w:t>
            </w:r>
          </w:p>
        </w:tc>
        <w:tc>
          <w:tcPr>
            <w:tcW w:w="81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重庆市綦江区藻渡小学</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綦江区2020年城乡义务教育经费保障机制中央和市级资金—校舍维修（市级）-房顶漏水维修</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8.5</w:t>
            </w:r>
          </w:p>
        </w:tc>
        <w:tc>
          <w:tcPr>
            <w:tcW w:w="7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6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6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96</w:t>
            </w:r>
          </w:p>
        </w:tc>
        <w:tc>
          <w:tcPr>
            <w:tcW w:w="6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优</w:t>
            </w:r>
          </w:p>
        </w:tc>
        <w:tc>
          <w:tcPr>
            <w:tcW w:w="7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1529"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7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教科文科</w:t>
            </w:r>
          </w:p>
        </w:tc>
        <w:tc>
          <w:tcPr>
            <w:tcW w:w="81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重庆市綦江区藻渡小学</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教育公用经费-政府采购</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1.05</w:t>
            </w:r>
          </w:p>
        </w:tc>
        <w:tc>
          <w:tcPr>
            <w:tcW w:w="6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6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94</w:t>
            </w:r>
          </w:p>
        </w:tc>
        <w:tc>
          <w:tcPr>
            <w:tcW w:w="6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优</w:t>
            </w:r>
          </w:p>
        </w:tc>
        <w:tc>
          <w:tcPr>
            <w:tcW w:w="7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1529"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7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教科文科</w:t>
            </w:r>
          </w:p>
        </w:tc>
        <w:tc>
          <w:tcPr>
            <w:tcW w:w="81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重庆市綦江区藻渡小学</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2020年学生资助</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1.6092</w:t>
            </w:r>
          </w:p>
        </w:tc>
        <w:tc>
          <w:tcPr>
            <w:tcW w:w="7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6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6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94</w:t>
            </w:r>
          </w:p>
        </w:tc>
        <w:tc>
          <w:tcPr>
            <w:tcW w:w="6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优</w:t>
            </w:r>
          </w:p>
        </w:tc>
        <w:tc>
          <w:tcPr>
            <w:tcW w:w="7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1529"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7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教科文科</w:t>
            </w:r>
          </w:p>
        </w:tc>
        <w:tc>
          <w:tcPr>
            <w:tcW w:w="81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重庆市綦江区藻渡小学</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学前教育公用经费补助</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0.65</w:t>
            </w:r>
          </w:p>
        </w:tc>
        <w:tc>
          <w:tcPr>
            <w:tcW w:w="6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6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94</w:t>
            </w:r>
          </w:p>
        </w:tc>
        <w:tc>
          <w:tcPr>
            <w:tcW w:w="6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优</w:t>
            </w:r>
          </w:p>
        </w:tc>
        <w:tc>
          <w:tcPr>
            <w:tcW w:w="7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1529"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7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教科文科</w:t>
            </w:r>
          </w:p>
        </w:tc>
        <w:tc>
          <w:tcPr>
            <w:tcW w:w="81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重庆市綦江区藻渡小学</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完整午餐和食堂运行费</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2.42</w:t>
            </w:r>
          </w:p>
        </w:tc>
        <w:tc>
          <w:tcPr>
            <w:tcW w:w="6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6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93</w:t>
            </w:r>
          </w:p>
        </w:tc>
        <w:tc>
          <w:tcPr>
            <w:tcW w:w="6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优</w:t>
            </w:r>
          </w:p>
        </w:tc>
        <w:tc>
          <w:tcPr>
            <w:tcW w:w="7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1529"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c>
          <w:tcPr>
            <w:tcW w:w="7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教科文科</w:t>
            </w:r>
          </w:p>
        </w:tc>
        <w:tc>
          <w:tcPr>
            <w:tcW w:w="81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重庆市綦江区藻渡小学</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乡村教师岗位生活补助</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6.12</w:t>
            </w:r>
          </w:p>
        </w:tc>
        <w:tc>
          <w:tcPr>
            <w:tcW w:w="7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6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6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96</w:t>
            </w:r>
          </w:p>
        </w:tc>
        <w:tc>
          <w:tcPr>
            <w:tcW w:w="6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优</w:t>
            </w:r>
          </w:p>
        </w:tc>
        <w:tc>
          <w:tcPr>
            <w:tcW w:w="7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1529" w:hRule="atLeast"/>
        </w:trPr>
        <w:tc>
          <w:tcPr>
            <w:tcW w:w="51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7</w:t>
            </w:r>
          </w:p>
        </w:tc>
        <w:tc>
          <w:tcPr>
            <w:tcW w:w="7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教科文科</w:t>
            </w:r>
          </w:p>
        </w:tc>
        <w:tc>
          <w:tcPr>
            <w:tcW w:w="81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重庆市綦江区藻渡小学</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2019年残疾人就业保障金预算</w:t>
            </w:r>
          </w:p>
        </w:tc>
        <w:tc>
          <w:tcPr>
            <w:tcW w:w="9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5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1.66</w:t>
            </w:r>
          </w:p>
        </w:tc>
        <w:tc>
          <w:tcPr>
            <w:tcW w:w="6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66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94</w:t>
            </w:r>
          </w:p>
        </w:tc>
        <w:tc>
          <w:tcPr>
            <w:tcW w:w="62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优</w:t>
            </w:r>
          </w:p>
        </w:tc>
        <w:tc>
          <w:tcPr>
            <w:tcW w:w="77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04" w:hRule="atLeast"/>
        </w:trPr>
        <w:tc>
          <w:tcPr>
            <w:tcW w:w="51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1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68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9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5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66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66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62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7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618" w:hRule="atLeast"/>
        </w:trPr>
        <w:tc>
          <w:tcPr>
            <w:tcW w:w="1277" w:type="dxa"/>
            <w:gridSpan w:val="2"/>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预算单位主要领导：           </w:t>
            </w:r>
          </w:p>
        </w:tc>
        <w:tc>
          <w:tcPr>
            <w:tcW w:w="3434" w:type="dxa"/>
            <w:gridSpan w:val="3"/>
            <w:tcBorders>
              <w:top w:val="nil"/>
              <w:left w:val="nil"/>
              <w:bottom w:val="nil"/>
              <w:right w:val="nil"/>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绩效评价负责人：</w:t>
            </w:r>
          </w:p>
        </w:tc>
        <w:tc>
          <w:tcPr>
            <w:tcW w:w="2221" w:type="dxa"/>
            <w:gridSpan w:val="3"/>
            <w:tcBorders>
              <w:top w:val="nil"/>
              <w:left w:val="nil"/>
              <w:bottom w:val="nil"/>
              <w:right w:val="nil"/>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经办人：</w:t>
            </w:r>
          </w:p>
        </w:tc>
        <w:tc>
          <w:tcPr>
            <w:tcW w:w="666" w:type="dxa"/>
            <w:tcBorders>
              <w:top w:val="nil"/>
              <w:left w:val="nil"/>
              <w:bottom w:val="nil"/>
              <w:right w:val="nil"/>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敖其敏</w:t>
            </w:r>
          </w:p>
        </w:tc>
        <w:tc>
          <w:tcPr>
            <w:tcW w:w="629"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c>
          <w:tcPr>
            <w:tcW w:w="777"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312" w:hRule="atLeast"/>
        </w:trPr>
        <w:tc>
          <w:tcPr>
            <w:tcW w:w="9004" w:type="dxa"/>
            <w:gridSpan w:val="11"/>
            <w:vMerge w:val="restart"/>
            <w:tcBorders>
              <w:top w:val="nil"/>
              <w:left w:val="nil"/>
              <w:bottom w:val="nil"/>
              <w:right w:val="nil"/>
            </w:tcBorders>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填表说明：</w:t>
            </w:r>
            <w:r>
              <w:rPr>
                <w:rFonts w:hint="eastAsia" w:ascii="宋体" w:hAnsi="宋体" w:eastAsia="宋体" w:cs="宋体"/>
                <w:kern w:val="0"/>
                <w:sz w:val="18"/>
                <w:szCs w:val="18"/>
              </w:rPr>
              <w:br w:type="textWrapping"/>
            </w:r>
            <w:r>
              <w:rPr>
                <w:rFonts w:hint="eastAsia" w:ascii="宋体" w:hAnsi="宋体" w:eastAsia="宋体" w:cs="宋体"/>
                <w:kern w:val="0"/>
                <w:sz w:val="18"/>
                <w:szCs w:val="18"/>
              </w:rPr>
              <w:t>1.此表需各预算单位填除运转性项目以外的全部项目支出，包含中央、市级及区县支出项目，根据项目情况，分项目填写，一个项目填写一行；</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2.自评得分填写自评表中相应项目得分；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3.自评等级划分统一按照优（90-100分），良（80-89分），中（60-79分），差（0-59分）标准划定。</w:t>
            </w:r>
          </w:p>
        </w:tc>
      </w:tr>
      <w:tr>
        <w:tblPrEx>
          <w:tblCellMar>
            <w:top w:w="0" w:type="dxa"/>
            <w:left w:w="108" w:type="dxa"/>
            <w:bottom w:w="0" w:type="dxa"/>
            <w:right w:w="108" w:type="dxa"/>
          </w:tblCellMar>
        </w:tblPrEx>
        <w:trPr>
          <w:trHeight w:val="312" w:hRule="atLeast"/>
        </w:trPr>
        <w:tc>
          <w:tcPr>
            <w:tcW w:w="9004" w:type="dxa"/>
            <w:gridSpan w:val="11"/>
            <w:vMerge w:val="continue"/>
            <w:tcBorders>
              <w:top w:val="nil"/>
              <w:left w:val="nil"/>
              <w:bottom w:val="nil"/>
              <w:right w:val="nil"/>
            </w:tcBorders>
            <w:vAlign w:val="center"/>
          </w:tcPr>
          <w:p>
            <w:pPr>
              <w:widowControl/>
              <w:jc w:val="left"/>
              <w:rPr>
                <w:rFonts w:ascii="宋体" w:hAnsi="宋体" w:eastAsia="宋体" w:cs="宋体"/>
                <w:kern w:val="0"/>
                <w:sz w:val="18"/>
                <w:szCs w:val="18"/>
              </w:rPr>
            </w:pPr>
          </w:p>
        </w:tc>
      </w:tr>
      <w:tr>
        <w:tblPrEx>
          <w:tblCellMar>
            <w:top w:w="0" w:type="dxa"/>
            <w:left w:w="108" w:type="dxa"/>
            <w:bottom w:w="0" w:type="dxa"/>
            <w:right w:w="108" w:type="dxa"/>
          </w:tblCellMar>
        </w:tblPrEx>
        <w:trPr>
          <w:trHeight w:val="312" w:hRule="atLeast"/>
        </w:trPr>
        <w:tc>
          <w:tcPr>
            <w:tcW w:w="9004" w:type="dxa"/>
            <w:gridSpan w:val="11"/>
            <w:vMerge w:val="continue"/>
            <w:tcBorders>
              <w:top w:val="nil"/>
              <w:left w:val="nil"/>
              <w:bottom w:val="nil"/>
              <w:right w:val="nil"/>
            </w:tcBorders>
            <w:vAlign w:val="center"/>
          </w:tcPr>
          <w:p>
            <w:pPr>
              <w:widowControl/>
              <w:jc w:val="left"/>
              <w:rPr>
                <w:rFonts w:ascii="宋体" w:hAnsi="宋体" w:eastAsia="宋体" w:cs="宋体"/>
                <w:kern w:val="0"/>
                <w:sz w:val="18"/>
                <w:szCs w:val="18"/>
              </w:rPr>
            </w:pPr>
          </w:p>
        </w:tc>
      </w:tr>
      <w:tr>
        <w:tblPrEx>
          <w:tblCellMar>
            <w:top w:w="0" w:type="dxa"/>
            <w:left w:w="108" w:type="dxa"/>
            <w:bottom w:w="0" w:type="dxa"/>
            <w:right w:w="108" w:type="dxa"/>
          </w:tblCellMar>
        </w:tblPrEx>
        <w:trPr>
          <w:trHeight w:val="312" w:hRule="atLeast"/>
        </w:trPr>
        <w:tc>
          <w:tcPr>
            <w:tcW w:w="9004" w:type="dxa"/>
            <w:gridSpan w:val="11"/>
            <w:vMerge w:val="continue"/>
            <w:tcBorders>
              <w:top w:val="nil"/>
              <w:left w:val="nil"/>
              <w:bottom w:val="nil"/>
              <w:right w:val="nil"/>
            </w:tcBorders>
            <w:vAlign w:val="center"/>
          </w:tcPr>
          <w:p>
            <w:pPr>
              <w:widowControl/>
              <w:jc w:val="left"/>
              <w:rPr>
                <w:rFonts w:ascii="宋体" w:hAnsi="宋体" w:eastAsia="宋体" w:cs="宋体"/>
                <w:kern w:val="0"/>
                <w:sz w:val="18"/>
                <w:szCs w:val="18"/>
              </w:rPr>
            </w:pPr>
          </w:p>
        </w:tc>
      </w:tr>
      <w:tr>
        <w:tblPrEx>
          <w:tblCellMar>
            <w:top w:w="0" w:type="dxa"/>
            <w:left w:w="108" w:type="dxa"/>
            <w:bottom w:w="0" w:type="dxa"/>
            <w:right w:w="108" w:type="dxa"/>
          </w:tblCellMar>
        </w:tblPrEx>
        <w:trPr>
          <w:trHeight w:val="312" w:hRule="atLeast"/>
        </w:trPr>
        <w:tc>
          <w:tcPr>
            <w:tcW w:w="9004" w:type="dxa"/>
            <w:gridSpan w:val="11"/>
            <w:vMerge w:val="continue"/>
            <w:tcBorders>
              <w:top w:val="nil"/>
              <w:left w:val="nil"/>
              <w:bottom w:val="nil"/>
              <w:right w:val="nil"/>
            </w:tcBorders>
            <w:vAlign w:val="center"/>
          </w:tcPr>
          <w:p>
            <w:pPr>
              <w:widowControl/>
              <w:jc w:val="left"/>
              <w:rPr>
                <w:rFonts w:ascii="宋体" w:hAnsi="宋体" w:eastAsia="宋体" w:cs="宋体"/>
                <w:kern w:val="0"/>
                <w:sz w:val="18"/>
                <w:szCs w:val="18"/>
              </w:rPr>
            </w:pPr>
          </w:p>
        </w:tc>
      </w:tr>
    </w:tbl>
    <w:p>
      <w:pPr>
        <w:pStyle w:val="4"/>
        <w:shd w:val="clear" w:color="auto" w:fill="FFFFFF"/>
        <w:snapToGrid w:val="0"/>
        <w:rPr>
          <w:rStyle w:val="7"/>
          <w:rFonts w:hint="eastAsia"/>
          <w:sz w:val="27"/>
          <w:szCs w:val="27"/>
          <w:shd w:val="clear" w:color="auto" w:fill="FFFF00"/>
        </w:rPr>
      </w:pPr>
    </w:p>
    <w:p>
      <w:pPr>
        <w:pStyle w:val="4"/>
        <w:shd w:val="clear" w:color="auto" w:fill="FFFFFF"/>
        <w:snapToGrid w:val="0"/>
        <w:rPr>
          <w:rStyle w:val="7"/>
          <w:rFonts w:hint="eastAsia"/>
          <w:sz w:val="27"/>
          <w:szCs w:val="27"/>
        </w:rPr>
      </w:pPr>
      <w:r>
        <w:rPr>
          <w:rStyle w:val="7"/>
          <w:rFonts w:hint="eastAsia"/>
          <w:sz w:val="27"/>
          <w:szCs w:val="27"/>
        </w:rPr>
        <w:t>2.绩效自评报告或案例</w:t>
      </w:r>
    </w:p>
    <w:tbl>
      <w:tblPr>
        <w:tblStyle w:val="5"/>
        <w:tblW w:w="9040" w:type="dxa"/>
        <w:tblInd w:w="95" w:type="dxa"/>
        <w:tblLayout w:type="fixed"/>
        <w:tblCellMar>
          <w:top w:w="0" w:type="dxa"/>
          <w:left w:w="108" w:type="dxa"/>
          <w:bottom w:w="0" w:type="dxa"/>
          <w:right w:w="108" w:type="dxa"/>
        </w:tblCellMar>
      </w:tblPr>
      <w:tblGrid>
        <w:gridCol w:w="1433"/>
        <w:gridCol w:w="1112"/>
        <w:gridCol w:w="1116"/>
        <w:gridCol w:w="880"/>
        <w:gridCol w:w="944"/>
        <w:gridCol w:w="1124"/>
        <w:gridCol w:w="799"/>
        <w:gridCol w:w="1632"/>
      </w:tblGrid>
      <w:tr>
        <w:tblPrEx>
          <w:tblCellMar>
            <w:top w:w="0" w:type="dxa"/>
            <w:left w:w="108" w:type="dxa"/>
            <w:bottom w:w="0" w:type="dxa"/>
            <w:right w:w="108" w:type="dxa"/>
          </w:tblCellMar>
        </w:tblPrEx>
        <w:trPr>
          <w:trHeight w:val="622" w:hRule="atLeast"/>
        </w:trPr>
        <w:tc>
          <w:tcPr>
            <w:tcW w:w="9040" w:type="dxa"/>
            <w:gridSpan w:val="8"/>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r>
              <w:rPr>
                <w:rFonts w:hint="eastAsia" w:ascii="宋体" w:hAnsi="宋体" w:eastAsia="宋体" w:cs="宋体"/>
                <w:b/>
                <w:bCs/>
                <w:color w:val="000000"/>
                <w:kern w:val="0"/>
                <w:sz w:val="32"/>
                <w:szCs w:val="32"/>
              </w:rPr>
              <w:t>2020年度部门（单位）项目支出绩效自评表</w:t>
            </w:r>
          </w:p>
        </w:tc>
      </w:tr>
      <w:tr>
        <w:tblPrEx>
          <w:tblCellMar>
            <w:top w:w="0" w:type="dxa"/>
            <w:left w:w="108" w:type="dxa"/>
            <w:bottom w:w="0" w:type="dxa"/>
            <w:right w:w="108" w:type="dxa"/>
          </w:tblCellMar>
        </w:tblPrEx>
        <w:trPr>
          <w:gridAfter w:val="6"/>
          <w:wAfter w:w="6495" w:type="dxa"/>
          <w:trHeight w:val="622" w:hRule="atLeast"/>
        </w:trPr>
        <w:tc>
          <w:tcPr>
            <w:tcW w:w="2545" w:type="dxa"/>
            <w:gridSpan w:val="2"/>
            <w:tcBorders>
              <w:top w:val="nil"/>
              <w:left w:val="nil"/>
              <w:bottom w:val="single" w:color="auto" w:sz="4" w:space="0"/>
              <w:right w:val="nil"/>
            </w:tcBorders>
            <w:shd w:val="clear" w:color="auto" w:fill="auto"/>
            <w:vAlign w:val="center"/>
          </w:tcPr>
          <w:p>
            <w:pPr>
              <w:widowControl/>
              <w:jc w:val="left"/>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填表单位（盖章）：重庆市綦江区藻渡小学</w:t>
            </w:r>
          </w:p>
        </w:tc>
      </w:tr>
      <w:tr>
        <w:tblPrEx>
          <w:tblCellMar>
            <w:top w:w="0" w:type="dxa"/>
            <w:left w:w="108" w:type="dxa"/>
            <w:bottom w:w="0" w:type="dxa"/>
            <w:right w:w="108" w:type="dxa"/>
          </w:tblCellMar>
        </w:tblPrEx>
        <w:trPr>
          <w:trHeight w:val="942" w:hRule="atLeast"/>
        </w:trPr>
        <w:tc>
          <w:tcPr>
            <w:tcW w:w="143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项目名称</w:t>
            </w:r>
          </w:p>
        </w:tc>
        <w:tc>
          <w:tcPr>
            <w:tcW w:w="310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乡村教师岗位生活补助</w:t>
            </w:r>
          </w:p>
        </w:tc>
        <w:tc>
          <w:tcPr>
            <w:tcW w:w="94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自评总分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（分)</w:t>
            </w:r>
          </w:p>
        </w:tc>
        <w:tc>
          <w:tcPr>
            <w:tcW w:w="3555"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96</w:t>
            </w:r>
          </w:p>
        </w:tc>
      </w:tr>
      <w:tr>
        <w:tblPrEx>
          <w:tblCellMar>
            <w:top w:w="0" w:type="dxa"/>
            <w:left w:w="108" w:type="dxa"/>
            <w:bottom w:w="0" w:type="dxa"/>
            <w:right w:w="108" w:type="dxa"/>
          </w:tblCellMar>
        </w:tblPrEx>
        <w:trPr>
          <w:trHeight w:val="652" w:hRule="atLeast"/>
        </w:trPr>
        <w:tc>
          <w:tcPr>
            <w:tcW w:w="143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业务主管部门</w:t>
            </w:r>
          </w:p>
        </w:tc>
        <w:tc>
          <w:tcPr>
            <w:tcW w:w="310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教科文科</w:t>
            </w:r>
          </w:p>
        </w:tc>
        <w:tc>
          <w:tcPr>
            <w:tcW w:w="9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联系人</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及电话</w:t>
            </w:r>
          </w:p>
        </w:tc>
        <w:tc>
          <w:tcPr>
            <w:tcW w:w="3555"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敖其敏  13983636014</w:t>
            </w:r>
          </w:p>
        </w:tc>
      </w:tr>
      <w:tr>
        <w:tblPrEx>
          <w:tblCellMar>
            <w:top w:w="0" w:type="dxa"/>
            <w:left w:w="108" w:type="dxa"/>
            <w:bottom w:w="0" w:type="dxa"/>
            <w:right w:w="108" w:type="dxa"/>
          </w:tblCellMar>
        </w:tblPrEx>
        <w:trPr>
          <w:trHeight w:val="942" w:hRule="atLeast"/>
        </w:trPr>
        <w:tc>
          <w:tcPr>
            <w:tcW w:w="143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项目资金（万元）</w:t>
            </w:r>
          </w:p>
        </w:tc>
        <w:tc>
          <w:tcPr>
            <w:tcW w:w="11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全年预算数（A）</w:t>
            </w:r>
          </w:p>
        </w:tc>
        <w:tc>
          <w:tcPr>
            <w:tcW w:w="9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全年执行数（B）</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执行率%（B/A）</w:t>
            </w:r>
          </w:p>
        </w:tc>
        <w:tc>
          <w:tcPr>
            <w:tcW w:w="243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执行率得分（分）</w:t>
            </w:r>
          </w:p>
        </w:tc>
      </w:tr>
      <w:tr>
        <w:tblPrEx>
          <w:tblCellMar>
            <w:top w:w="0" w:type="dxa"/>
            <w:left w:w="108" w:type="dxa"/>
            <w:bottom w:w="0" w:type="dxa"/>
            <w:right w:w="108" w:type="dxa"/>
          </w:tblCellMar>
        </w:tblPrEx>
        <w:trPr>
          <w:trHeight w:val="632"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11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年度资金总额：</w:t>
            </w:r>
          </w:p>
        </w:tc>
        <w:tc>
          <w:tcPr>
            <w:tcW w:w="1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6.12</w:t>
            </w:r>
          </w:p>
        </w:tc>
        <w:tc>
          <w:tcPr>
            <w:tcW w:w="9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6.12</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243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40%</w:t>
            </w:r>
          </w:p>
        </w:tc>
      </w:tr>
      <w:tr>
        <w:tblPrEx>
          <w:tblCellMar>
            <w:top w:w="0" w:type="dxa"/>
            <w:left w:w="108" w:type="dxa"/>
            <w:bottom w:w="0" w:type="dxa"/>
            <w:right w:w="108" w:type="dxa"/>
          </w:tblCellMar>
        </w:tblPrEx>
        <w:trPr>
          <w:trHeight w:val="632"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其中：中央补助</w:t>
            </w:r>
          </w:p>
        </w:tc>
        <w:tc>
          <w:tcPr>
            <w:tcW w:w="1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6.12</w:t>
            </w:r>
          </w:p>
        </w:tc>
        <w:tc>
          <w:tcPr>
            <w:tcW w:w="9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6.12</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243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632"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市级补助</w:t>
            </w:r>
          </w:p>
        </w:tc>
        <w:tc>
          <w:tcPr>
            <w:tcW w:w="1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43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632"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区级资金</w:t>
            </w:r>
          </w:p>
        </w:tc>
        <w:tc>
          <w:tcPr>
            <w:tcW w:w="1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43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632" w:hRule="atLeast"/>
        </w:trPr>
        <w:tc>
          <w:tcPr>
            <w:tcW w:w="143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其他资金</w:t>
            </w:r>
          </w:p>
        </w:tc>
        <w:tc>
          <w:tcPr>
            <w:tcW w:w="19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43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518" w:hRule="atLeast"/>
        </w:trPr>
        <w:tc>
          <w:tcPr>
            <w:tcW w:w="143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年度总体目标</w:t>
            </w:r>
          </w:p>
        </w:tc>
        <w:tc>
          <w:tcPr>
            <w:tcW w:w="310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年初设定目标</w:t>
            </w:r>
          </w:p>
        </w:tc>
        <w:tc>
          <w:tcPr>
            <w:tcW w:w="4499"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全年目标实际完成情况</w:t>
            </w:r>
          </w:p>
        </w:tc>
      </w:tr>
      <w:tr>
        <w:tblPrEx>
          <w:tblCellMar>
            <w:top w:w="0" w:type="dxa"/>
            <w:left w:w="108" w:type="dxa"/>
            <w:bottom w:w="0" w:type="dxa"/>
            <w:right w:w="108" w:type="dxa"/>
          </w:tblCellMar>
        </w:tblPrEx>
        <w:trPr>
          <w:trHeight w:val="1489" w:hRule="atLeast"/>
        </w:trPr>
        <w:tc>
          <w:tcPr>
            <w:tcW w:w="14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310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保证乡村教师能够在乡村安下心来搞好教学。</w:t>
            </w:r>
          </w:p>
        </w:tc>
        <w:tc>
          <w:tcPr>
            <w:tcW w:w="4499"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保证乡村教师能够在乡村安下心来搞好教学。</w:t>
            </w:r>
          </w:p>
        </w:tc>
      </w:tr>
      <w:tr>
        <w:tblPrEx>
          <w:tblCellMar>
            <w:top w:w="0" w:type="dxa"/>
            <w:left w:w="108" w:type="dxa"/>
            <w:bottom w:w="0" w:type="dxa"/>
            <w:right w:w="108" w:type="dxa"/>
          </w:tblCellMar>
        </w:tblPrEx>
        <w:trPr>
          <w:trHeight w:val="1253" w:hRule="atLeast"/>
        </w:trPr>
        <w:tc>
          <w:tcPr>
            <w:tcW w:w="1433"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绩效指标</w:t>
            </w: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指标名称</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（三级指标）</w:t>
            </w:r>
          </w:p>
        </w:tc>
        <w:tc>
          <w:tcPr>
            <w:tcW w:w="111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计量单位</w:t>
            </w:r>
          </w:p>
        </w:tc>
        <w:tc>
          <w:tcPr>
            <w:tcW w:w="88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指标权重</w:t>
            </w:r>
          </w:p>
        </w:tc>
        <w:tc>
          <w:tcPr>
            <w:tcW w:w="9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指标值</w:t>
            </w:r>
          </w:p>
        </w:tc>
        <w:tc>
          <w:tcPr>
            <w:tcW w:w="11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全年完成值</w:t>
            </w:r>
          </w:p>
        </w:tc>
        <w:tc>
          <w:tcPr>
            <w:tcW w:w="7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得分系数（%）</w:t>
            </w:r>
          </w:p>
        </w:tc>
        <w:tc>
          <w:tcPr>
            <w:tcW w:w="16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指标得分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（分)</w:t>
            </w:r>
          </w:p>
        </w:tc>
      </w:tr>
      <w:tr>
        <w:tblPrEx>
          <w:tblCellMar>
            <w:top w:w="0" w:type="dxa"/>
            <w:left w:w="108" w:type="dxa"/>
            <w:bottom w:w="0" w:type="dxa"/>
            <w:right w:w="108" w:type="dxa"/>
          </w:tblCellMar>
        </w:tblPrEx>
        <w:trPr>
          <w:trHeight w:val="632" w:hRule="atLeast"/>
        </w:trPr>
        <w:tc>
          <w:tcPr>
            <w:tcW w:w="14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产出指标</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元</w:t>
            </w:r>
          </w:p>
        </w:tc>
        <w:tc>
          <w:tcPr>
            <w:tcW w:w="88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61200</w:t>
            </w:r>
          </w:p>
        </w:tc>
        <w:tc>
          <w:tcPr>
            <w:tcW w:w="11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40%</w:t>
            </w:r>
          </w:p>
        </w:tc>
        <w:tc>
          <w:tcPr>
            <w:tcW w:w="16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40</w:t>
            </w:r>
          </w:p>
        </w:tc>
      </w:tr>
      <w:tr>
        <w:tblPrEx>
          <w:tblCellMar>
            <w:top w:w="0" w:type="dxa"/>
            <w:left w:w="108" w:type="dxa"/>
            <w:bottom w:w="0" w:type="dxa"/>
            <w:right w:w="108" w:type="dxa"/>
          </w:tblCellMar>
        </w:tblPrEx>
        <w:trPr>
          <w:trHeight w:val="652" w:hRule="atLeast"/>
        </w:trPr>
        <w:tc>
          <w:tcPr>
            <w:tcW w:w="14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数量指标</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人</w:t>
            </w:r>
          </w:p>
        </w:tc>
        <w:tc>
          <w:tcPr>
            <w:tcW w:w="88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4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107</w:t>
            </w:r>
          </w:p>
        </w:tc>
        <w:tc>
          <w:tcPr>
            <w:tcW w:w="11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16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40</w:t>
            </w:r>
          </w:p>
        </w:tc>
      </w:tr>
      <w:tr>
        <w:tblPrEx>
          <w:tblCellMar>
            <w:top w:w="0" w:type="dxa"/>
            <w:left w:w="108" w:type="dxa"/>
            <w:bottom w:w="0" w:type="dxa"/>
            <w:right w:w="108" w:type="dxa"/>
          </w:tblCellMar>
        </w:tblPrEx>
        <w:trPr>
          <w:trHeight w:val="632" w:hRule="atLeast"/>
        </w:trPr>
        <w:tc>
          <w:tcPr>
            <w:tcW w:w="14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教师满意度</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人</w:t>
            </w:r>
          </w:p>
        </w:tc>
        <w:tc>
          <w:tcPr>
            <w:tcW w:w="88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107</w:t>
            </w:r>
          </w:p>
        </w:tc>
        <w:tc>
          <w:tcPr>
            <w:tcW w:w="11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80%</w:t>
            </w:r>
          </w:p>
        </w:tc>
        <w:tc>
          <w:tcPr>
            <w:tcW w:w="7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16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16</w:t>
            </w:r>
          </w:p>
        </w:tc>
      </w:tr>
      <w:tr>
        <w:tblPrEx>
          <w:tblCellMar>
            <w:top w:w="0" w:type="dxa"/>
            <w:left w:w="108" w:type="dxa"/>
            <w:bottom w:w="0" w:type="dxa"/>
            <w:right w:w="108" w:type="dxa"/>
          </w:tblCellMar>
        </w:tblPrEx>
        <w:trPr>
          <w:trHeight w:val="623" w:hRule="atLeast"/>
        </w:trPr>
        <w:tc>
          <w:tcPr>
            <w:tcW w:w="14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88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1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623" w:hRule="atLeast"/>
        </w:trPr>
        <w:tc>
          <w:tcPr>
            <w:tcW w:w="14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88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1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638" w:hRule="atLeast"/>
        </w:trPr>
        <w:tc>
          <w:tcPr>
            <w:tcW w:w="14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11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88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12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3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2399" w:hRule="atLeast"/>
        </w:trPr>
        <w:tc>
          <w:tcPr>
            <w:tcW w:w="143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未完成绩效目标或偏离较多的原因、改进措施及其他说明</w:t>
            </w:r>
          </w:p>
        </w:tc>
        <w:tc>
          <w:tcPr>
            <w:tcW w:w="760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321" w:hRule="atLeast"/>
        </w:trPr>
        <w:tc>
          <w:tcPr>
            <w:tcW w:w="2545" w:type="dxa"/>
            <w:gridSpan w:val="2"/>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预算单位主要领导：           </w:t>
            </w:r>
          </w:p>
        </w:tc>
        <w:tc>
          <w:tcPr>
            <w:tcW w:w="1996" w:type="dxa"/>
            <w:gridSpan w:val="2"/>
            <w:tcBorders>
              <w:top w:val="nil"/>
              <w:left w:val="nil"/>
              <w:bottom w:val="nil"/>
              <w:right w:val="nil"/>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绩效评价负责人：</w:t>
            </w:r>
          </w:p>
        </w:tc>
        <w:tc>
          <w:tcPr>
            <w:tcW w:w="2068" w:type="dxa"/>
            <w:gridSpan w:val="2"/>
            <w:tcBorders>
              <w:top w:val="nil"/>
              <w:left w:val="nil"/>
              <w:bottom w:val="nil"/>
              <w:right w:val="nil"/>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经办人：</w:t>
            </w:r>
          </w:p>
        </w:tc>
        <w:tc>
          <w:tcPr>
            <w:tcW w:w="799" w:type="dxa"/>
            <w:tcBorders>
              <w:top w:val="nil"/>
              <w:left w:val="nil"/>
              <w:bottom w:val="nil"/>
              <w:right w:val="nil"/>
            </w:tcBorders>
            <w:shd w:val="clear" w:color="auto" w:fill="auto"/>
            <w:vAlign w:val="center"/>
          </w:tcPr>
          <w:p>
            <w:pPr>
              <w:widowControl/>
              <w:jc w:val="right"/>
              <w:rPr>
                <w:rFonts w:ascii="宋体" w:hAnsi="宋体" w:eastAsia="宋体" w:cs="宋体"/>
                <w:kern w:val="0"/>
                <w:sz w:val="20"/>
                <w:szCs w:val="20"/>
              </w:rPr>
            </w:pPr>
          </w:p>
        </w:tc>
        <w:tc>
          <w:tcPr>
            <w:tcW w:w="1632"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r>
    </w:tbl>
    <w:p>
      <w:pPr>
        <w:pStyle w:val="4"/>
        <w:shd w:val="clear" w:color="auto" w:fill="FFFFFF"/>
        <w:snapToGrid w:val="0"/>
      </w:pPr>
    </w:p>
    <w:p>
      <w:pPr>
        <w:pStyle w:val="4"/>
        <w:shd w:val="clear" w:color="auto" w:fill="FFFFFF"/>
        <w:snapToGrid w:val="0"/>
        <w:rPr>
          <w:rStyle w:val="7"/>
          <w:rFonts w:hint="eastAsia"/>
          <w:sz w:val="27"/>
          <w:szCs w:val="27"/>
        </w:rPr>
      </w:pPr>
      <w:r>
        <w:rPr>
          <w:rStyle w:val="7"/>
          <w:rFonts w:hint="eastAsia"/>
          <w:sz w:val="27"/>
          <w:szCs w:val="27"/>
        </w:rPr>
        <w:t>（三）重点绩效评价结果</w:t>
      </w:r>
    </w:p>
    <w:p>
      <w:pPr>
        <w:pStyle w:val="4"/>
        <w:shd w:val="clear" w:color="auto" w:fill="FFFFFF"/>
        <w:snapToGrid w:val="0"/>
        <w:rPr>
          <w:rFonts w:hint="eastAsia" w:ascii="Times New Roman" w:hAnsi="Times New Roman" w:eastAsia="方正黑体_GBK" w:cs="Times New Roman"/>
          <w:kern w:val="2"/>
          <w:sz w:val="32"/>
          <w:szCs w:val="32"/>
          <w:lang w:val="en-US" w:eastAsia="zh-CN" w:bidi="ar-SA"/>
        </w:rPr>
      </w:pPr>
    </w:p>
    <w:p>
      <w:pPr>
        <w:pStyle w:val="4"/>
        <w:shd w:val="clear" w:color="auto" w:fill="FFFFFF"/>
        <w:snapToGrid w:val="0"/>
        <w:rPr>
          <w:rFonts w:hint="eastAsia" w:ascii="Times New Roman" w:hAnsi="Times New Roman" w:eastAsia="方正黑体_GBK" w:cs="Times New Roman"/>
          <w:kern w:val="2"/>
          <w:sz w:val="32"/>
          <w:szCs w:val="32"/>
          <w:lang w:val="en-US" w:eastAsia="zh-CN" w:bidi="ar-SA"/>
        </w:rPr>
      </w:pPr>
      <w:r>
        <w:rPr>
          <w:rFonts w:hint="eastAsia" w:ascii="Times New Roman" w:hAnsi="Times New Roman" w:eastAsia="方正黑体_GBK" w:cs="Times New Roman"/>
          <w:kern w:val="2"/>
          <w:sz w:val="32"/>
          <w:szCs w:val="32"/>
          <w:lang w:val="en-US" w:eastAsia="zh-CN" w:bidi="ar-SA"/>
        </w:rPr>
        <w:t>六、专业名词解释</w:t>
      </w:r>
    </w:p>
    <w:p>
      <w:pPr>
        <w:pStyle w:val="4"/>
        <w:numPr>
          <w:ilvl w:val="0"/>
          <w:numId w:val="0"/>
        </w:numPr>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方正楷体_GBK" w:hAnsi="方正楷体_GBK" w:eastAsia="方正楷体_GBK" w:cs="方正楷体_GBK"/>
          <w:color w:val="333333"/>
          <w:kern w:val="2"/>
          <w:sz w:val="32"/>
          <w:szCs w:val="32"/>
          <w:lang w:val="en-US" w:eastAsia="zh-CN" w:bidi="ar"/>
        </w:rPr>
        <w:t>（一）财政拨款收入：</w:t>
      </w:r>
      <w:r>
        <w:rPr>
          <w:rFonts w:hint="eastAsia" w:ascii="Times New Roman" w:hAnsi="Times New Roman" w:eastAsia="方正仿宋_GBK" w:cs="宋体"/>
          <w:kern w:val="0"/>
          <w:sz w:val="32"/>
          <w:szCs w:val="32"/>
          <w:lang w:val="en-US" w:eastAsia="zh-CN" w:bidi="ar-SA"/>
        </w:rPr>
        <w:t>指本年度从本级财政部门取得的财政拨款，包括一般公共预算财政拨款和政府性基金预算财政拨款。</w:t>
      </w:r>
    </w:p>
    <w:p>
      <w:pPr>
        <w:pStyle w:val="4"/>
        <w:numPr>
          <w:ilvl w:val="0"/>
          <w:numId w:val="0"/>
        </w:numPr>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方正楷体_GBK" w:hAnsi="方正楷体_GBK" w:eastAsia="方正楷体_GBK" w:cs="方正楷体_GBK"/>
          <w:color w:val="333333"/>
          <w:kern w:val="2"/>
          <w:sz w:val="32"/>
          <w:szCs w:val="32"/>
          <w:lang w:val="en-US" w:eastAsia="zh-CN" w:bidi="ar"/>
        </w:rPr>
        <w:t>（二）事业收入：</w:t>
      </w:r>
      <w:r>
        <w:rPr>
          <w:rFonts w:hint="eastAsia" w:ascii="Times New Roman" w:hAnsi="Times New Roman" w:eastAsia="方正仿宋_GBK" w:cs="宋体"/>
          <w:kern w:val="0"/>
          <w:sz w:val="32"/>
          <w:szCs w:val="32"/>
          <w:lang w:val="en-US" w:eastAsia="zh-CN" w:bidi="ar-SA"/>
        </w:rPr>
        <w:t>指事业单位开展专业业务活动及其辅助活动取得的现金流入；事业单位收到的财政专户实际核拨的教育收费等资金在此反映。</w:t>
      </w:r>
    </w:p>
    <w:p>
      <w:pPr>
        <w:pStyle w:val="4"/>
        <w:numPr>
          <w:ilvl w:val="0"/>
          <w:numId w:val="0"/>
        </w:numPr>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方正楷体_GBK" w:hAnsi="方正楷体_GBK" w:eastAsia="方正楷体_GBK" w:cs="方正楷体_GBK"/>
          <w:color w:val="333333"/>
          <w:kern w:val="2"/>
          <w:sz w:val="32"/>
          <w:szCs w:val="32"/>
          <w:lang w:val="en-US" w:eastAsia="zh-CN" w:bidi="ar"/>
        </w:rPr>
        <w:t>（三）经营收入：</w:t>
      </w:r>
      <w:r>
        <w:rPr>
          <w:rFonts w:hint="eastAsia" w:ascii="Times New Roman" w:hAnsi="Times New Roman" w:eastAsia="方正仿宋_GBK" w:cs="宋体"/>
          <w:kern w:val="0"/>
          <w:sz w:val="32"/>
          <w:szCs w:val="32"/>
          <w:lang w:val="en-US" w:eastAsia="zh-CN" w:bidi="ar-SA"/>
        </w:rPr>
        <w:t>指事业单位在专业业务活动及其辅助活动之外开展非独立核算经营活动取得的现金流入。</w:t>
      </w:r>
    </w:p>
    <w:p>
      <w:pPr>
        <w:pStyle w:val="4"/>
        <w:numPr>
          <w:ilvl w:val="0"/>
          <w:numId w:val="0"/>
        </w:numPr>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方正楷体_GBK" w:hAnsi="方正楷体_GBK" w:eastAsia="方正楷体_GBK" w:cs="方正楷体_GBK"/>
          <w:color w:val="333333"/>
          <w:kern w:val="2"/>
          <w:sz w:val="32"/>
          <w:szCs w:val="32"/>
          <w:lang w:val="en-US" w:eastAsia="zh-CN" w:bidi="ar"/>
        </w:rPr>
        <w:t>（四）其他收入</w:t>
      </w:r>
      <w:r>
        <w:rPr>
          <w:rFonts w:hint="eastAsia" w:ascii="Times New Roman" w:hAnsi="Times New Roman" w:eastAsia="方正仿宋_GBK" w:cs="宋体"/>
          <w:kern w:val="0"/>
          <w:sz w:val="32"/>
          <w:szCs w:val="32"/>
          <w:lang w:val="en-US" w:eastAsia="zh-CN" w:bidi="ar-SA"/>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4"/>
        <w:numPr>
          <w:ilvl w:val="0"/>
          <w:numId w:val="0"/>
        </w:numPr>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方正楷体_GBK" w:hAnsi="方正楷体_GBK" w:eastAsia="方正楷体_GBK" w:cs="方正楷体_GBK"/>
          <w:color w:val="333333"/>
          <w:kern w:val="2"/>
          <w:sz w:val="32"/>
          <w:szCs w:val="32"/>
          <w:lang w:val="en-US" w:eastAsia="zh-CN" w:bidi="ar"/>
        </w:rPr>
        <w:t>（五）使用非财政拨款结余：</w:t>
      </w:r>
      <w:r>
        <w:rPr>
          <w:rFonts w:hint="eastAsia" w:ascii="Times New Roman" w:hAnsi="Times New Roman" w:eastAsia="方正仿宋_GBK" w:cs="宋体"/>
          <w:kern w:val="0"/>
          <w:sz w:val="32"/>
          <w:szCs w:val="32"/>
          <w:lang w:val="en-US" w:eastAsia="zh-CN" w:bidi="ar-SA"/>
        </w:rPr>
        <w:t>指单位在当年的“财政拨款收入”、“事业收入”、“经营收入”、“其他收入”等不足以安排当年支出的情况下，使用以前年度积累的非财政拨款结余弥补本年度收支缺口的资金。</w:t>
      </w:r>
    </w:p>
    <w:p>
      <w:pPr>
        <w:pStyle w:val="4"/>
        <w:numPr>
          <w:ilvl w:val="0"/>
          <w:numId w:val="0"/>
        </w:numPr>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方正楷体_GBK" w:hAnsi="方正楷体_GBK" w:eastAsia="方正楷体_GBK" w:cs="方正楷体_GBK"/>
          <w:color w:val="333333"/>
          <w:kern w:val="2"/>
          <w:sz w:val="32"/>
          <w:szCs w:val="32"/>
          <w:lang w:val="en-US" w:eastAsia="zh-CN" w:bidi="ar"/>
        </w:rPr>
        <w:t>（六）年初结转和结余：</w:t>
      </w:r>
      <w:r>
        <w:rPr>
          <w:rFonts w:hint="eastAsia" w:ascii="Times New Roman" w:hAnsi="Times New Roman" w:eastAsia="方正仿宋_GBK" w:cs="宋体"/>
          <w:kern w:val="0"/>
          <w:sz w:val="32"/>
          <w:szCs w:val="32"/>
          <w:lang w:val="en-US" w:eastAsia="zh-CN" w:bidi="ar-SA"/>
        </w:rPr>
        <w:t>指单位上年结转本年使用的基本支出结转、项目支出结转和结余、经营结余。</w:t>
      </w:r>
    </w:p>
    <w:p>
      <w:pPr>
        <w:pStyle w:val="4"/>
        <w:numPr>
          <w:ilvl w:val="0"/>
          <w:numId w:val="0"/>
        </w:numPr>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方正楷体_GBK" w:hAnsi="方正楷体_GBK" w:eastAsia="方正楷体_GBK" w:cs="方正楷体_GBK"/>
          <w:color w:val="333333"/>
          <w:kern w:val="2"/>
          <w:sz w:val="32"/>
          <w:szCs w:val="32"/>
          <w:lang w:val="en-US" w:eastAsia="zh-CN" w:bidi="ar"/>
        </w:rPr>
        <w:t>（七）结余分配：</w:t>
      </w:r>
      <w:r>
        <w:rPr>
          <w:rFonts w:hint="eastAsia" w:ascii="Times New Roman" w:hAnsi="Times New Roman" w:eastAsia="方正仿宋_GBK" w:cs="宋体"/>
          <w:kern w:val="0"/>
          <w:sz w:val="32"/>
          <w:szCs w:val="32"/>
          <w:lang w:val="en-US" w:eastAsia="zh-CN" w:bidi="ar-SA"/>
        </w:rPr>
        <w:t>指单位按照国家有关规定，缴纳所得税、提取专用基金、转入非财政拨款结余等当年结余的分配情况。</w:t>
      </w:r>
    </w:p>
    <w:p>
      <w:pPr>
        <w:pStyle w:val="4"/>
        <w:numPr>
          <w:ilvl w:val="0"/>
          <w:numId w:val="0"/>
        </w:numPr>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方正楷体_GBK" w:hAnsi="方正楷体_GBK" w:eastAsia="方正楷体_GBK" w:cs="方正楷体_GBK"/>
          <w:color w:val="333333"/>
          <w:kern w:val="2"/>
          <w:sz w:val="32"/>
          <w:szCs w:val="32"/>
          <w:lang w:val="en-US" w:eastAsia="zh-CN" w:bidi="ar"/>
        </w:rPr>
        <w:t>（八）年末结转和结余：</w:t>
      </w:r>
      <w:r>
        <w:rPr>
          <w:rFonts w:hint="eastAsia" w:ascii="Times New Roman" w:hAnsi="Times New Roman" w:eastAsia="方正仿宋_GBK" w:cs="宋体"/>
          <w:kern w:val="0"/>
          <w:sz w:val="32"/>
          <w:szCs w:val="32"/>
          <w:lang w:val="en-US" w:eastAsia="zh-CN" w:bidi="ar-SA"/>
        </w:rPr>
        <w:t>指单位结转下年的基本支出结转、项目支出结转和结余、经营结余。</w:t>
      </w:r>
    </w:p>
    <w:p>
      <w:pPr>
        <w:pStyle w:val="4"/>
        <w:numPr>
          <w:ilvl w:val="0"/>
          <w:numId w:val="0"/>
        </w:numPr>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方正楷体_GBK" w:hAnsi="方正楷体_GBK" w:eastAsia="方正楷体_GBK" w:cs="方正楷体_GBK"/>
          <w:color w:val="333333"/>
          <w:kern w:val="2"/>
          <w:sz w:val="32"/>
          <w:szCs w:val="32"/>
          <w:lang w:val="en-US" w:eastAsia="zh-CN" w:bidi="ar"/>
        </w:rPr>
        <w:t>（九）基本支出：</w:t>
      </w:r>
      <w:r>
        <w:rPr>
          <w:rFonts w:hint="eastAsia" w:ascii="Times New Roman" w:hAnsi="Times New Roman" w:eastAsia="方正仿宋_GBK" w:cs="宋体"/>
          <w:kern w:val="0"/>
          <w:sz w:val="32"/>
          <w:szCs w:val="32"/>
          <w:lang w:val="en-US" w:eastAsia="zh-CN" w:bidi="ar-SA"/>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4"/>
        <w:numPr>
          <w:ilvl w:val="0"/>
          <w:numId w:val="0"/>
        </w:numPr>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方正楷体_GBK" w:hAnsi="方正楷体_GBK" w:eastAsia="方正楷体_GBK" w:cs="方正楷体_GBK"/>
          <w:color w:val="333333"/>
          <w:kern w:val="2"/>
          <w:sz w:val="32"/>
          <w:szCs w:val="32"/>
          <w:lang w:val="en-US" w:eastAsia="zh-CN" w:bidi="ar"/>
        </w:rPr>
        <w:t>（十）项目支出</w:t>
      </w:r>
      <w:r>
        <w:rPr>
          <w:rFonts w:hint="eastAsia" w:ascii="Times New Roman" w:hAnsi="Times New Roman" w:eastAsia="方正仿宋_GBK" w:cs="宋体"/>
          <w:kern w:val="0"/>
          <w:sz w:val="32"/>
          <w:szCs w:val="32"/>
          <w:lang w:val="en-US" w:eastAsia="zh-CN" w:bidi="ar-SA"/>
        </w:rPr>
        <w:t>：指在基本支出之外为完成特定行政任务和事业发展目标所发生的支出。</w:t>
      </w:r>
    </w:p>
    <w:p>
      <w:pPr>
        <w:pStyle w:val="4"/>
        <w:numPr>
          <w:ilvl w:val="0"/>
          <w:numId w:val="0"/>
        </w:numPr>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方正楷体_GBK" w:hAnsi="方正楷体_GBK" w:eastAsia="方正楷体_GBK" w:cs="方正楷体_GBK"/>
          <w:color w:val="333333"/>
          <w:kern w:val="2"/>
          <w:sz w:val="32"/>
          <w:szCs w:val="32"/>
          <w:lang w:val="en-US" w:eastAsia="zh-CN" w:bidi="ar"/>
        </w:rPr>
        <w:t>（十一）经营支出：</w:t>
      </w:r>
      <w:r>
        <w:rPr>
          <w:rFonts w:hint="eastAsia" w:ascii="Times New Roman" w:hAnsi="Times New Roman" w:eastAsia="方正仿宋_GBK" w:cs="宋体"/>
          <w:kern w:val="0"/>
          <w:sz w:val="32"/>
          <w:szCs w:val="32"/>
          <w:lang w:val="en-US" w:eastAsia="zh-CN" w:bidi="ar-SA"/>
        </w:rPr>
        <w:t>指事业单位在专业业务活动及其辅助活动之外开展非独立核算经营活动发生的支出。</w:t>
      </w:r>
    </w:p>
    <w:p>
      <w:pPr>
        <w:pStyle w:val="4"/>
        <w:numPr>
          <w:ilvl w:val="0"/>
          <w:numId w:val="0"/>
        </w:numPr>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方正楷体_GBK" w:hAnsi="方正楷体_GBK" w:eastAsia="方正楷体_GBK" w:cs="方正楷体_GBK"/>
          <w:color w:val="333333"/>
          <w:kern w:val="2"/>
          <w:sz w:val="32"/>
          <w:szCs w:val="32"/>
          <w:lang w:val="en-US" w:eastAsia="zh-CN" w:bidi="ar"/>
        </w:rPr>
        <w:t>（十二）“三公”经费：</w:t>
      </w:r>
      <w:r>
        <w:rPr>
          <w:rFonts w:hint="eastAsia" w:ascii="Times New Roman" w:hAnsi="Times New Roman" w:eastAsia="方正仿宋_GBK" w:cs="宋体"/>
          <w:kern w:val="0"/>
          <w:sz w:val="32"/>
          <w:szCs w:val="32"/>
          <w:lang w:val="en-US" w:eastAsia="zh-CN" w:bidi="ar-SA"/>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4"/>
        <w:numPr>
          <w:ilvl w:val="0"/>
          <w:numId w:val="0"/>
        </w:numPr>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方正楷体_GBK" w:hAnsi="方正楷体_GBK" w:eastAsia="方正楷体_GBK" w:cs="方正楷体_GBK"/>
          <w:color w:val="333333"/>
          <w:kern w:val="2"/>
          <w:sz w:val="32"/>
          <w:szCs w:val="32"/>
          <w:lang w:val="en-US" w:eastAsia="zh-CN" w:bidi="ar"/>
        </w:rPr>
        <w:t>（十三）机关运行经费</w:t>
      </w:r>
      <w:r>
        <w:rPr>
          <w:rFonts w:hint="eastAsia" w:ascii="Times New Roman" w:hAnsi="Times New Roman" w:eastAsia="方正仿宋_GBK" w:cs="宋体"/>
          <w:kern w:val="0"/>
          <w:sz w:val="32"/>
          <w:szCs w:val="32"/>
          <w:lang w:val="en-US" w:eastAsia="zh-CN" w:bidi="ar-SA"/>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4"/>
        <w:numPr>
          <w:ilvl w:val="0"/>
          <w:numId w:val="0"/>
        </w:numPr>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方正楷体_GBK" w:hAnsi="方正楷体_GBK" w:eastAsia="方正楷体_GBK" w:cs="方正楷体_GBK"/>
          <w:color w:val="333333"/>
          <w:kern w:val="2"/>
          <w:sz w:val="32"/>
          <w:szCs w:val="32"/>
          <w:lang w:val="en-US" w:eastAsia="zh-CN" w:bidi="ar"/>
        </w:rPr>
        <w:t>（十四）工资福利支出（支出经济分类科目类级）</w:t>
      </w:r>
      <w:r>
        <w:rPr>
          <w:rFonts w:hint="eastAsia" w:ascii="Times New Roman" w:hAnsi="Times New Roman" w:eastAsia="方正仿宋_GBK" w:cs="宋体"/>
          <w:kern w:val="0"/>
          <w:sz w:val="32"/>
          <w:szCs w:val="32"/>
          <w:lang w:val="en-US" w:eastAsia="zh-CN" w:bidi="ar-SA"/>
        </w:rPr>
        <w:t>：反映单位开支的在职职工和编制外长期聘用人员的各类劳动报酬，以及为上述人员缴纳的各项社会保险费等。</w:t>
      </w:r>
    </w:p>
    <w:p>
      <w:pPr>
        <w:pStyle w:val="4"/>
        <w:numPr>
          <w:ilvl w:val="0"/>
          <w:numId w:val="0"/>
        </w:numPr>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方正楷体_GBK" w:hAnsi="方正楷体_GBK" w:eastAsia="方正楷体_GBK" w:cs="方正楷体_GBK"/>
          <w:color w:val="333333"/>
          <w:kern w:val="2"/>
          <w:sz w:val="32"/>
          <w:szCs w:val="32"/>
          <w:lang w:val="en-US" w:eastAsia="zh-CN" w:bidi="ar"/>
        </w:rPr>
        <w:t>（十五）商品和服务支出（支出经济分类科目类级）：</w:t>
      </w:r>
      <w:r>
        <w:rPr>
          <w:rFonts w:hint="eastAsia" w:ascii="Times New Roman" w:hAnsi="Times New Roman" w:eastAsia="方正仿宋_GBK" w:cs="宋体"/>
          <w:kern w:val="0"/>
          <w:sz w:val="32"/>
          <w:szCs w:val="32"/>
          <w:lang w:val="en-US" w:eastAsia="zh-CN" w:bidi="ar-SA"/>
        </w:rPr>
        <w:t>反映单位购买商品和服务的支出（不包括用于购置固定资产的支出、战略性和应急储备支出）。</w:t>
      </w:r>
    </w:p>
    <w:p>
      <w:pPr>
        <w:pStyle w:val="4"/>
        <w:numPr>
          <w:ilvl w:val="0"/>
          <w:numId w:val="0"/>
        </w:numPr>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方正楷体_GBK" w:hAnsi="方正楷体_GBK" w:eastAsia="方正楷体_GBK" w:cs="方正楷体_GBK"/>
          <w:color w:val="333333"/>
          <w:kern w:val="2"/>
          <w:sz w:val="32"/>
          <w:szCs w:val="32"/>
          <w:lang w:val="en-US" w:eastAsia="zh-CN" w:bidi="ar"/>
        </w:rPr>
        <w:t>（十六）对个人和家庭的补助（支出经济分类科目类级）：</w:t>
      </w:r>
      <w:r>
        <w:rPr>
          <w:rFonts w:hint="eastAsia" w:ascii="Times New Roman" w:hAnsi="Times New Roman" w:eastAsia="方正仿宋_GBK" w:cs="宋体"/>
          <w:kern w:val="0"/>
          <w:sz w:val="32"/>
          <w:szCs w:val="32"/>
          <w:lang w:val="en-US" w:eastAsia="zh-CN" w:bidi="ar-SA"/>
        </w:rPr>
        <w:t>反映用于对个人和家庭的补助支出。</w:t>
      </w:r>
    </w:p>
    <w:p>
      <w:pPr>
        <w:pStyle w:val="4"/>
        <w:numPr>
          <w:ilvl w:val="0"/>
          <w:numId w:val="0"/>
        </w:numPr>
        <w:shd w:val="clear" w:color="auto" w:fill="FFFFFF"/>
        <w:snapToGrid w:val="0"/>
        <w:rPr>
          <w:rFonts w:hint="eastAsia" w:ascii="Times New Roman" w:hAnsi="Times New Roman" w:eastAsia="方正仿宋_GBK" w:cs="宋体"/>
          <w:kern w:val="0"/>
          <w:sz w:val="32"/>
          <w:szCs w:val="32"/>
          <w:lang w:val="en-US" w:eastAsia="zh-CN" w:bidi="ar-SA"/>
        </w:rPr>
      </w:pPr>
      <w:r>
        <w:rPr>
          <w:rFonts w:hint="eastAsia" w:ascii="方正楷体_GBK" w:hAnsi="方正楷体_GBK" w:eastAsia="方正楷体_GBK" w:cs="方正楷体_GBK"/>
          <w:color w:val="333333"/>
          <w:kern w:val="2"/>
          <w:sz w:val="32"/>
          <w:szCs w:val="32"/>
          <w:lang w:val="en-US" w:eastAsia="zh-CN" w:bidi="ar"/>
        </w:rPr>
        <w:t>（十七）其他资本性支出（支出经济分类科目类级）：</w:t>
      </w:r>
      <w:r>
        <w:rPr>
          <w:rFonts w:hint="eastAsia" w:ascii="Times New Roman" w:hAnsi="Times New Roman" w:eastAsia="方正仿宋_GBK" w:cs="宋体"/>
          <w:kern w:val="0"/>
          <w:sz w:val="32"/>
          <w:szCs w:val="32"/>
          <w:lang w:val="en-US" w:eastAsia="zh-CN" w:bidi="ar-SA"/>
        </w:rPr>
        <w:t>反映非各级发展与改革部门集中安排的用于购置固定资产、战略性和应急性储备、土地和无形资产，以及构建基础设施、大型修缮和财政支持企业更新改造所发生的支出。</w:t>
      </w:r>
    </w:p>
    <w:p>
      <w:pPr>
        <w:pStyle w:val="4"/>
        <w:shd w:val="clear" w:color="auto" w:fill="FFFFFF"/>
        <w:snapToGrid w:val="0"/>
        <w:rPr>
          <w:rFonts w:hint="eastAsia" w:ascii="Times New Roman" w:hAnsi="Times New Roman" w:eastAsia="方正黑体_GBK" w:cs="Times New Roman"/>
          <w:kern w:val="2"/>
          <w:sz w:val="32"/>
          <w:szCs w:val="32"/>
          <w:lang w:val="en-US" w:eastAsia="zh-CN" w:bidi="ar-SA"/>
        </w:rPr>
      </w:pPr>
      <w:r>
        <w:rPr>
          <w:rFonts w:hint="eastAsia" w:ascii="Times New Roman" w:hAnsi="Times New Roman" w:eastAsia="方正黑体_GBK" w:cs="Times New Roman"/>
          <w:kern w:val="2"/>
          <w:sz w:val="32"/>
          <w:szCs w:val="32"/>
          <w:lang w:val="en-US" w:eastAsia="zh-CN" w:bidi="ar-SA"/>
        </w:rPr>
        <w:t>七、决算公开联系方式及信息反馈渠道</w:t>
      </w:r>
    </w:p>
    <w:p>
      <w:pPr>
        <w:ind w:firstLine="640" w:firstLineChars="200"/>
        <w:rPr>
          <w:rFonts w:hint="eastAsia" w:ascii="Times New Roman" w:hAnsi="Times New Roman" w:eastAsia="方正仿宋_GBK" w:cs="宋体"/>
          <w:kern w:val="0"/>
          <w:sz w:val="32"/>
          <w:szCs w:val="32"/>
          <w:lang w:val="en-US" w:eastAsia="zh-CN" w:bidi="ar-SA"/>
        </w:rPr>
      </w:pPr>
      <w:r>
        <w:rPr>
          <w:rFonts w:hint="eastAsia" w:ascii="Times New Roman" w:hAnsi="Times New Roman" w:eastAsia="方正仿宋_GBK" w:cs="宋体"/>
          <w:kern w:val="0"/>
          <w:sz w:val="32"/>
          <w:szCs w:val="32"/>
          <w:lang w:val="en-US" w:eastAsia="zh-CN" w:bidi="ar-SA"/>
        </w:rPr>
        <w:t>本单位决算公开信息反馈和联系方式：敖其敏                联系方式： 023-48286998</w:t>
      </w:r>
    </w:p>
    <w:p>
      <w:pPr>
        <w:pStyle w:val="4"/>
        <w:shd w:val="clear" w:color="auto" w:fill="FFFFFF"/>
        <w:snapToGrid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C0D600"/>
    <w:multiLevelType w:val="singleLevel"/>
    <w:tmpl w:val="EBC0D60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QzOWU2OThlZTU0ZDM0MWQ0NWYwODQ4MWQ5MmFiZmMifQ=="/>
  </w:docVars>
  <w:rsids>
    <w:rsidRoot w:val="00CA537B"/>
    <w:rsid w:val="000E27A4"/>
    <w:rsid w:val="00140C4D"/>
    <w:rsid w:val="00382ABC"/>
    <w:rsid w:val="00403BE8"/>
    <w:rsid w:val="00502094"/>
    <w:rsid w:val="00565042"/>
    <w:rsid w:val="005B0E67"/>
    <w:rsid w:val="007758BE"/>
    <w:rsid w:val="00884364"/>
    <w:rsid w:val="008B5143"/>
    <w:rsid w:val="00CA537B"/>
    <w:rsid w:val="00E46CCD"/>
    <w:rsid w:val="087A318E"/>
    <w:rsid w:val="0AAC6B47"/>
    <w:rsid w:val="1D236DF0"/>
    <w:rsid w:val="27E5613E"/>
    <w:rsid w:val="6BD85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semiHidden/>
    <w:uiPriority w:val="99"/>
    <w:rPr>
      <w:sz w:val="18"/>
      <w:szCs w:val="18"/>
    </w:rPr>
  </w:style>
  <w:style w:type="character" w:customStyle="1" w:styleId="9">
    <w:name w:val="页脚 Char"/>
    <w:basedOn w:val="6"/>
    <w:link w:val="2"/>
    <w:semiHidden/>
    <w:uiPriority w:val="99"/>
    <w:rPr>
      <w:sz w:val="18"/>
      <w:szCs w:val="18"/>
    </w:rPr>
  </w:style>
  <w:style w:type="paragraph" w:styleId="10">
    <w:name w:val="List Paragraph"/>
    <w:basedOn w:val="1"/>
    <w:qFormat/>
    <w:uiPriority w:val="34"/>
    <w:pPr>
      <w:ind w:firstLine="420" w:firstLineChars="200"/>
    </w:pPr>
  </w:style>
  <w:style w:type="paragraph" w:customStyle="1" w:styleId="11">
    <w:name w:val="普通(网站) Char Char Char"/>
    <w:basedOn w:val="1"/>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12">
    <w:name w:val="普通(网站) Char Char"/>
    <w:basedOn w:val="1"/>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4628</Words>
  <Characters>5257</Characters>
  <Lines>44</Lines>
  <Paragraphs>12</Paragraphs>
  <TotalTime>4</TotalTime>
  <ScaleCrop>false</ScaleCrop>
  <LinksUpToDate>false</LinksUpToDate>
  <CharactersWithSpaces>5423</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2022-08-29T07:24:00Z</dcterms:created>
  <dc:creator>Administrator</dc:creator>
  <cp:lastModifiedBy>陈列</cp:lastModifiedBy>
  <dcterms:modified xsi:type="dcterms:W3CDTF">2022-09-02T03:15:04Z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AF58CA45AB5744F5866F8F604A9B203A</vt:lpwstr>
  </property>
</Properties>
</file>