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重庆市綦江区新场小学</w:t>
      </w:r>
    </w:p>
    <w:p>
      <w:pPr>
        <w:widowControl w:val="0"/>
        <w:spacing w:line="600" w:lineRule="exact"/>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2020年度部门决算情况说明</w:t>
      </w:r>
    </w:p>
    <w:p>
      <w:pPr>
        <w:pStyle w:val="10"/>
        <w:tabs>
          <w:tab w:val="center" w:pos="4153"/>
          <w:tab w:val="left" w:pos="7275"/>
        </w:tabs>
        <w:spacing w:line="600" w:lineRule="exact"/>
        <w:ind w:firstLine="643"/>
        <w:rPr>
          <w:rFonts w:eastAsia="方正黑体_GBK"/>
          <w:b/>
          <w:bCs/>
          <w:sz w:val="32"/>
          <w:szCs w:val="32"/>
        </w:rPr>
      </w:pPr>
      <w:r>
        <w:rPr>
          <w:rFonts w:hint="eastAsia" w:eastAsia="方正黑体_GBK"/>
          <w:b/>
          <w:bCs/>
          <w:sz w:val="32"/>
          <w:szCs w:val="32"/>
        </w:rPr>
        <w:t>一、部门基本情况</w:t>
      </w:r>
    </w:p>
    <w:p>
      <w:pPr>
        <w:pStyle w:val="10"/>
        <w:tabs>
          <w:tab w:val="center" w:pos="4153"/>
          <w:tab w:val="left" w:pos="7275"/>
        </w:tabs>
        <w:spacing w:line="600" w:lineRule="exact"/>
        <w:ind w:firstLine="540"/>
        <w:rPr>
          <w:rFonts w:eastAsia="方正楷体_GBK"/>
          <w:b/>
          <w:color w:val="333333"/>
          <w:sz w:val="32"/>
          <w:szCs w:val="32"/>
        </w:rPr>
      </w:pPr>
      <w:r>
        <w:rPr>
          <w:rFonts w:hint="eastAsia"/>
          <w:sz w:val="27"/>
          <w:szCs w:val="27"/>
        </w:rPr>
        <w:t xml:space="preserve">  </w:t>
      </w:r>
      <w:r>
        <w:rPr>
          <w:rFonts w:hint="eastAsia" w:eastAsia="方正楷体_GBK"/>
          <w:b/>
          <w:color w:val="333333"/>
          <w:sz w:val="32"/>
          <w:szCs w:val="32"/>
        </w:rPr>
        <w:t>（一）职能职责</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b/>
          <w:bCs/>
          <w:sz w:val="32"/>
          <w:szCs w:val="32"/>
        </w:rPr>
        <w:t> </w:t>
      </w:r>
      <w:r>
        <w:rPr>
          <w:rFonts w:hint="eastAsia" w:ascii="Times New Roman" w:hAnsi="Times New Roman" w:eastAsia="方正仿宋_GBK"/>
          <w:sz w:val="32"/>
          <w:szCs w:val="32"/>
        </w:rPr>
        <w:t>1、宣传贯彻执行党和国家的教育方针、政策、法律法规等，坚持依法治教、依法治学，贯彻执行区教委的行政规章制度。</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2、配合区、镇人民政府制定符合党的教育方针和国家教育法律法规以及本校实际的教育发展规划和学校布局调整规划，并抓好组织实施和落实工作。</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3、配合各级人民政府依法动员、组织适龄儿童少年入学，严格控制辍学。负责抓所在镇的成人教育工作，抓好扫盲和巩固工作，推进普及义务教育。</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4、组织开展本校的教育教学科研和教育教学改革，科研兴教，科研必校。负责对本校教育教学业务的具体管理，负责教育教学管理及教研教改工作，全力推进素质教育实施。</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5、按照干部和教师的职数、编制和管理权限，负责本校教师人事管理、继续教育、考核考评等工作。</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6、负责本校财务和基建管理，</w:t>
      </w:r>
      <w:r>
        <w:rPr>
          <w:rFonts w:hint="eastAsia" w:ascii="Times New Roman" w:hAnsi="Times New Roman" w:eastAsia="方正仿宋_GBK"/>
          <w:sz w:val="32"/>
          <w:szCs w:val="32"/>
          <w:lang w:eastAsia="zh-CN"/>
        </w:rPr>
        <w:t>筹措</w:t>
      </w:r>
      <w:r>
        <w:rPr>
          <w:rFonts w:hint="eastAsia" w:ascii="Times New Roman" w:hAnsi="Times New Roman" w:eastAsia="方正仿宋_GBK"/>
          <w:sz w:val="32"/>
          <w:szCs w:val="32"/>
        </w:rPr>
        <w:t>资金，改善办学条件等工作。</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7、指导、管理、检查、评价本校的教育教学工作，提高办学质量和办学效益。按照义务教育课程计划，开齐课程，开足课时，认真实施中小学的教育教学管理，全面推进素质教育，全面提高教育教学质量。</w:t>
      </w:r>
    </w:p>
    <w:p>
      <w:pPr>
        <w:pStyle w:val="10"/>
        <w:tabs>
          <w:tab w:val="center" w:pos="4153"/>
          <w:tab w:val="left" w:pos="7275"/>
        </w:tabs>
        <w:spacing w:line="600" w:lineRule="exact"/>
        <w:ind w:firstLine="640"/>
        <w:rPr>
          <w:rFonts w:eastAsia="方正楷体_GBK"/>
          <w:b/>
          <w:color w:val="333333"/>
          <w:sz w:val="32"/>
          <w:szCs w:val="32"/>
        </w:rPr>
      </w:pPr>
      <w:r>
        <w:rPr>
          <w:rFonts w:hint="eastAsia" w:eastAsia="方正仿宋_GBK"/>
          <w:sz w:val="32"/>
          <w:szCs w:val="32"/>
        </w:rPr>
        <w:t xml:space="preserve">  </w:t>
      </w:r>
      <w:r>
        <w:rPr>
          <w:rFonts w:hint="eastAsia" w:eastAsia="方正楷体_GBK"/>
          <w:b/>
          <w:color w:val="333333"/>
          <w:sz w:val="32"/>
          <w:szCs w:val="32"/>
        </w:rPr>
        <w:t>（二）机构设置</w:t>
      </w:r>
    </w:p>
    <w:p>
      <w:pPr>
        <w:pStyle w:val="11"/>
        <w:autoSpaceDE w:val="0"/>
        <w:spacing w:before="0" w:beforeAutospacing="0" w:line="600" w:lineRule="exact"/>
        <w:ind w:firstLine="640" w:firstLineChars="200"/>
        <w:jc w:val="both"/>
        <w:rPr>
          <w:rFonts w:ascii="方正仿宋_GBK" w:eastAsia="方正仿宋_GBK"/>
          <w:sz w:val="32"/>
          <w:szCs w:val="32"/>
        </w:rPr>
      </w:pPr>
      <w:r>
        <w:rPr>
          <w:rFonts w:hint="eastAsia" w:ascii="Times New Roman" w:hAnsi="Times New Roman" w:eastAsia="方正仿宋_GBK"/>
          <w:sz w:val="32"/>
          <w:szCs w:val="32"/>
        </w:rPr>
        <w:t> </w:t>
      </w:r>
      <w:r>
        <w:rPr>
          <w:rFonts w:hint="eastAsia" w:ascii="方正仿宋_GBK" w:eastAsia="方正仿宋_GBK"/>
          <w:sz w:val="32"/>
          <w:szCs w:val="32"/>
        </w:rPr>
        <w:t>我校内设置机构2个：教导处、总务处</w:t>
      </w:r>
    </w:p>
    <w:tbl>
      <w:tblPr>
        <w:tblStyle w:val="5"/>
        <w:tblW w:w="9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2254"/>
        <w:gridCol w:w="5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746" w:type="dxa"/>
            <w:tcBorders>
              <w:top w:val="single" w:color="auto" w:sz="4" w:space="0"/>
              <w:left w:val="single" w:color="auto" w:sz="4" w:space="0"/>
              <w:bottom w:val="single" w:color="auto" w:sz="4" w:space="0"/>
              <w:right w:val="single" w:color="auto" w:sz="4" w:space="0"/>
            </w:tcBorders>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部门名称</w:t>
            </w:r>
          </w:p>
        </w:tc>
        <w:tc>
          <w:tcPr>
            <w:tcW w:w="2255" w:type="dxa"/>
            <w:tcBorders>
              <w:top w:val="single" w:color="auto" w:sz="4" w:space="0"/>
              <w:left w:val="single" w:color="auto" w:sz="4" w:space="0"/>
              <w:bottom w:val="single" w:color="auto" w:sz="4" w:space="0"/>
              <w:right w:val="single" w:color="auto" w:sz="4" w:space="0"/>
            </w:tcBorders>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部门组成</w:t>
            </w:r>
          </w:p>
        </w:tc>
        <w:tc>
          <w:tcPr>
            <w:tcW w:w="5619" w:type="dxa"/>
            <w:tcBorders>
              <w:top w:val="single" w:color="auto" w:sz="4" w:space="0"/>
              <w:left w:val="single" w:color="auto" w:sz="4" w:space="0"/>
              <w:bottom w:val="single" w:color="auto" w:sz="4" w:space="0"/>
              <w:right w:val="single" w:color="auto" w:sz="4" w:space="0"/>
            </w:tcBorders>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部门职责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746"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教导处</w:t>
            </w:r>
          </w:p>
        </w:tc>
        <w:tc>
          <w:tcPr>
            <w:tcW w:w="2255" w:type="dxa"/>
            <w:tcBorders>
              <w:top w:val="single" w:color="auto" w:sz="4" w:space="0"/>
              <w:left w:val="single" w:color="auto" w:sz="4" w:space="0"/>
              <w:bottom w:val="single" w:color="auto" w:sz="4" w:space="0"/>
              <w:right w:val="single" w:color="auto" w:sz="4" w:space="0"/>
            </w:tcBorders>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教务处 、政教、德育、心理咨询室、少先队</w:t>
            </w:r>
          </w:p>
        </w:tc>
        <w:tc>
          <w:tcPr>
            <w:tcW w:w="5619" w:type="dxa"/>
            <w:tcBorders>
              <w:top w:val="single" w:color="auto" w:sz="4" w:space="0"/>
              <w:left w:val="single" w:color="auto" w:sz="4" w:space="0"/>
              <w:bottom w:val="single" w:color="auto" w:sz="4" w:space="0"/>
              <w:right w:val="single" w:color="auto" w:sz="4" w:space="0"/>
            </w:tcBorders>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师资培训、学籍管理、课改研究、课程开发、质量分析、学业评价、实践活动、心理健康宣传教育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1746" w:type="dxa"/>
            <w:tcBorders>
              <w:top w:val="single" w:color="auto" w:sz="4" w:space="0"/>
              <w:left w:val="single" w:color="auto" w:sz="4" w:space="0"/>
              <w:bottom w:val="single" w:color="auto" w:sz="4" w:space="0"/>
              <w:right w:val="single" w:color="auto" w:sz="4" w:space="0"/>
            </w:tcBorders>
            <w:vAlign w:val="center"/>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总务处</w:t>
            </w:r>
          </w:p>
        </w:tc>
        <w:tc>
          <w:tcPr>
            <w:tcW w:w="2255" w:type="dxa"/>
            <w:tcBorders>
              <w:top w:val="single" w:color="auto" w:sz="4" w:space="0"/>
              <w:left w:val="single" w:color="auto" w:sz="4" w:space="0"/>
              <w:bottom w:val="single" w:color="auto" w:sz="4" w:space="0"/>
              <w:right w:val="single" w:color="auto" w:sz="4" w:space="0"/>
            </w:tcBorders>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总务处  安全保障、财务室、后勤保障、学生资助</w:t>
            </w:r>
          </w:p>
        </w:tc>
        <w:tc>
          <w:tcPr>
            <w:tcW w:w="5619" w:type="dxa"/>
            <w:tcBorders>
              <w:top w:val="single" w:color="auto" w:sz="4" w:space="0"/>
              <w:left w:val="single" w:color="auto" w:sz="4" w:space="0"/>
              <w:bottom w:val="single" w:color="auto" w:sz="4" w:space="0"/>
              <w:right w:val="single" w:color="auto" w:sz="4" w:space="0"/>
            </w:tcBorders>
          </w:tcPr>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综治安全、普法卫生、财务管理、校产管理、基础建设、物资采购、技术装备、资料印刷、学生资助</w:t>
            </w:r>
          </w:p>
        </w:tc>
      </w:tr>
    </w:tbl>
    <w:p>
      <w:pPr>
        <w:pStyle w:val="4"/>
        <w:shd w:val="clear" w:color="auto" w:fill="FFFFFF"/>
        <w:spacing w:line="600" w:lineRule="exact"/>
        <w:rPr>
          <w:rFonts w:ascii="Times New Roman" w:hAnsi="Times New Roman" w:eastAsia="方正仿宋_GBK"/>
          <w:sz w:val="32"/>
          <w:szCs w:val="32"/>
        </w:rPr>
      </w:pPr>
    </w:p>
    <w:p>
      <w:pPr>
        <w:pStyle w:val="10"/>
        <w:tabs>
          <w:tab w:val="center" w:pos="4153"/>
          <w:tab w:val="left" w:pos="7275"/>
        </w:tabs>
        <w:spacing w:line="600" w:lineRule="exact"/>
        <w:ind w:firstLine="640"/>
        <w:rPr>
          <w:rFonts w:eastAsia="方正楷体_GBK"/>
          <w:b/>
          <w:color w:val="333333"/>
          <w:sz w:val="32"/>
          <w:szCs w:val="32"/>
        </w:rPr>
      </w:pPr>
      <w:r>
        <w:rPr>
          <w:rFonts w:hint="eastAsia" w:eastAsia="方正仿宋_GBK"/>
          <w:sz w:val="32"/>
          <w:szCs w:val="32"/>
        </w:rPr>
        <w:t xml:space="preserve">  </w:t>
      </w:r>
      <w:r>
        <w:rPr>
          <w:rFonts w:hint="eastAsia" w:eastAsia="方正楷体_GBK"/>
          <w:b/>
          <w:color w:val="333333"/>
          <w:sz w:val="32"/>
          <w:szCs w:val="32"/>
        </w:rPr>
        <w:t>（三）单位构成</w:t>
      </w:r>
    </w:p>
    <w:p>
      <w:pPr>
        <w:pStyle w:val="11"/>
        <w:autoSpaceDE w:val="0"/>
        <w:spacing w:before="0" w:beforeAutospacing="0" w:line="600" w:lineRule="exact"/>
        <w:ind w:firstLine="640" w:firstLineChars="200"/>
        <w:jc w:val="both"/>
        <w:rPr>
          <w:rFonts w:ascii="方正仿宋_GBK" w:eastAsia="方正仿宋_GBK"/>
          <w:sz w:val="32"/>
          <w:szCs w:val="32"/>
        </w:rPr>
      </w:pPr>
      <w:r>
        <w:rPr>
          <w:rFonts w:hint="eastAsia" w:ascii="Times New Roman" w:hAnsi="Times New Roman" w:eastAsia="方正仿宋_GBK"/>
          <w:sz w:val="32"/>
          <w:szCs w:val="32"/>
        </w:rPr>
        <w:t> </w:t>
      </w:r>
      <w:r>
        <w:rPr>
          <w:rFonts w:hint="eastAsia" w:ascii="方正仿宋_GBK" w:eastAsia="方正仿宋_GBK"/>
          <w:sz w:val="32"/>
          <w:szCs w:val="32"/>
        </w:rPr>
        <w:t xml:space="preserve">重庆市綦江区新场小学为实施六年制小学义务教育的全日制公办教育机构，具有法人资格，独立承担民事责任。本单位是全额拨款事业单位。独立编制机构1个，年末在职人数26人，退休人员38人，学生人数85人。学校面向镇教育行政部门规定的区域范围进行招生，招生对象为辖区内健康适龄儿童，促进基础教育发展。学校坐落于重庆市綦江区隆盛镇十隆村新场组 </w:t>
      </w:r>
      <w:r>
        <w:rPr>
          <w:rFonts w:hint="eastAsia" w:ascii="方正仿宋_GBK" w:eastAsia="方正仿宋_GBK"/>
          <w:sz w:val="32"/>
          <w:szCs w:val="32"/>
          <w:lang w:eastAsia="zh-CN"/>
        </w:rPr>
        <w:t>，</w:t>
      </w:r>
      <w:r>
        <w:rPr>
          <w:rFonts w:hint="eastAsia" w:ascii="方正仿宋_GBK" w:eastAsia="方正仿宋_GBK"/>
          <w:sz w:val="32"/>
          <w:szCs w:val="32"/>
        </w:rPr>
        <w:t>我校以“特色引领，和谐发展”为培养理念。</w:t>
      </w:r>
    </w:p>
    <w:p>
      <w:pPr>
        <w:pStyle w:val="10"/>
        <w:tabs>
          <w:tab w:val="center" w:pos="4153"/>
          <w:tab w:val="left" w:pos="7275"/>
        </w:tabs>
        <w:spacing w:line="600" w:lineRule="exact"/>
        <w:ind w:firstLine="643"/>
        <w:rPr>
          <w:rFonts w:eastAsia="方正黑体_GBK"/>
          <w:b/>
          <w:bCs/>
          <w:sz w:val="32"/>
          <w:szCs w:val="32"/>
        </w:rPr>
      </w:pPr>
      <w:r>
        <w:rPr>
          <w:rFonts w:hint="eastAsia" w:eastAsia="方正黑体_GBK"/>
          <w:b/>
          <w:bCs/>
          <w:sz w:val="32"/>
          <w:szCs w:val="32"/>
        </w:rPr>
        <w:t>二、部门决算情况说明</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（一）收入支出决算总体情况说明</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b/>
          <w:bCs/>
          <w:sz w:val="32"/>
          <w:szCs w:val="32"/>
        </w:rPr>
        <w:t>1.总体情况</w:t>
      </w:r>
      <w:r>
        <w:rPr>
          <w:rFonts w:hint="eastAsia" w:ascii="Times New Roman" w:hAnsi="Times New Roman" w:eastAsia="方正仿宋_GBK"/>
          <w:sz w:val="32"/>
          <w:szCs w:val="32"/>
        </w:rPr>
        <w:t>。</w:t>
      </w:r>
      <w:r>
        <w:rPr>
          <w:rFonts w:hint="eastAsia" w:ascii="方正仿宋_GBK" w:eastAsia="方正仿宋_GBK"/>
          <w:sz w:val="32"/>
          <w:szCs w:val="32"/>
        </w:rPr>
        <w:t>2020年度收入总计901.82万元，支出总计901.82万元。收支较上年决算数 增加120.99万元、 增长 15.5%，主要原因是学校加大办学经费投入。</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sz w:val="32"/>
          <w:szCs w:val="32"/>
        </w:rPr>
        <w:t xml:space="preserve"> </w:t>
      </w:r>
      <w:r>
        <w:rPr>
          <w:rFonts w:hint="eastAsia" w:ascii="Times New Roman" w:hAnsi="Times New Roman" w:eastAsia="方正仿宋_GBK"/>
          <w:b/>
          <w:bCs/>
          <w:sz w:val="32"/>
          <w:szCs w:val="32"/>
        </w:rPr>
        <w:t>2.收入情况。</w:t>
      </w:r>
      <w:r>
        <w:rPr>
          <w:rFonts w:hint="eastAsia" w:ascii="方正仿宋_GBK" w:eastAsia="方正仿宋_GBK"/>
          <w:sz w:val="32"/>
          <w:szCs w:val="32"/>
        </w:rPr>
        <w:t>2020年度收入合计771.41万元，较上年决算数增加94.41万元，增长13.9%，主要原因 是财政投入加大。其中：财政拨款收入769.29万元，占99.7%；事业收入2.12万元，占0.3%；此外，年初结转和结余130.41万元。</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b/>
          <w:bCs/>
          <w:sz w:val="32"/>
          <w:szCs w:val="32"/>
        </w:rPr>
        <w:t>3.支出情况。</w:t>
      </w:r>
      <w:r>
        <w:rPr>
          <w:rFonts w:hint="eastAsia" w:ascii="方正仿宋_GBK" w:eastAsia="方正仿宋_GBK"/>
          <w:sz w:val="32"/>
          <w:szCs w:val="32"/>
        </w:rPr>
        <w:t>2020年度支出合计760.69万元，较上年决算数增加27.69万元，增长3.8%，主要原因是新建学生宿舍。其中：基本支出 675.54万元，占88.8%；项目支出85.15万元，占11.2%；</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b/>
          <w:bCs/>
          <w:sz w:val="32"/>
          <w:szCs w:val="32"/>
        </w:rPr>
        <w:t xml:space="preserve"> 4.结转结余情况。</w:t>
      </w:r>
      <w:r>
        <w:rPr>
          <w:rFonts w:hint="eastAsia" w:ascii="方正仿宋_GBK" w:eastAsia="方正仿宋_GBK"/>
          <w:sz w:val="32"/>
          <w:szCs w:val="32"/>
        </w:rPr>
        <w:t>2020年度年末结转和结余141.13万元，较上年决算数增加93.30万元，增长195.1%，主要原因是工程未完成，资金未支付。</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（二）财政拨款收入支出决算总体情况说明</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sz w:val="32"/>
          <w:szCs w:val="32"/>
        </w:rPr>
        <w:t xml:space="preserve">  </w:t>
      </w:r>
      <w:r>
        <w:rPr>
          <w:rFonts w:hint="eastAsia" w:ascii="方正仿宋_GBK" w:eastAsia="方正仿宋_GBK"/>
          <w:sz w:val="32"/>
          <w:szCs w:val="32"/>
        </w:rPr>
        <w:t>2020年度财政拨款收、支总计899.70万元。与2019年相比，财政拨款收、支总计各增加121.46万 元，增长15.6%。主要原因是财政投入加大，新建学生宿舍。</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（三）一般公共预算财政拨款支出决算情况说明</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b/>
          <w:bCs/>
          <w:sz w:val="32"/>
          <w:szCs w:val="32"/>
        </w:rPr>
        <w:t>1.收入情况。</w:t>
      </w:r>
      <w:r>
        <w:rPr>
          <w:rFonts w:hint="eastAsia" w:ascii="方正仿宋_GBK" w:eastAsia="方正仿宋_GBK"/>
          <w:sz w:val="32"/>
          <w:szCs w:val="32"/>
        </w:rPr>
        <w:t>2020年度一般公共预算财政拨款收入769.29万元，较上年决算数增加94.88万元，增长14.1%。主要原因是财政投入加大，新建学生宿舍。较年初预算数增加196.95万元，增长34.4%。主要原因是财政投入加大，新建学生宿舍。此外，年初财政拨款结转和结余130.41万元。</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b/>
          <w:bCs/>
          <w:sz w:val="32"/>
          <w:szCs w:val="32"/>
        </w:rPr>
        <w:t>2.支出情况。</w:t>
      </w:r>
      <w:r>
        <w:rPr>
          <w:rFonts w:hint="eastAsia" w:ascii="方正仿宋_GBK" w:eastAsia="方正仿宋_GBK"/>
          <w:sz w:val="32"/>
          <w:szCs w:val="32"/>
        </w:rPr>
        <w:t>2020年度一般公共预算财政拨款支出758.57万元，较上年决算数增加28.16万元，增长3.9%。主要原因是. 财政投入加大，新建学生宿舍。较年初预算数 增加138.41万 元，增长22.3%。主要原因是财政投入加大，新建学生宿舍。</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b/>
          <w:bCs/>
          <w:sz w:val="32"/>
          <w:szCs w:val="32"/>
        </w:rPr>
        <w:t>3.结转结余情况。</w:t>
      </w:r>
      <w:r>
        <w:rPr>
          <w:rFonts w:hint="eastAsia" w:ascii="方正仿宋_GBK" w:eastAsia="方正仿宋_GBK"/>
          <w:sz w:val="32"/>
          <w:szCs w:val="32"/>
        </w:rPr>
        <w:t>2020年度年末一般公共预算财政拨款结转和结余141.13万元，较上年决算数增加93.30万元，增长195.1%，主要原因是工程未完成，资金未支付。</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b/>
          <w:bCs/>
          <w:sz w:val="32"/>
          <w:szCs w:val="32"/>
        </w:rPr>
        <w:t>4.比较情况</w:t>
      </w:r>
      <w:r>
        <w:rPr>
          <w:rFonts w:hint="eastAsia" w:ascii="Times New Roman" w:hAnsi="Times New Roman" w:eastAsia="方正仿宋_GBK"/>
          <w:sz w:val="32"/>
          <w:szCs w:val="32"/>
        </w:rPr>
        <w:t>。</w:t>
      </w:r>
      <w:r>
        <w:rPr>
          <w:rFonts w:hint="eastAsia" w:ascii="方正仿宋_GBK" w:eastAsia="方正仿宋_GBK"/>
          <w:sz w:val="32"/>
          <w:szCs w:val="32"/>
        </w:rPr>
        <w:t>本部门2020年度一般公共预算财政拨款支出主要用于以下几个方面：</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（1）教育支出523.35万元，占69%，较年初预算数增加98.39万 元，增长23.2%，主要原因是财政投入增加。</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（2）社会保障与就业支出170.72万元，占22.5%，较年初预算数增加45.87万 元，增长36.8%，主要原因是工资增加。</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（3）卫生健康支出37.17万元，占4.9%，较年初预算数减少0.96万 元，下降2.5%，主要原因是人员减少。</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（4）住房保障支出27.33万元，占3.6%，较年初预算数减少4.90万 元，下降15.2%，主要原因是人员减少。</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（四）一般公共预算财政拨款基本支出决算情况说明</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sz w:val="32"/>
          <w:szCs w:val="32"/>
        </w:rPr>
        <w:t> </w:t>
      </w:r>
      <w:r>
        <w:rPr>
          <w:rFonts w:hint="eastAsia" w:ascii="方正仿宋_GBK" w:eastAsia="方正仿宋_GBK"/>
          <w:sz w:val="32"/>
          <w:szCs w:val="32"/>
        </w:rPr>
        <w:t xml:space="preserve"> 2020年度一般公共财政拨款基本支出675.54万元。其中：人员经费648.85万元，较上年决算数增加33.00万 元，增长5.4%，主要原因是人员工资增长。人员经费用途主要包括养老保险、职业年金、医疗保障、住房保障。公用经费26.69万元，较上年决算数减少12.99万元，下降32.7%，主要原因是教师学生人数减少。公用经费用途主要包括办公费、差旅费、印刷费、维修维护费、电费、水费、劳务费。</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（五）政府性基金预算收支决算情况说明</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sz w:val="32"/>
          <w:szCs w:val="32"/>
        </w:rPr>
        <w:t>  </w:t>
      </w:r>
      <w:r>
        <w:rPr>
          <w:rFonts w:hint="eastAsia" w:ascii="方正仿宋_GBK" w:eastAsia="方正仿宋_GBK"/>
          <w:sz w:val="32"/>
          <w:szCs w:val="32"/>
        </w:rPr>
        <w:t>本部门2020年度无政府性基金预算财政拨款收支。</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（六）国有资本经营预算财政拨款</w:t>
      </w:r>
      <w:r>
        <w:rPr>
          <w:rFonts w:hint="eastAsia" w:eastAsia="方正楷体_GBK"/>
          <w:b/>
          <w:color w:val="333333"/>
          <w:sz w:val="32"/>
          <w:szCs w:val="32"/>
          <w:lang w:eastAsia="zh-CN"/>
        </w:rPr>
        <w:t>支出</w:t>
      </w:r>
      <w:r>
        <w:rPr>
          <w:rFonts w:hint="eastAsia" w:eastAsia="方正楷体_GBK"/>
          <w:b/>
          <w:color w:val="333333"/>
          <w:sz w:val="32"/>
          <w:szCs w:val="32"/>
        </w:rPr>
        <w:t>决算情况说明。</w:t>
      </w:r>
    </w:p>
    <w:p>
      <w:pPr>
        <w:pStyle w:val="4"/>
        <w:shd w:val="clear" w:color="auto" w:fill="FFFFFF"/>
        <w:spacing w:line="600" w:lineRule="exact"/>
        <w:rPr>
          <w:rFonts w:ascii="方正仿宋_GBK" w:eastAsia="方正仿宋_GBK"/>
          <w:sz w:val="32"/>
          <w:szCs w:val="32"/>
        </w:rPr>
      </w:pPr>
      <w:r>
        <w:rPr>
          <w:rFonts w:hint="eastAsia" w:ascii="Times New Roman" w:hAnsi="Times New Roman" w:eastAsia="方正仿宋_GBK"/>
          <w:sz w:val="32"/>
          <w:szCs w:val="32"/>
        </w:rPr>
        <w:t> </w:t>
      </w:r>
      <w:r>
        <w:rPr>
          <w:rFonts w:hint="eastAsia" w:ascii="方正仿宋_GBK" w:eastAsia="方正仿宋_GBK"/>
          <w:sz w:val="32"/>
          <w:szCs w:val="32"/>
        </w:rPr>
        <w:t>本部门2020年度无国有资本经营预算财政拨款支出。</w:t>
      </w:r>
    </w:p>
    <w:p>
      <w:pPr>
        <w:pStyle w:val="10"/>
        <w:tabs>
          <w:tab w:val="center" w:pos="4153"/>
          <w:tab w:val="left" w:pos="7275"/>
        </w:tabs>
        <w:spacing w:line="600" w:lineRule="exact"/>
        <w:ind w:firstLine="643"/>
        <w:rPr>
          <w:rFonts w:eastAsia="方正黑体_GBK"/>
          <w:b/>
          <w:bCs/>
          <w:sz w:val="32"/>
          <w:szCs w:val="32"/>
        </w:rPr>
      </w:pPr>
      <w:r>
        <w:rPr>
          <w:rFonts w:hint="eastAsia" w:eastAsia="方正黑体_GBK"/>
          <w:b/>
          <w:bCs/>
          <w:sz w:val="32"/>
          <w:szCs w:val="32"/>
        </w:rPr>
        <w:t>三、“三公”经费情况说明</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（一）“三公”经费支出总体情况说明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本单位2020年度未发生“三公”经费支出。</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（二）“三公”经费分项支出情况</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本单位2020年度未发生“三公”经费支出。</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（三）“三公”经费实物量情况</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本单位2020年度未发生“三公”经费支出。</w:t>
      </w:r>
    </w:p>
    <w:p>
      <w:pPr>
        <w:pStyle w:val="10"/>
        <w:tabs>
          <w:tab w:val="center" w:pos="4153"/>
          <w:tab w:val="left" w:pos="7275"/>
        </w:tabs>
        <w:spacing w:line="600" w:lineRule="exact"/>
        <w:ind w:firstLine="643"/>
        <w:rPr>
          <w:rFonts w:eastAsia="方正黑体_GBK"/>
          <w:b/>
          <w:bCs/>
          <w:sz w:val="32"/>
          <w:szCs w:val="32"/>
        </w:rPr>
      </w:pPr>
      <w:r>
        <w:rPr>
          <w:rFonts w:hint="eastAsia" w:eastAsia="方正黑体_GBK"/>
          <w:b/>
          <w:bCs/>
          <w:sz w:val="32"/>
          <w:szCs w:val="32"/>
        </w:rPr>
        <w:t>四、其他需要说明的事项</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（一）机关运行经费情况说明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2020年度本部门未发生机关运行经费。</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本年度会议费支出0.33万元，较上年决算数减少1.01万元，下降75.4%，主要原因是会议次数、人次减少。本年度培训费支出 0.00万元，较上年决算数减少0.85万元，下降100%，主要原因是教师人数减少，教师培训人次减少。</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（二）国有资产占用情况说明</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仿宋_GBK"/>
          <w:sz w:val="32"/>
          <w:szCs w:val="32"/>
        </w:rPr>
        <w:t>本单位无用车需求。</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（三）政府采购支出情况说明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本单位2020年度未发生政府采购事项，无相关经费支出。</w:t>
      </w:r>
    </w:p>
    <w:p>
      <w:pPr>
        <w:pStyle w:val="10"/>
        <w:tabs>
          <w:tab w:val="center" w:pos="4153"/>
          <w:tab w:val="left" w:pos="7275"/>
        </w:tabs>
        <w:spacing w:line="600" w:lineRule="exact"/>
        <w:ind w:firstLine="643"/>
        <w:rPr>
          <w:rFonts w:eastAsia="方正黑体_GBK"/>
          <w:b/>
          <w:bCs/>
          <w:sz w:val="32"/>
          <w:szCs w:val="32"/>
        </w:rPr>
      </w:pPr>
      <w:r>
        <w:rPr>
          <w:rFonts w:hint="eastAsia" w:eastAsia="方正黑体_GBK"/>
          <w:b/>
          <w:bCs/>
          <w:sz w:val="32"/>
          <w:szCs w:val="32"/>
        </w:rPr>
        <w:t>五、预算绩效管理情况说明</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有疑问请联系办公室  彭达刚：023-48480363</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（一）预算绩效管理工作开展情况</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根据预算绩效管理要求，本部门对20个项目开展了绩效自评，其中，以填报目标自评表形式开展自评20项，涉及资金199.924万元；以委托第三方形式开展绩效自评0项，涉及资金0万元。</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color w:val="333333"/>
          <w:sz w:val="32"/>
          <w:szCs w:val="32"/>
        </w:rPr>
        <w:t>（二）绩效自评结果</w:t>
      </w:r>
    </w:p>
    <w:p>
      <w:pPr>
        <w:pStyle w:val="4"/>
        <w:shd w:val="clear" w:color="auto" w:fill="FFFFFF"/>
        <w:spacing w:line="600" w:lineRule="exact"/>
        <w:rPr>
          <w:rStyle w:val="7"/>
          <w:color w:val="FF0000"/>
          <w:sz w:val="27"/>
          <w:szCs w:val="27"/>
        </w:rPr>
      </w:pPr>
      <w:r>
        <w:rPr>
          <w:rStyle w:val="7"/>
          <w:rFonts w:hint="eastAsia"/>
          <w:sz w:val="27"/>
          <w:szCs w:val="27"/>
        </w:rPr>
        <w:t>1.绩效自评表</w:t>
      </w:r>
    </w:p>
    <w:tbl>
      <w:tblPr>
        <w:tblStyle w:val="5"/>
        <w:tblW w:w="9576" w:type="dxa"/>
        <w:tblInd w:w="91" w:type="dxa"/>
        <w:tblLayout w:type="fixed"/>
        <w:tblCellMar>
          <w:top w:w="0" w:type="dxa"/>
          <w:left w:w="108" w:type="dxa"/>
          <w:bottom w:w="0" w:type="dxa"/>
          <w:right w:w="108" w:type="dxa"/>
        </w:tblCellMar>
      </w:tblPr>
      <w:tblGrid>
        <w:gridCol w:w="966"/>
        <w:gridCol w:w="1550"/>
        <w:gridCol w:w="988"/>
        <w:gridCol w:w="1274"/>
        <w:gridCol w:w="838"/>
        <w:gridCol w:w="302"/>
        <w:gridCol w:w="720"/>
        <w:gridCol w:w="302"/>
        <w:gridCol w:w="720"/>
        <w:gridCol w:w="302"/>
        <w:gridCol w:w="902"/>
        <w:gridCol w:w="712"/>
      </w:tblGrid>
      <w:tr>
        <w:tblPrEx>
          <w:tblCellMar>
            <w:top w:w="0" w:type="dxa"/>
            <w:left w:w="108" w:type="dxa"/>
            <w:bottom w:w="0" w:type="dxa"/>
            <w:right w:w="108" w:type="dxa"/>
          </w:tblCellMar>
        </w:tblPrEx>
        <w:trPr>
          <w:trHeight w:val="501" w:hRule="atLeast"/>
        </w:trPr>
        <w:tc>
          <w:tcPr>
            <w:tcW w:w="8864" w:type="dxa"/>
            <w:gridSpan w:val="11"/>
            <w:tcBorders>
              <w:top w:val="nil"/>
              <w:left w:val="nil"/>
              <w:bottom w:val="nil"/>
              <w:right w:val="nil"/>
            </w:tcBorders>
            <w:shd w:val="clear" w:color="auto" w:fill="auto"/>
            <w:vAlign w:val="center"/>
          </w:tcPr>
          <w:p>
            <w:pPr>
              <w:jc w:val="center"/>
              <w:textAlignment w:val="center"/>
              <w:rPr>
                <w:b/>
                <w:bCs/>
                <w:color w:val="000000"/>
                <w:sz w:val="32"/>
                <w:szCs w:val="32"/>
                <w:lang w:bidi="ar"/>
              </w:rPr>
            </w:pPr>
          </w:p>
          <w:p>
            <w:pPr>
              <w:jc w:val="center"/>
              <w:textAlignment w:val="center"/>
              <w:rPr>
                <w:b/>
                <w:bCs/>
                <w:color w:val="000000"/>
                <w:sz w:val="32"/>
                <w:szCs w:val="32"/>
              </w:rPr>
            </w:pPr>
            <w:r>
              <w:rPr>
                <w:rFonts w:hint="eastAsia" w:ascii="方正小标宋_GBK" w:hAnsi="方正小标宋_GBK" w:eastAsia="方正小标宋_GBK" w:cs="方正小标宋_GBK"/>
                <w:bCs/>
                <w:color w:val="000000"/>
                <w:sz w:val="32"/>
                <w:szCs w:val="32"/>
                <w:lang w:bidi="ar"/>
              </w:rPr>
              <w:t>2020年度部门（单位）项目支出绩效自评表</w:t>
            </w:r>
          </w:p>
        </w:tc>
        <w:tc>
          <w:tcPr>
            <w:tcW w:w="712" w:type="dxa"/>
            <w:tcBorders>
              <w:top w:val="nil"/>
              <w:left w:val="nil"/>
              <w:bottom w:val="nil"/>
              <w:right w:val="nil"/>
            </w:tcBorders>
            <w:shd w:val="clear" w:color="auto" w:fill="auto"/>
            <w:vAlign w:val="center"/>
          </w:tcPr>
          <w:p>
            <w:pPr>
              <w:jc w:val="center"/>
              <w:textAlignment w:val="center"/>
              <w:rPr>
                <w:b/>
                <w:bCs/>
                <w:color w:val="000000"/>
                <w:sz w:val="32"/>
                <w:szCs w:val="32"/>
                <w:lang w:bidi="ar"/>
              </w:rPr>
            </w:pPr>
          </w:p>
        </w:tc>
      </w:tr>
      <w:tr>
        <w:tblPrEx>
          <w:tblCellMar>
            <w:top w:w="0" w:type="dxa"/>
            <w:left w:w="108" w:type="dxa"/>
            <w:bottom w:w="0" w:type="dxa"/>
            <w:right w:w="108" w:type="dxa"/>
          </w:tblCellMar>
        </w:tblPrEx>
        <w:trPr>
          <w:trHeight w:val="501" w:hRule="atLeast"/>
        </w:trPr>
        <w:tc>
          <w:tcPr>
            <w:tcW w:w="4778" w:type="dxa"/>
            <w:gridSpan w:val="4"/>
            <w:tcBorders>
              <w:top w:val="nil"/>
              <w:left w:val="nil"/>
              <w:bottom w:val="single" w:color="auto" w:sz="4" w:space="0"/>
              <w:right w:val="nil"/>
            </w:tcBorders>
            <w:shd w:val="clear" w:color="auto" w:fill="auto"/>
            <w:vAlign w:val="center"/>
          </w:tcPr>
          <w:p>
            <w:pPr>
              <w:textAlignment w:val="center"/>
              <w:rPr>
                <w:b/>
                <w:bCs/>
                <w:color w:val="000000"/>
                <w:sz w:val="20"/>
                <w:szCs w:val="20"/>
              </w:rPr>
            </w:pPr>
            <w:r>
              <w:rPr>
                <w:rFonts w:hint="eastAsia"/>
                <w:b/>
                <w:bCs/>
                <w:color w:val="000000"/>
                <w:sz w:val="20"/>
                <w:szCs w:val="20"/>
                <w:lang w:bidi="ar"/>
              </w:rPr>
              <w:t>填表单位（盖章）：重庆市綦江区新场小学</w:t>
            </w:r>
          </w:p>
        </w:tc>
        <w:tc>
          <w:tcPr>
            <w:tcW w:w="1140" w:type="dxa"/>
            <w:gridSpan w:val="2"/>
            <w:tcBorders>
              <w:top w:val="nil"/>
              <w:left w:val="nil"/>
              <w:bottom w:val="single" w:color="auto" w:sz="4" w:space="0"/>
              <w:right w:val="nil"/>
            </w:tcBorders>
            <w:shd w:val="clear" w:color="auto" w:fill="auto"/>
            <w:vAlign w:val="center"/>
          </w:tcPr>
          <w:p>
            <w:pPr>
              <w:jc w:val="center"/>
              <w:rPr>
                <w:b/>
                <w:bCs/>
                <w:color w:val="000000"/>
                <w:sz w:val="32"/>
                <w:szCs w:val="32"/>
              </w:rPr>
            </w:pPr>
          </w:p>
        </w:tc>
        <w:tc>
          <w:tcPr>
            <w:tcW w:w="1022" w:type="dxa"/>
            <w:gridSpan w:val="2"/>
            <w:tcBorders>
              <w:top w:val="nil"/>
              <w:left w:val="nil"/>
              <w:bottom w:val="nil"/>
              <w:right w:val="nil"/>
            </w:tcBorders>
            <w:shd w:val="clear" w:color="auto" w:fill="auto"/>
            <w:vAlign w:val="center"/>
          </w:tcPr>
          <w:p>
            <w:pPr>
              <w:jc w:val="center"/>
              <w:rPr>
                <w:b/>
                <w:bCs/>
                <w:color w:val="000000"/>
                <w:sz w:val="32"/>
                <w:szCs w:val="32"/>
              </w:rPr>
            </w:pPr>
          </w:p>
        </w:tc>
        <w:tc>
          <w:tcPr>
            <w:tcW w:w="1022" w:type="dxa"/>
            <w:gridSpan w:val="2"/>
            <w:tcBorders>
              <w:top w:val="nil"/>
              <w:left w:val="nil"/>
              <w:bottom w:val="nil"/>
              <w:right w:val="nil"/>
            </w:tcBorders>
            <w:shd w:val="clear" w:color="auto" w:fill="auto"/>
            <w:vAlign w:val="center"/>
          </w:tcPr>
          <w:p>
            <w:pPr>
              <w:jc w:val="center"/>
              <w:rPr>
                <w:b/>
                <w:bCs/>
                <w:color w:val="000000"/>
                <w:sz w:val="32"/>
                <w:szCs w:val="32"/>
              </w:rPr>
            </w:pPr>
          </w:p>
        </w:tc>
        <w:tc>
          <w:tcPr>
            <w:tcW w:w="899" w:type="dxa"/>
            <w:tcBorders>
              <w:top w:val="nil"/>
              <w:left w:val="nil"/>
              <w:bottom w:val="nil"/>
              <w:right w:val="nil"/>
            </w:tcBorders>
            <w:shd w:val="clear" w:color="auto" w:fill="auto"/>
            <w:vAlign w:val="center"/>
          </w:tcPr>
          <w:p>
            <w:pPr>
              <w:jc w:val="center"/>
              <w:rPr>
                <w:b/>
                <w:bCs/>
                <w:color w:val="000000"/>
                <w:sz w:val="32"/>
                <w:szCs w:val="32"/>
              </w:rPr>
            </w:pPr>
          </w:p>
        </w:tc>
        <w:tc>
          <w:tcPr>
            <w:tcW w:w="712" w:type="dxa"/>
            <w:tcBorders>
              <w:top w:val="nil"/>
              <w:left w:val="nil"/>
              <w:bottom w:val="nil"/>
              <w:right w:val="nil"/>
            </w:tcBorders>
            <w:shd w:val="clear" w:color="auto" w:fill="auto"/>
            <w:vAlign w:val="center"/>
          </w:tcPr>
          <w:p>
            <w:pPr>
              <w:jc w:val="center"/>
              <w:rPr>
                <w:b/>
                <w:bCs/>
                <w:color w:val="000000"/>
                <w:sz w:val="32"/>
                <w:szCs w:val="32"/>
              </w:rPr>
            </w:pPr>
          </w:p>
        </w:tc>
      </w:tr>
      <w:tr>
        <w:tblPrEx>
          <w:tblCellMar>
            <w:top w:w="0" w:type="dxa"/>
            <w:left w:w="108" w:type="dxa"/>
            <w:bottom w:w="0" w:type="dxa"/>
            <w:right w:w="108" w:type="dxa"/>
          </w:tblCellMar>
        </w:tblPrEx>
        <w:trPr>
          <w:trHeight w:val="553" w:hRule="atLeast"/>
        </w:trPr>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项目名称</w:t>
            </w:r>
          </w:p>
        </w:tc>
        <w:tc>
          <w:tcPr>
            <w:tcW w:w="381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2020年义务教育薄弱环节改善与能力提升专项资金（中央资金）—新建学生宿舍500㎡150万</w:t>
            </w:r>
          </w:p>
        </w:tc>
        <w:tc>
          <w:tcPr>
            <w:tcW w:w="11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自评总分</w:t>
            </w:r>
            <w:r>
              <w:rPr>
                <w:rFonts w:hint="eastAsia"/>
                <w:color w:val="000000"/>
                <w:sz w:val="20"/>
                <w:szCs w:val="20"/>
                <w:lang w:bidi="ar"/>
              </w:rPr>
              <w:br w:type="textWrapping"/>
            </w:r>
            <w:r>
              <w:rPr>
                <w:rFonts w:hint="eastAsia"/>
                <w:color w:val="000000"/>
                <w:sz w:val="20"/>
                <w:szCs w:val="20"/>
                <w:lang w:bidi="ar"/>
              </w:rPr>
              <w:t>（分</w:t>
            </w:r>
            <w:r>
              <w:rPr>
                <w:rFonts w:hint="eastAsia"/>
                <w:color w:val="000000"/>
                <w:sz w:val="20"/>
                <w:szCs w:val="20"/>
                <w:lang w:eastAsia="zh-CN" w:bidi="ar"/>
              </w:rPr>
              <w:t>）</w:t>
            </w:r>
          </w:p>
        </w:tc>
        <w:tc>
          <w:tcPr>
            <w:tcW w:w="2944" w:type="dxa"/>
            <w:gridSpan w:val="5"/>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53" w:hRule="atLeast"/>
        </w:trPr>
        <w:tc>
          <w:tcPr>
            <w:tcW w:w="966" w:type="dxa"/>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业务主管部门</w:t>
            </w:r>
          </w:p>
        </w:tc>
        <w:tc>
          <w:tcPr>
            <w:tcW w:w="3812"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重庆市綦江区教育委员会</w:t>
            </w:r>
          </w:p>
        </w:tc>
        <w:tc>
          <w:tcPr>
            <w:tcW w:w="11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联系人</w:t>
            </w:r>
            <w:r>
              <w:rPr>
                <w:rFonts w:hint="eastAsia"/>
                <w:color w:val="000000"/>
                <w:sz w:val="20"/>
                <w:szCs w:val="20"/>
                <w:lang w:bidi="ar"/>
              </w:rPr>
              <w:br w:type="textWrapping"/>
            </w:r>
            <w:r>
              <w:rPr>
                <w:rFonts w:hint="eastAsia"/>
                <w:color w:val="000000"/>
                <w:sz w:val="20"/>
                <w:szCs w:val="20"/>
                <w:lang w:bidi="ar"/>
              </w:rPr>
              <w:t>及电话</w:t>
            </w:r>
          </w:p>
        </w:tc>
        <w:tc>
          <w:tcPr>
            <w:tcW w:w="29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张元慧  17725120383</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308" w:hRule="atLeast"/>
        </w:trPr>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项目资金（万元）</w:t>
            </w:r>
          </w:p>
        </w:tc>
        <w:tc>
          <w:tcPr>
            <w:tcW w:w="1549" w:type="dxa"/>
            <w:tcBorders>
              <w:top w:val="single" w:color="000000" w:sz="4" w:space="0"/>
              <w:left w:val="single" w:color="000000" w:sz="4" w:space="0"/>
              <w:bottom w:val="single" w:color="000000" w:sz="4" w:space="0"/>
              <w:right w:val="nil"/>
            </w:tcBorders>
            <w:shd w:val="clear" w:color="auto" w:fill="auto"/>
            <w:vAlign w:val="center"/>
          </w:tcPr>
          <w:p>
            <w:pPr>
              <w:rPr>
                <w:color w:val="000000"/>
                <w:sz w:val="20"/>
                <w:szCs w:val="20"/>
              </w:rPr>
            </w:pPr>
          </w:p>
        </w:tc>
        <w:tc>
          <w:tcPr>
            <w:tcW w:w="2262" w:type="dxa"/>
            <w:gridSpan w:val="2"/>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全年预算数（A）</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全年执行数（B）</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执行率%（B/A）</w:t>
            </w:r>
          </w:p>
        </w:tc>
        <w:tc>
          <w:tcPr>
            <w:tcW w:w="19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执行率得分（分）</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308"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color w:val="000000"/>
                <w:sz w:val="20"/>
                <w:szCs w:val="20"/>
              </w:rPr>
            </w:pPr>
            <w:r>
              <w:rPr>
                <w:rFonts w:hint="eastAsia"/>
                <w:color w:val="000000"/>
                <w:sz w:val="20"/>
                <w:szCs w:val="20"/>
                <w:lang w:bidi="ar"/>
              </w:rPr>
              <w:t>年度资金总额：</w:t>
            </w:r>
          </w:p>
        </w:tc>
        <w:tc>
          <w:tcPr>
            <w:tcW w:w="2262" w:type="dxa"/>
            <w:gridSpan w:val="2"/>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150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28.843703</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19%</w:t>
            </w:r>
          </w:p>
        </w:tc>
        <w:tc>
          <w:tcPr>
            <w:tcW w:w="19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 xml:space="preserve">10 </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242"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其中：中央补助</w:t>
            </w:r>
          </w:p>
        </w:tc>
        <w:tc>
          <w:tcPr>
            <w:tcW w:w="2262" w:type="dxa"/>
            <w:gridSpan w:val="2"/>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150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28.843703</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19.23%</w:t>
            </w:r>
          </w:p>
        </w:tc>
        <w:tc>
          <w:tcPr>
            <w:tcW w:w="19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321"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 xml:space="preserve">     市级补助</w:t>
            </w:r>
          </w:p>
        </w:tc>
        <w:tc>
          <w:tcPr>
            <w:tcW w:w="2262"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color w:val="000000"/>
                <w:sz w:val="20"/>
                <w:szCs w:val="20"/>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9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36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 xml:space="preserve">     区级资金</w:t>
            </w:r>
          </w:p>
        </w:tc>
        <w:tc>
          <w:tcPr>
            <w:tcW w:w="2262"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color w:val="000000"/>
                <w:sz w:val="20"/>
                <w:szCs w:val="20"/>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9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283"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 xml:space="preserve">     其他资金</w:t>
            </w:r>
          </w:p>
        </w:tc>
        <w:tc>
          <w:tcPr>
            <w:tcW w:w="2262"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color w:val="000000"/>
                <w:sz w:val="20"/>
                <w:szCs w:val="20"/>
              </w:rPr>
            </w:pP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19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437" w:hRule="atLeast"/>
        </w:trPr>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年度总体目标</w:t>
            </w:r>
          </w:p>
        </w:tc>
        <w:tc>
          <w:tcPr>
            <w:tcW w:w="38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年初设定目标</w:t>
            </w:r>
          </w:p>
        </w:tc>
        <w:tc>
          <w:tcPr>
            <w:tcW w:w="408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全年目标实际完成情况</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874"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38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2020年义务教育薄弱环节改善与能力提升专项资金新建学生宿舍150万</w:t>
            </w:r>
          </w:p>
        </w:tc>
        <w:tc>
          <w:tcPr>
            <w:tcW w:w="408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2020年义务教育薄弱环节改善与能力提升专项资金新建学生宿舍150万，已用288437.03</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53" w:hRule="atLeast"/>
        </w:trPr>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textAlignment w:val="center"/>
              <w:rPr>
                <w:color w:val="000000"/>
                <w:sz w:val="20"/>
                <w:szCs w:val="20"/>
              </w:rPr>
            </w:pPr>
            <w:r>
              <w:rPr>
                <w:rFonts w:hint="eastAsia"/>
                <w:color w:val="000000"/>
                <w:sz w:val="20"/>
                <w:szCs w:val="20"/>
                <w:lang w:bidi="ar"/>
              </w:rPr>
              <w:t>绩效指标</w:t>
            </w: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指标名称</w:t>
            </w:r>
            <w:r>
              <w:rPr>
                <w:rFonts w:hint="eastAsia"/>
                <w:color w:val="000000"/>
                <w:sz w:val="20"/>
                <w:szCs w:val="20"/>
                <w:lang w:bidi="ar"/>
              </w:rPr>
              <w:br w:type="textWrapping"/>
            </w:r>
            <w:r>
              <w:rPr>
                <w:rFonts w:hint="eastAsia"/>
                <w:color w:val="000000"/>
                <w:sz w:val="20"/>
                <w:szCs w:val="20"/>
                <w:lang w:bidi="ar"/>
              </w:rPr>
              <w:t>（三级指标）</w:t>
            </w:r>
          </w:p>
        </w:tc>
        <w:tc>
          <w:tcPr>
            <w:tcW w:w="9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计量单位</w:t>
            </w:r>
          </w:p>
        </w:tc>
        <w:tc>
          <w:tcPr>
            <w:tcW w:w="1273" w:type="dxa"/>
            <w:tcBorders>
              <w:top w:val="single" w:color="000000" w:sz="4" w:space="0"/>
              <w:left w:val="single" w:color="000000" w:sz="4" w:space="0"/>
              <w:bottom w:val="single" w:color="000000" w:sz="4" w:space="0"/>
              <w:right w:val="nil"/>
            </w:tcBorders>
            <w:shd w:val="clear" w:color="auto" w:fill="auto"/>
            <w:vAlign w:val="center"/>
          </w:tcPr>
          <w:p>
            <w:pPr>
              <w:jc w:val="center"/>
              <w:textAlignment w:val="center"/>
              <w:rPr>
                <w:color w:val="000000"/>
                <w:sz w:val="20"/>
                <w:szCs w:val="20"/>
              </w:rPr>
            </w:pPr>
            <w:r>
              <w:rPr>
                <w:rFonts w:hint="eastAsia"/>
                <w:color w:val="000000"/>
                <w:sz w:val="20"/>
                <w:szCs w:val="20"/>
                <w:lang w:bidi="ar"/>
              </w:rPr>
              <w:t>指标权重</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指标值</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全年完成值</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得分系数（%）</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指标得分</w:t>
            </w:r>
            <w:r>
              <w:rPr>
                <w:rFonts w:hint="eastAsia"/>
                <w:color w:val="000000"/>
                <w:sz w:val="20"/>
                <w:szCs w:val="20"/>
                <w:lang w:bidi="ar"/>
              </w:rPr>
              <w:br w:type="textWrapping"/>
            </w:r>
            <w:r>
              <w:rPr>
                <w:rFonts w:hint="eastAsia"/>
                <w:color w:val="000000"/>
                <w:sz w:val="20"/>
                <w:szCs w:val="20"/>
                <w:lang w:bidi="ar"/>
              </w:rPr>
              <w:t>（分</w:t>
            </w:r>
            <w:r>
              <w:rPr>
                <w:rFonts w:hint="eastAsia"/>
                <w:color w:val="000000"/>
                <w:sz w:val="20"/>
                <w:szCs w:val="20"/>
                <w:lang w:eastAsia="zh-CN" w:bidi="ar"/>
              </w:rPr>
              <w:t>）</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01"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办公人次</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人次</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27</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27</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53"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办公效益</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bookmarkStart w:id="0" w:name="_GoBack"/>
            <w:bookmarkEnd w:id="0"/>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14"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资金发放精准度</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27"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资金到位准时度</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27"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管理</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20</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27"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jc w:val="center"/>
              <w:rPr>
                <w:color w:val="000000"/>
                <w:sz w:val="20"/>
                <w:szCs w:val="20"/>
              </w:rPr>
            </w:pPr>
          </w:p>
        </w:tc>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学校满意度</w:t>
            </w:r>
          </w:p>
        </w:tc>
        <w:tc>
          <w:tcPr>
            <w:tcW w:w="9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527" w:hRule="atLeast"/>
        </w:trPr>
        <w:tc>
          <w:tcPr>
            <w:tcW w:w="966" w:type="dxa"/>
            <w:vMerge w:val="continue"/>
            <w:tcBorders>
              <w:top w:val="single" w:color="000000" w:sz="4" w:space="0"/>
              <w:left w:val="single" w:color="000000" w:sz="4" w:space="0"/>
              <w:bottom w:val="single" w:color="auto" w:sz="4" w:space="0"/>
              <w:right w:val="single" w:color="000000" w:sz="4" w:space="0"/>
            </w:tcBorders>
            <w:shd w:val="clear" w:color="auto" w:fill="auto"/>
            <w:textDirection w:val="tbRlV"/>
            <w:vAlign w:val="center"/>
          </w:tcPr>
          <w:p>
            <w:pPr>
              <w:jc w:val="center"/>
              <w:rPr>
                <w:color w:val="000000"/>
                <w:sz w:val="20"/>
                <w:szCs w:val="20"/>
              </w:rPr>
            </w:pPr>
          </w:p>
        </w:tc>
        <w:tc>
          <w:tcPr>
            <w:tcW w:w="1549"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教职工满意度</w:t>
            </w:r>
          </w:p>
        </w:tc>
        <w:tc>
          <w:tcPr>
            <w:tcW w:w="988"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w:t>
            </w:r>
          </w:p>
        </w:tc>
        <w:tc>
          <w:tcPr>
            <w:tcW w:w="1273"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1140" w:type="dxa"/>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textAlignment w:val="center"/>
              <w:rPr>
                <w:color w:val="000000"/>
                <w:sz w:val="20"/>
                <w:szCs w:val="20"/>
              </w:rPr>
            </w:pPr>
            <w:r>
              <w:rPr>
                <w:rFonts w:hint="eastAsia"/>
                <w:color w:val="000000"/>
                <w:sz w:val="20"/>
                <w:szCs w:val="20"/>
                <w:lang w:bidi="ar"/>
              </w:rPr>
              <w:t>100</w:t>
            </w:r>
          </w:p>
        </w:tc>
        <w:tc>
          <w:tcPr>
            <w:tcW w:w="102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100%</w:t>
            </w:r>
          </w:p>
        </w:tc>
        <w:tc>
          <w:tcPr>
            <w:tcW w:w="899"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5</w:t>
            </w:r>
          </w:p>
        </w:tc>
        <w:tc>
          <w:tcPr>
            <w:tcW w:w="712"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textAlignment w:val="center"/>
              <w:rPr>
                <w:color w:val="000000"/>
                <w:sz w:val="20"/>
                <w:szCs w:val="20"/>
                <w:lang w:bidi="ar"/>
              </w:rPr>
            </w:pPr>
          </w:p>
        </w:tc>
      </w:tr>
      <w:tr>
        <w:tblPrEx>
          <w:tblCellMar>
            <w:top w:w="0" w:type="dxa"/>
            <w:left w:w="108" w:type="dxa"/>
            <w:bottom w:w="0" w:type="dxa"/>
            <w:right w:w="108" w:type="dxa"/>
          </w:tblCellMar>
        </w:tblPrEx>
        <w:trPr>
          <w:trHeight w:val="1852" w:hRule="atLeast"/>
        </w:trPr>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textAlignment w:val="center"/>
              <w:rPr>
                <w:color w:val="000000"/>
                <w:sz w:val="20"/>
                <w:szCs w:val="20"/>
              </w:rPr>
            </w:pPr>
            <w:r>
              <w:rPr>
                <w:rFonts w:hint="eastAsia"/>
                <w:color w:val="000000"/>
                <w:sz w:val="20"/>
                <w:szCs w:val="20"/>
                <w:lang w:bidi="ar"/>
              </w:rPr>
              <w:t>未完成绩效目标或偏离较多的原因、改进措施及其他说明</w:t>
            </w:r>
          </w:p>
        </w:tc>
        <w:tc>
          <w:tcPr>
            <w:tcW w:w="7898"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p>
        </w:tc>
        <w:tc>
          <w:tcPr>
            <w:tcW w:w="71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p>
        </w:tc>
      </w:tr>
      <w:tr>
        <w:tblPrEx>
          <w:tblCellMar>
            <w:top w:w="0" w:type="dxa"/>
            <w:left w:w="108" w:type="dxa"/>
            <w:bottom w:w="0" w:type="dxa"/>
            <w:right w:w="108" w:type="dxa"/>
          </w:tblCellMar>
        </w:tblPrEx>
        <w:trPr>
          <w:trHeight w:val="231" w:hRule="atLeast"/>
        </w:trPr>
        <w:tc>
          <w:tcPr>
            <w:tcW w:w="966" w:type="dxa"/>
            <w:tcBorders>
              <w:top w:val="single" w:color="auto" w:sz="4" w:space="0"/>
              <w:left w:val="nil"/>
              <w:bottom w:val="nil"/>
              <w:right w:val="nil"/>
            </w:tcBorders>
            <w:shd w:val="clear" w:color="auto" w:fill="auto"/>
            <w:noWrap/>
            <w:vAlign w:val="center"/>
          </w:tcPr>
          <w:p>
            <w:pPr>
              <w:rPr>
                <w:color w:val="000000"/>
                <w:sz w:val="22"/>
                <w:szCs w:val="22"/>
              </w:rPr>
            </w:pPr>
          </w:p>
        </w:tc>
        <w:tc>
          <w:tcPr>
            <w:tcW w:w="1549" w:type="dxa"/>
            <w:tcBorders>
              <w:top w:val="single" w:color="auto" w:sz="4" w:space="0"/>
              <w:left w:val="nil"/>
              <w:bottom w:val="nil"/>
              <w:right w:val="nil"/>
            </w:tcBorders>
            <w:shd w:val="clear" w:color="auto" w:fill="auto"/>
            <w:noWrap/>
            <w:vAlign w:val="center"/>
          </w:tcPr>
          <w:p>
            <w:pPr>
              <w:rPr>
                <w:color w:val="000000"/>
                <w:sz w:val="22"/>
                <w:szCs w:val="22"/>
              </w:rPr>
            </w:pPr>
          </w:p>
        </w:tc>
        <w:tc>
          <w:tcPr>
            <w:tcW w:w="988" w:type="dxa"/>
            <w:tcBorders>
              <w:top w:val="single" w:color="auto" w:sz="4" w:space="0"/>
              <w:left w:val="nil"/>
              <w:bottom w:val="nil"/>
              <w:right w:val="nil"/>
            </w:tcBorders>
            <w:shd w:val="clear" w:color="auto" w:fill="auto"/>
            <w:noWrap/>
            <w:vAlign w:val="center"/>
          </w:tcPr>
          <w:p>
            <w:pPr>
              <w:rPr>
                <w:color w:val="000000"/>
                <w:sz w:val="22"/>
                <w:szCs w:val="22"/>
              </w:rPr>
            </w:pPr>
          </w:p>
        </w:tc>
        <w:tc>
          <w:tcPr>
            <w:tcW w:w="1273" w:type="dxa"/>
            <w:tcBorders>
              <w:top w:val="single" w:color="auto" w:sz="4" w:space="0"/>
              <w:left w:val="nil"/>
              <w:bottom w:val="nil"/>
              <w:right w:val="nil"/>
            </w:tcBorders>
            <w:shd w:val="clear" w:color="auto" w:fill="auto"/>
            <w:noWrap/>
            <w:vAlign w:val="center"/>
          </w:tcPr>
          <w:p>
            <w:pPr>
              <w:rPr>
                <w:color w:val="000000"/>
                <w:sz w:val="22"/>
                <w:szCs w:val="22"/>
              </w:rPr>
            </w:pPr>
          </w:p>
        </w:tc>
        <w:tc>
          <w:tcPr>
            <w:tcW w:w="838" w:type="dxa"/>
            <w:tcBorders>
              <w:top w:val="single" w:color="auto" w:sz="4" w:space="0"/>
              <w:left w:val="nil"/>
              <w:bottom w:val="nil"/>
              <w:right w:val="nil"/>
            </w:tcBorders>
            <w:shd w:val="clear" w:color="auto" w:fill="auto"/>
            <w:noWrap/>
            <w:vAlign w:val="center"/>
          </w:tcPr>
          <w:p>
            <w:pPr>
              <w:rPr>
                <w:color w:val="000000"/>
                <w:sz w:val="22"/>
                <w:szCs w:val="22"/>
              </w:rPr>
            </w:pPr>
          </w:p>
        </w:tc>
        <w:tc>
          <w:tcPr>
            <w:tcW w:w="1022" w:type="dxa"/>
            <w:gridSpan w:val="2"/>
            <w:tcBorders>
              <w:top w:val="single" w:color="auto" w:sz="4" w:space="0"/>
              <w:left w:val="nil"/>
              <w:bottom w:val="nil"/>
              <w:right w:val="nil"/>
            </w:tcBorders>
            <w:shd w:val="clear" w:color="auto" w:fill="auto"/>
            <w:noWrap/>
            <w:vAlign w:val="center"/>
          </w:tcPr>
          <w:p>
            <w:pPr>
              <w:rPr>
                <w:color w:val="000000"/>
                <w:sz w:val="22"/>
                <w:szCs w:val="22"/>
              </w:rPr>
            </w:pPr>
          </w:p>
        </w:tc>
        <w:tc>
          <w:tcPr>
            <w:tcW w:w="1022" w:type="dxa"/>
            <w:gridSpan w:val="2"/>
            <w:tcBorders>
              <w:top w:val="single" w:color="auto" w:sz="4" w:space="0"/>
              <w:left w:val="nil"/>
              <w:bottom w:val="nil"/>
              <w:right w:val="nil"/>
            </w:tcBorders>
            <w:shd w:val="clear" w:color="auto" w:fill="auto"/>
            <w:noWrap/>
            <w:vAlign w:val="center"/>
          </w:tcPr>
          <w:p>
            <w:pPr>
              <w:rPr>
                <w:color w:val="000000"/>
                <w:sz w:val="22"/>
                <w:szCs w:val="22"/>
              </w:rPr>
            </w:pPr>
          </w:p>
        </w:tc>
        <w:tc>
          <w:tcPr>
            <w:tcW w:w="1202" w:type="dxa"/>
            <w:gridSpan w:val="2"/>
            <w:tcBorders>
              <w:top w:val="single" w:color="auto" w:sz="4" w:space="0"/>
              <w:left w:val="nil"/>
              <w:bottom w:val="nil"/>
              <w:right w:val="nil"/>
            </w:tcBorders>
            <w:shd w:val="clear" w:color="auto" w:fill="auto"/>
            <w:noWrap/>
            <w:vAlign w:val="center"/>
          </w:tcPr>
          <w:p>
            <w:pPr>
              <w:rPr>
                <w:color w:val="000000"/>
                <w:sz w:val="22"/>
                <w:szCs w:val="22"/>
              </w:rPr>
            </w:pPr>
          </w:p>
        </w:tc>
        <w:tc>
          <w:tcPr>
            <w:tcW w:w="712" w:type="dxa"/>
            <w:tcBorders>
              <w:top w:val="single" w:color="auto" w:sz="4" w:space="0"/>
              <w:left w:val="nil"/>
              <w:bottom w:val="nil"/>
              <w:right w:val="nil"/>
            </w:tcBorders>
            <w:shd w:val="clear" w:color="auto" w:fill="auto"/>
            <w:noWrap/>
            <w:vAlign w:val="center"/>
          </w:tcPr>
          <w:p>
            <w:pPr>
              <w:rPr>
                <w:color w:val="000000"/>
                <w:sz w:val="22"/>
                <w:szCs w:val="22"/>
              </w:rPr>
            </w:pPr>
          </w:p>
        </w:tc>
      </w:tr>
      <w:tr>
        <w:tblPrEx>
          <w:tblCellMar>
            <w:top w:w="0" w:type="dxa"/>
            <w:left w:w="108" w:type="dxa"/>
            <w:bottom w:w="0" w:type="dxa"/>
            <w:right w:w="108" w:type="dxa"/>
          </w:tblCellMar>
        </w:tblPrEx>
        <w:trPr>
          <w:trHeight w:val="231" w:hRule="atLeast"/>
        </w:trPr>
        <w:tc>
          <w:tcPr>
            <w:tcW w:w="2516" w:type="dxa"/>
            <w:gridSpan w:val="2"/>
            <w:tcBorders>
              <w:top w:val="nil"/>
              <w:left w:val="nil"/>
              <w:bottom w:val="nil"/>
              <w:right w:val="nil"/>
            </w:tcBorders>
            <w:shd w:val="clear" w:color="auto" w:fill="auto"/>
            <w:vAlign w:val="center"/>
          </w:tcPr>
          <w:p>
            <w:pPr>
              <w:textAlignment w:val="center"/>
              <w:rPr>
                <w:color w:val="000000"/>
                <w:sz w:val="20"/>
                <w:szCs w:val="20"/>
              </w:rPr>
            </w:pPr>
            <w:r>
              <w:rPr>
                <w:rFonts w:hint="eastAsia"/>
                <w:color w:val="000000"/>
                <w:sz w:val="18"/>
                <w:szCs w:val="18"/>
                <w:lang w:bidi="ar"/>
              </w:rPr>
              <w:t xml:space="preserve"> 预算单位主要领导：杨冬           </w:t>
            </w:r>
          </w:p>
        </w:tc>
        <w:tc>
          <w:tcPr>
            <w:tcW w:w="2262" w:type="dxa"/>
            <w:gridSpan w:val="2"/>
            <w:tcBorders>
              <w:top w:val="nil"/>
              <w:left w:val="nil"/>
              <w:bottom w:val="nil"/>
              <w:right w:val="nil"/>
            </w:tcBorders>
            <w:shd w:val="clear" w:color="auto" w:fill="auto"/>
            <w:vAlign w:val="center"/>
          </w:tcPr>
          <w:p>
            <w:pPr>
              <w:jc w:val="right"/>
              <w:textAlignment w:val="center"/>
              <w:rPr>
                <w:color w:val="000000"/>
                <w:sz w:val="20"/>
                <w:szCs w:val="20"/>
              </w:rPr>
            </w:pPr>
            <w:r>
              <w:rPr>
                <w:rFonts w:hint="eastAsia"/>
                <w:color w:val="000000"/>
                <w:sz w:val="18"/>
                <w:szCs w:val="18"/>
                <w:lang w:bidi="ar"/>
              </w:rPr>
              <w:t>绩效评价负责人：熊伟</w:t>
            </w:r>
          </w:p>
        </w:tc>
        <w:tc>
          <w:tcPr>
            <w:tcW w:w="1860" w:type="dxa"/>
            <w:gridSpan w:val="3"/>
            <w:tcBorders>
              <w:top w:val="nil"/>
              <w:left w:val="nil"/>
              <w:bottom w:val="nil"/>
              <w:right w:val="nil"/>
            </w:tcBorders>
            <w:shd w:val="clear" w:color="auto" w:fill="auto"/>
            <w:vAlign w:val="center"/>
          </w:tcPr>
          <w:p>
            <w:pPr>
              <w:jc w:val="right"/>
              <w:textAlignment w:val="center"/>
              <w:rPr>
                <w:color w:val="000000"/>
                <w:sz w:val="20"/>
                <w:szCs w:val="20"/>
              </w:rPr>
            </w:pPr>
            <w:r>
              <w:rPr>
                <w:rFonts w:hint="eastAsia"/>
                <w:color w:val="000000"/>
                <w:sz w:val="20"/>
                <w:szCs w:val="20"/>
                <w:lang w:bidi="ar"/>
              </w:rPr>
              <w:t>经办人：</w:t>
            </w:r>
          </w:p>
        </w:tc>
        <w:tc>
          <w:tcPr>
            <w:tcW w:w="1022" w:type="dxa"/>
            <w:gridSpan w:val="2"/>
            <w:tcBorders>
              <w:top w:val="nil"/>
              <w:left w:val="nil"/>
              <w:bottom w:val="nil"/>
              <w:right w:val="nil"/>
            </w:tcBorders>
            <w:shd w:val="clear" w:color="auto" w:fill="auto"/>
            <w:vAlign w:val="center"/>
          </w:tcPr>
          <w:p>
            <w:pPr>
              <w:jc w:val="right"/>
              <w:rPr>
                <w:color w:val="000000"/>
                <w:sz w:val="20"/>
                <w:szCs w:val="20"/>
              </w:rPr>
            </w:pPr>
            <w:r>
              <w:rPr>
                <w:rFonts w:hint="eastAsia"/>
                <w:color w:val="000000"/>
                <w:sz w:val="20"/>
                <w:szCs w:val="20"/>
              </w:rPr>
              <w:t>张元慧</w:t>
            </w:r>
          </w:p>
        </w:tc>
        <w:tc>
          <w:tcPr>
            <w:tcW w:w="1202" w:type="dxa"/>
            <w:gridSpan w:val="2"/>
            <w:tcBorders>
              <w:top w:val="nil"/>
              <w:left w:val="nil"/>
              <w:bottom w:val="nil"/>
              <w:right w:val="nil"/>
            </w:tcBorders>
            <w:shd w:val="clear" w:color="auto" w:fill="auto"/>
            <w:noWrap/>
            <w:vAlign w:val="center"/>
          </w:tcPr>
          <w:p>
            <w:pPr>
              <w:rPr>
                <w:color w:val="000000"/>
                <w:sz w:val="22"/>
                <w:szCs w:val="22"/>
              </w:rPr>
            </w:pPr>
          </w:p>
        </w:tc>
        <w:tc>
          <w:tcPr>
            <w:tcW w:w="712" w:type="dxa"/>
            <w:tcBorders>
              <w:top w:val="nil"/>
              <w:left w:val="nil"/>
              <w:bottom w:val="nil"/>
              <w:right w:val="nil"/>
            </w:tcBorders>
            <w:shd w:val="clear" w:color="auto" w:fill="auto"/>
            <w:noWrap/>
            <w:vAlign w:val="center"/>
          </w:tcPr>
          <w:p>
            <w:pPr>
              <w:rPr>
                <w:color w:val="000000"/>
                <w:sz w:val="22"/>
                <w:szCs w:val="22"/>
              </w:rPr>
            </w:pPr>
          </w:p>
        </w:tc>
      </w:tr>
    </w:tbl>
    <w:p>
      <w:pPr>
        <w:pStyle w:val="4"/>
        <w:shd w:val="clear" w:color="auto" w:fill="FFFFFF"/>
      </w:pPr>
    </w:p>
    <w:p>
      <w:pPr>
        <w:pStyle w:val="4"/>
        <w:shd w:val="clear" w:color="auto" w:fill="FFFFFF"/>
      </w:pPr>
      <w:r>
        <w:rPr>
          <w:rStyle w:val="7"/>
          <w:rFonts w:hint="eastAsia"/>
          <w:sz w:val="27"/>
          <w:szCs w:val="27"/>
        </w:rPr>
        <w:t>2.绩效自评报告或案例</w:t>
      </w:r>
    </w:p>
    <w:p>
      <w:pPr>
        <w:pStyle w:val="4"/>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本单位未委托第三方开展绩效自评。</w:t>
      </w:r>
    </w:p>
    <w:p>
      <w:pPr>
        <w:pStyle w:val="10"/>
        <w:tabs>
          <w:tab w:val="center" w:pos="4153"/>
          <w:tab w:val="left" w:pos="7275"/>
        </w:tabs>
        <w:spacing w:line="600" w:lineRule="exact"/>
        <w:ind w:firstLine="643"/>
        <w:rPr>
          <w:rFonts w:eastAsia="方正楷体_GBK"/>
          <w:b/>
          <w:color w:val="333333"/>
          <w:sz w:val="32"/>
          <w:szCs w:val="32"/>
        </w:rPr>
      </w:pPr>
      <w:r>
        <w:rPr>
          <w:rFonts w:hint="eastAsia" w:eastAsia="方正楷体_GBK"/>
          <w:b/>
          <w:bCs/>
          <w:color w:val="333333"/>
          <w:sz w:val="32"/>
          <w:szCs w:val="32"/>
        </w:rPr>
        <w:t>（三）重点绩效评价结果</w:t>
      </w:r>
    </w:p>
    <w:p>
      <w:pPr>
        <w:pStyle w:val="4"/>
        <w:spacing w:before="0" w:beforeAutospacing="0" w:after="0" w:afterAutospacing="0" w:line="600" w:lineRule="exact"/>
        <w:rPr>
          <w:rStyle w:val="7"/>
          <w:rFonts w:ascii="方正楷体_GBK" w:eastAsia="方正楷体_GBK"/>
        </w:rPr>
      </w:pPr>
      <w:r>
        <w:rPr>
          <w:rFonts w:hint="eastAsia" w:ascii="方正仿宋_GBK" w:eastAsia="方正仿宋_GBK"/>
          <w:sz w:val="32"/>
          <w:szCs w:val="32"/>
        </w:rPr>
        <w:t xml:space="preserve">本单位未委托第三方开展绩效自评。  </w:t>
      </w:r>
    </w:p>
    <w:p>
      <w:pPr>
        <w:pStyle w:val="10"/>
        <w:tabs>
          <w:tab w:val="center" w:pos="4153"/>
          <w:tab w:val="left" w:pos="7275"/>
        </w:tabs>
        <w:spacing w:line="600" w:lineRule="exact"/>
        <w:ind w:firstLine="640"/>
        <w:rPr>
          <w:rFonts w:eastAsia="方正黑体_GBK"/>
          <w:b/>
          <w:bCs/>
          <w:sz w:val="32"/>
          <w:szCs w:val="32"/>
        </w:rPr>
      </w:pPr>
      <w:r>
        <w:rPr>
          <w:rFonts w:hint="eastAsia" w:eastAsia="方正黑体_GBK"/>
          <w:sz w:val="32"/>
          <w:szCs w:val="32"/>
        </w:rPr>
        <w:t>六、专业名词解释</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（一）财政拨款收入：</w:t>
      </w:r>
      <w:r>
        <w:rPr>
          <w:rFonts w:hint="eastAsia" w:ascii="Times New Roman" w:hAnsi="Times New Roman" w:eastAsia="方正仿宋_GBK"/>
          <w:sz w:val="32"/>
          <w:szCs w:val="32"/>
        </w:rPr>
        <w:t>指本年度从本级财政部门取得的财政拨款，包括一般公共预算财政拨款和政府性基金预算财政拨款。</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（二）事业收入：</w:t>
      </w:r>
      <w:r>
        <w:rPr>
          <w:rFonts w:hint="eastAsia" w:ascii="Times New Roman" w:hAnsi="Times New Roman" w:eastAsia="方正仿宋_GBK"/>
          <w:sz w:val="32"/>
          <w:szCs w:val="32"/>
        </w:rPr>
        <w:t>指事业单位开展专业业务活动及其辅助活动取得的现金流入；事业单位收到的财政专户实际核拨的教育收费等资金在此反映。</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（三）经营收入：</w:t>
      </w:r>
      <w:r>
        <w:rPr>
          <w:rFonts w:hint="eastAsia" w:ascii="Times New Roman" w:hAnsi="Times New Roman" w:eastAsia="方正仿宋_GBK"/>
          <w:sz w:val="32"/>
          <w:szCs w:val="32"/>
        </w:rPr>
        <w:t>指事业单位在专业业务活动及其辅助活动之外开展非独立核算经营活动取得的现金流入。</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（四）其他收入：</w:t>
      </w:r>
      <w:r>
        <w:rPr>
          <w:rFonts w:hint="eastAsia" w:ascii="Times New Roman" w:hAnsi="Times New Roman"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（五）使用非财政拨款结余：</w:t>
      </w:r>
      <w:r>
        <w:rPr>
          <w:rFonts w:hint="eastAsia" w:ascii="Times New Roman" w:hAnsi="Times New Roman"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（六）年初结转和结余：</w:t>
      </w:r>
      <w:r>
        <w:rPr>
          <w:rFonts w:hint="eastAsia" w:ascii="Times New Roman" w:hAnsi="Times New Roman" w:eastAsia="方正仿宋_GBK"/>
          <w:sz w:val="32"/>
          <w:szCs w:val="32"/>
        </w:rPr>
        <w:t>指单位上年结转本年使用的基本支出结转、项目支出结转和结余、经营结余。</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（七）结余分配：</w:t>
      </w:r>
      <w:r>
        <w:rPr>
          <w:rFonts w:hint="eastAsia" w:ascii="Times New Roman" w:hAnsi="Times New Roman" w:eastAsia="方正仿宋_GBK"/>
          <w:sz w:val="32"/>
          <w:szCs w:val="32"/>
        </w:rPr>
        <w:t>指单位按照国家有关规定，缴纳所得税、提取专用基金、转入非财政拨款结余等当年结余的分配情况。</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（八）年末结转和结余：</w:t>
      </w:r>
      <w:r>
        <w:rPr>
          <w:rFonts w:hint="eastAsia" w:ascii="Times New Roman" w:hAnsi="Times New Roman" w:eastAsia="方正仿宋_GBK"/>
          <w:sz w:val="32"/>
          <w:szCs w:val="32"/>
        </w:rPr>
        <w:t>指单位结转下年的基本支出结转、项目支出结转和结余、经营结余。</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（九）基本支出：</w:t>
      </w:r>
      <w:r>
        <w:rPr>
          <w:rFonts w:hint="eastAsia" w:ascii="Times New Roman" w:hAnsi="Times New Roman"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（十）项目支出：</w:t>
      </w:r>
      <w:r>
        <w:rPr>
          <w:rFonts w:hint="eastAsia" w:ascii="Times New Roman" w:hAnsi="Times New Roman" w:eastAsia="方正仿宋_GBK"/>
          <w:sz w:val="32"/>
          <w:szCs w:val="32"/>
        </w:rPr>
        <w:t>指在基本支出之外为完成特定行政任务和事业发展目标所发生的支出。</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（十一）经营支出：</w:t>
      </w:r>
      <w:r>
        <w:rPr>
          <w:rFonts w:hint="eastAsia" w:ascii="Times New Roman" w:hAnsi="Times New Roman" w:eastAsia="方正仿宋_GBK"/>
          <w:sz w:val="32"/>
          <w:szCs w:val="32"/>
        </w:rPr>
        <w:t>指事业单位在专业业务活动及其辅助活动之外开展非独立核算经营活动发生的支出。</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（十二）“三公”经费：</w:t>
      </w:r>
      <w:r>
        <w:rPr>
          <w:rFonts w:hint="eastAsia" w:ascii="Times New Roman" w:hAnsi="Times New Roman"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（十三）机关运行经费：</w:t>
      </w:r>
      <w:r>
        <w:rPr>
          <w:rFonts w:hint="eastAsia" w:ascii="Times New Roman" w:hAnsi="Times New Roman"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（十四）工资福利支出（支出经济分类科目类级）：</w:t>
      </w:r>
      <w:r>
        <w:rPr>
          <w:rFonts w:hint="eastAsia" w:ascii="Times New Roman" w:hAnsi="Times New Roman" w:eastAsia="方正仿宋_GBK"/>
          <w:sz w:val="32"/>
          <w:szCs w:val="32"/>
        </w:rPr>
        <w:t>反映单位开支的在职职工和编制外长期聘用人员的各类劳动报酬，以及为上述人员缴纳的各项社会保险费等。</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（十五）商品和服务支出（支出经济分类科目类级）：</w:t>
      </w:r>
      <w:r>
        <w:rPr>
          <w:rFonts w:hint="eastAsia" w:ascii="Times New Roman" w:hAnsi="Times New Roman" w:eastAsia="方正仿宋_GBK"/>
          <w:sz w:val="32"/>
          <w:szCs w:val="32"/>
        </w:rPr>
        <w:t>反映单位购买商品和服务的支出（不包括用于购置固定资产的支出、战略性和应急储备支出）。</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（十六）对个人和家庭的补助（支出经济分类科目类级）：</w:t>
      </w:r>
      <w:r>
        <w:rPr>
          <w:rFonts w:hint="eastAsia" w:ascii="Times New Roman" w:hAnsi="Times New Roman" w:eastAsia="方正仿宋_GBK"/>
          <w:sz w:val="32"/>
          <w:szCs w:val="32"/>
        </w:rPr>
        <w:t>反映用于对个人和家庭的补助支出。</w:t>
      </w:r>
    </w:p>
    <w:p>
      <w:pPr>
        <w:pStyle w:val="4"/>
        <w:shd w:val="clear" w:color="auto" w:fill="FFFFFF"/>
        <w:spacing w:line="600" w:lineRule="exact"/>
        <w:rPr>
          <w:rFonts w:ascii="Times New Roman" w:hAnsi="Times New Roman" w:eastAsia="方正仿宋_GBK"/>
          <w:sz w:val="32"/>
          <w:szCs w:val="32"/>
        </w:rPr>
      </w:pPr>
      <w:r>
        <w:rPr>
          <w:rFonts w:hint="eastAsia" w:ascii="Times New Roman" w:hAnsi="Times New Roman" w:eastAsia="方正楷体_GBK" w:cs="Times New Roman"/>
          <w:b/>
          <w:bCs/>
          <w:color w:val="333333"/>
          <w:kern w:val="2"/>
          <w:sz w:val="32"/>
          <w:szCs w:val="32"/>
        </w:rPr>
        <w:t>（十七）其他资本性支出（支出经济分类科目类级）：</w:t>
      </w:r>
      <w:r>
        <w:rPr>
          <w:rFonts w:hint="eastAsia" w:ascii="Times New Roman" w:hAnsi="Times New Roman"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10"/>
        <w:tabs>
          <w:tab w:val="center" w:pos="4153"/>
          <w:tab w:val="left" w:pos="7275"/>
        </w:tabs>
        <w:spacing w:line="600" w:lineRule="exact"/>
        <w:ind w:firstLine="640"/>
        <w:rPr>
          <w:rFonts w:eastAsia="方正黑体_GBK"/>
          <w:sz w:val="32"/>
          <w:szCs w:val="32"/>
        </w:rPr>
      </w:pPr>
      <w:r>
        <w:rPr>
          <w:rFonts w:hint="eastAsia" w:eastAsia="方正黑体_GBK"/>
          <w:sz w:val="32"/>
          <w:szCs w:val="32"/>
        </w:rPr>
        <w:t>七、决算公开联系方式及信息反馈渠道</w:t>
      </w:r>
    </w:p>
    <w:p>
      <w:pPr>
        <w:pStyle w:val="4"/>
        <w:shd w:val="clear" w:color="auto" w:fill="FFFFFF"/>
        <w:spacing w:line="600" w:lineRule="exact"/>
        <w:rPr>
          <w:rFonts w:ascii="方正仿宋_GBK" w:eastAsia="方正仿宋_GBK"/>
          <w:sz w:val="32"/>
          <w:szCs w:val="32"/>
        </w:rPr>
      </w:pPr>
      <w:r>
        <w:rPr>
          <w:rFonts w:hint="eastAsia" w:ascii="方正仿宋_GBK" w:eastAsia="方正仿宋_GBK"/>
          <w:sz w:val="32"/>
          <w:szCs w:val="32"/>
        </w:rPr>
        <w:t>本单位决算公开信息反馈和联系方式：联系人：023-48480363</w:t>
      </w:r>
    </w:p>
    <w:p>
      <w:pPr>
        <w:pStyle w:val="4"/>
        <w:shd w:val="clear" w:color="auto" w:fill="FFFFFF"/>
        <w:spacing w:line="600" w:lineRule="exact"/>
        <w:rPr>
          <w:rFonts w:ascii="Times New Roman" w:hAnsi="Times New Roman" w:eastAsia="方正仿宋_GBK"/>
          <w:sz w:val="32"/>
          <w:szCs w:val="32"/>
        </w:rPr>
      </w:pP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EzYWYxYTY4NzQ3ZjAxZTg4Njg0OTUxNTYxM2Y5ZGQifQ=="/>
  </w:docVars>
  <w:rsids>
    <w:rsidRoot w:val="00FB7C55"/>
    <w:rsid w:val="00345D2E"/>
    <w:rsid w:val="004C700E"/>
    <w:rsid w:val="0064392E"/>
    <w:rsid w:val="007A316D"/>
    <w:rsid w:val="007C62F7"/>
    <w:rsid w:val="00940EDA"/>
    <w:rsid w:val="0098270D"/>
    <w:rsid w:val="009A3B99"/>
    <w:rsid w:val="00AE1CF8"/>
    <w:rsid w:val="00C7293F"/>
    <w:rsid w:val="00D950E6"/>
    <w:rsid w:val="00FB7C55"/>
    <w:rsid w:val="1781079D"/>
    <w:rsid w:val="23200A82"/>
    <w:rsid w:val="492C3F14"/>
    <w:rsid w:val="62E4022C"/>
    <w:rsid w:val="781F4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spacing w:before="100" w:beforeAutospacing="1" w:after="100" w:afterAutospacing="1"/>
    </w:pPr>
  </w:style>
  <w:style w:type="character" w:styleId="7">
    <w:name w:val="Strong"/>
    <w:basedOn w:val="6"/>
    <w:qFormat/>
    <w:uiPriority w:val="22"/>
    <w:rPr>
      <w:b/>
      <w:bCs/>
    </w:rPr>
  </w:style>
  <w:style w:type="character" w:customStyle="1" w:styleId="8">
    <w:name w:val="页眉 Char"/>
    <w:basedOn w:val="6"/>
    <w:link w:val="3"/>
    <w:uiPriority w:val="99"/>
    <w:rPr>
      <w:rFonts w:ascii="宋体" w:hAnsi="宋体" w:cs="宋体"/>
      <w:sz w:val="18"/>
      <w:szCs w:val="18"/>
    </w:rPr>
  </w:style>
  <w:style w:type="character" w:customStyle="1" w:styleId="9">
    <w:name w:val="页脚 Char"/>
    <w:basedOn w:val="6"/>
    <w:link w:val="2"/>
    <w:uiPriority w:val="99"/>
    <w:rPr>
      <w:rFonts w:ascii="宋体" w:hAnsi="宋体" w:cs="宋体"/>
      <w:sz w:val="18"/>
      <w:szCs w:val="18"/>
    </w:rPr>
  </w:style>
  <w:style w:type="paragraph" w:styleId="10">
    <w:name w:val="List Paragraph"/>
    <w:basedOn w:val="1"/>
    <w:qFormat/>
    <w:uiPriority w:val="34"/>
    <w:pPr>
      <w:widowControl w:val="0"/>
      <w:ind w:firstLine="420" w:firstLineChars="200"/>
      <w:jc w:val="both"/>
    </w:pPr>
    <w:rPr>
      <w:rFonts w:ascii="Times New Roman" w:hAnsi="Times New Roman" w:cs="Times New Roman"/>
      <w:kern w:val="2"/>
      <w:sz w:val="21"/>
      <w:szCs w:val="22"/>
    </w:rPr>
  </w:style>
  <w:style w:type="paragraph" w:customStyle="1" w:styleId="11">
    <w:name w:val="普通(网站) Char"/>
    <w:basedOn w:val="1"/>
    <w:qFormat/>
    <w:uiPriority w:val="0"/>
    <w:pPr>
      <w:spacing w:before="100" w:beforeAutospacing="1" w:after="100" w:afterAutospacing="1"/>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4390</Words>
  <Characters>4895</Characters>
  <Lines>37</Lines>
  <Paragraphs>10</Paragraphs>
  <TotalTime>16</TotalTime>
  <ScaleCrop>false</ScaleCrop>
  <LinksUpToDate>false</LinksUpToDate>
  <CharactersWithSpaces>4967</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2022-08-31T10:59:00Z</dcterms:created>
  <dc:creator>黄强</dc:creator>
  <cp:lastModifiedBy>陈列</cp:lastModifiedBy>
  <dcterms:modified xsi:type="dcterms:W3CDTF">2022-09-01T14:58:40Z</dcterms:modified>
  <dc:title>公开报告模板</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6775A447355C4B37AE647AB587F70EBB</vt:lpwstr>
  </property>
</Properties>
</file>