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eastAsia"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重庆市綦江区镇紫学校</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jc w:val="center"/>
        <w:textAlignment w:val="auto"/>
        <w:rPr>
          <w:rFonts w:hint="eastAsia"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2020年度部门决算情况说明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sz w:val="18"/>
          <w:szCs w:val="18"/>
          <w:shd w:val="clear" w:color="auto" w:fill="FFFFFF"/>
        </w:rPr>
        <w:t> </w:t>
      </w: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部门基本情况</w:t>
      </w:r>
    </w:p>
    <w:p>
      <w:pPr>
        <w:pStyle w:val="3"/>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600" w:lineRule="exact"/>
        <w:ind w:right="75" w:rightChars="0"/>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（一）职能职责</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实施九年义务教育，促进基础教育发展。小学/初中学历教育（相关社会服务）。</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（二）机构设置</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270" w:firstLineChars="100"/>
        <w:textAlignment w:val="auto"/>
        <w:rPr>
          <w:rFonts w:hint="eastAsia" w:ascii="宋体" w:hAnsi="宋体" w:eastAsia="宋体" w:cs="宋体"/>
          <w:sz w:val="27"/>
          <w:szCs w:val="27"/>
          <w:shd w:val="clear" w:color="auto" w:fill="FFFFFF"/>
        </w:rPr>
      </w:pPr>
      <w:r>
        <w:rPr>
          <w:rFonts w:hint="eastAsia" w:ascii="宋体" w:hAnsi="宋体" w:eastAsia="宋体" w:cs="宋体"/>
          <w:color w:val="FF0000"/>
          <w:sz w:val="27"/>
          <w:szCs w:val="27"/>
          <w:shd w:val="clear" w:color="auto" w:fill="FFFFFF"/>
        </w:rPr>
        <w:t> </w:t>
      </w:r>
      <w:r>
        <w:rPr>
          <w:rFonts w:hint="eastAsia" w:ascii="Times New Roman" w:hAnsi="Times New Roman" w:eastAsia="方正仿宋_GBK" w:cs="Times New Roman"/>
          <w:kern w:val="2"/>
          <w:sz w:val="32"/>
          <w:szCs w:val="32"/>
          <w:lang w:val="en-US" w:eastAsia="zh-CN" w:bidi="ar-SA"/>
        </w:rPr>
        <w:t xml:space="preserve">按照《重庆市綦江区机构编制委员会关于优化整合部分中小学校的通知》（綦编办〔2015〕80号）文件，撤销綦江区镇紫小学和綦江区镇紫中学，将其合并为九年一贯制学校，设置为重庆市綦江区镇紫学校。  </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（三）单位构成</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Times New Roman" w:hAnsi="Times New Roman" w:eastAsia="方正仿宋_GBK" w:cs="Times New Roman"/>
          <w:kern w:val="2"/>
          <w:sz w:val="32"/>
          <w:szCs w:val="32"/>
          <w:lang w:val="en-US" w:eastAsia="zh-CN" w:bidi="ar-SA"/>
        </w:rPr>
      </w:pPr>
      <w:r>
        <w:rPr>
          <w:rStyle w:val="6"/>
          <w:rFonts w:hint="eastAsia" w:ascii="宋体" w:hAnsi="宋体" w:eastAsia="宋体" w:cs="宋体"/>
          <w:sz w:val="27"/>
          <w:szCs w:val="27"/>
          <w:shd w:val="clear" w:color="auto" w:fill="FFFFFF"/>
        </w:rPr>
        <w:t xml:space="preserve">  </w:t>
      </w:r>
      <w:r>
        <w:rPr>
          <w:rFonts w:hint="eastAsia" w:ascii="Times New Roman" w:hAnsi="Times New Roman" w:eastAsia="方正仿宋_GBK" w:cs="Times New Roman"/>
          <w:kern w:val="2"/>
          <w:sz w:val="32"/>
          <w:szCs w:val="32"/>
          <w:lang w:val="en-US" w:eastAsia="zh-CN" w:bidi="ar-SA"/>
        </w:rPr>
        <w:t xml:space="preserve"> 从预算单位构成看，无纳入本部门2020年度决算编制的二级预算单位。</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二、部门决算情况说明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（一）收入支出决算总体情况说明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1.总体情况。2020年度收入总计2,136.26万元，支出总计2,136.26万元。收支较上年决算数 增加65.83万元、 增长 3.2%，主要原因是本年支出合计增加118.05万元，其中人员经费增加82.82万元，属于工资绩效等正常增长，公用经费减少33.88万元，主要是因为疫情原因，减少了各种不必要的开支，项目支出增加69.11万元，其中包括附设幼儿园户外场地软化、购玩具设备35万元，修复堡坎围墙29.5万元，中学部、小学部室内墙及走廊维修24万元等，年末结转和结余减少52.22万元，主要是今年预算合理，各项经费支出及时。</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收入情况。2020年度收入合计1,799.93万元，较上年决算数增加72.74万元，增长4.2%，主要原因是一般公共预算财政拨款增加75.23万元，事业收入减少2.5万元，主要是幼儿学生人数减少，导致收入减少。其中：财政拨款收入1,794.57万元，占99.7%；事业收入5.36万元，占0.3%。此外，年初结转和结余336.33万元。</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支出情况。2020年度支出合计2,013.54万元，较上年决算数增加118.05万元，增长6.2%，主要原因是人员经费支出增加82.82万元，属于工资绩效等正常增长，公用经费支出减少33.88万元，主要是因为疫情原因，减少了各种不必要的开支，项目支出增加69.11万元，其中包括附设幼儿园户外场地软化、购玩具设备35万元，修复堡坎围墙29.5万元，中学部、小学部室内墙及走廊维修24万元等。其中：基本支出 1,780.19万元，占88.4%；项目支出233.35万元，占11.6%。</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4.结转结余情况。2020年度年末结转和结余122.72万元，较上年决算数减少52.22万元，下降29.9%，主要原因是今年预算合理，各项经费支出及时。</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（二）财政拨款收入支出决算总体情况说明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Times New Roman" w:hAnsi="Times New Roman" w:eastAsia="方正仿宋_GBK" w:cs="Times New Roman"/>
          <w:kern w:val="2"/>
          <w:sz w:val="32"/>
          <w:szCs w:val="32"/>
          <w:lang w:val="en-US" w:eastAsia="zh-CN" w:bidi="ar-SA"/>
        </w:rPr>
      </w:pPr>
      <w:r>
        <w:rPr>
          <w:rFonts w:hint="eastAsia" w:ascii="宋体" w:hAnsi="宋体" w:eastAsia="宋体" w:cs="宋体"/>
          <w:sz w:val="27"/>
          <w:szCs w:val="27"/>
          <w:shd w:val="clear" w:color="auto" w:fill="FFFFFF"/>
        </w:rPr>
        <w:t> </w:t>
      </w:r>
      <w:r>
        <w:rPr>
          <w:rFonts w:hint="eastAsia" w:ascii="Times New Roman" w:hAnsi="Times New Roman" w:eastAsia="方正仿宋_GBK" w:cs="Times New Roman"/>
          <w:kern w:val="2"/>
          <w:sz w:val="32"/>
          <w:szCs w:val="32"/>
          <w:lang w:val="en-US" w:eastAsia="zh-CN" w:bidi="ar-SA"/>
        </w:rPr>
        <w:t xml:space="preserve"> 2020年度财政拨款收、支总计2,130.90万元。与2019年相比，财政拨款收、支总计各增加68.32万 元，增长3.3%。主要原因是人员经费增加82.82万元，属于工资绩效等正常增长，公用经费减少33.88万元，主要是因为疫情原因，减少了各种不必要的开支，项目支出增加69.11万元，其中包括附设幼儿园户外场地软化、购玩具设备35万元，修复堡坎围墙29.5万元，中学部、小学部室内墙及走廊维修24万元等，年末结转和结余减少52.22万元，主要是今年预算合理，各项经费支出及时。</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（三）一般公共预算财政拨款支出决算情况说明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收入情况。2020年度一般公共预算财政拨款收入1,794.57万元，较上年决算数增加75.23万元，增长4.4%。主要原因是人员经费收入增加82.82万元，属于工资绩效等正常增长，公用经费收入减少33.88万元，主要是因为疫情原因，减少了各种不必要的开支，项目收入增加69.11万元，其中包括附设幼儿园户外场地软化、购玩具设备35万元，修复堡坎围墙29.5万元，中学部、小学部室内墙及走廊维修24万元等。较年初预算数 增加264.43万元，增长17.3%。主要原因是人员调动做了调整预算和增加了项目资金。此外，年初财政拨款结转和结余336.33万元。</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支出情况。2020年度一般公共预算财政拨款支出2,012.98万元，较上年决算数增加125.34万元，增长6.6%。主要原因是人员经费支出增加82.82万元，属于工资绩效等正常增长，公用经费支出减少33.88万元，主要是因为疫情原因，减少了各种不必要的开支，项目支出增加69.11万元，其中包括附设幼儿园户外场地软化、购玩具设备35万元，修复堡坎围墙29.5万元，中学部、小学部室内墙及走廊维修24万元等。较年初预算数 增加307.90万 元，增长18.1%。主要原因是人员调动做了调整预算和增加了项目资金。</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3.结转结余情况。2020年度年末一般公共预算财政拨款结转和结余117.92万元，较上年决算数减少57.02万元，下降32.6%，主要原因是今年支付及时，减少结转结余。</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4.比较情况。本部门2020年度一般公共预算财政拨款支出主要用于以下几个方面： </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（1）教育支出1,555.17万元，占77.3%，较年初预算数增加265.56万 元，增长20.6%，主要原因是人员变动，做了调整预算。</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（2）社会保障与就业支出290.14万元，占14.4%，较年初预算数增加49.18万 元，增长20.4%，主要原因是人员变动，做了调整预算。</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（3）卫生健康支出84.40万元，占4.2%，较年初预算数减少5.93万元，下降6.6%，主要原因是人员减少。</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（4）住房保障支出83.26万元，占4.1%，较年初预算数减少0.92万元，下降1.1%，主要原因是人员减少。</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（四）一般公共预算财政拨款基本支出决算情况说明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宋体" w:hAnsi="宋体" w:eastAsia="宋体" w:cs="宋体"/>
          <w:sz w:val="27"/>
          <w:szCs w:val="27"/>
          <w:shd w:val="clear" w:color="auto" w:fill="FFFFFF"/>
        </w:rPr>
        <w:t> </w:t>
      </w:r>
      <w:r>
        <w:rPr>
          <w:rFonts w:hint="eastAsia" w:ascii="Times New Roman" w:hAnsi="Times New Roman" w:eastAsia="方正仿宋_GBK" w:cs="Times New Roman"/>
          <w:kern w:val="2"/>
          <w:sz w:val="32"/>
          <w:szCs w:val="32"/>
          <w:lang w:val="en-US" w:eastAsia="zh-CN" w:bidi="ar-SA"/>
        </w:rPr>
        <w:t xml:space="preserve"> 2020年度一般公共财政拨款基本支出1,780.19万元。其中：人员经费1,700.40万元，较上年决算数增加82.82万 元，增长5.1%，主要原因是人员薪金正常变动，和人员变动调整预算。人员经费用途主要包括职工的工资福利支出。公用经费79.79万元，较上年决算数减少33.88万元，下降29.8%，主要原因是疫情原因，减少不必要的开支。公用经费用途主要包括办公费、印刷费、水费、电费、邮电费、差旅费、维修费、会议费、培训费等。</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（五）政府性基金预算收支决算情况说明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本部门2020年度无政府性基金预算财政拨款收支。</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Times New Roman" w:hAnsi="Times New Roman" w:eastAsia="方正仿宋_GBK" w:cs="Times New Roman"/>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（六）国有资本经营预算财政拨款支出决算情况说明。</w:t>
      </w:r>
      <w:r>
        <w:rPr>
          <w:rFonts w:hint="eastAsia" w:ascii="方正楷体_GBK" w:hAnsi="方正楷体_GBK" w:eastAsia="方正楷体_GBK" w:cs="方正楷体_GBK"/>
          <w:kern w:val="2"/>
          <w:sz w:val="32"/>
          <w:szCs w:val="32"/>
          <w:lang w:val="en-US" w:eastAsia="zh-CN" w:bidi="ar-SA"/>
        </w:rPr>
        <w:br w:type="textWrapping"/>
      </w:r>
      <w:r>
        <w:rPr>
          <w:rFonts w:hint="eastAsia" w:ascii="宋体" w:hAnsi="宋体" w:eastAsia="宋体" w:cs="宋体"/>
          <w:sz w:val="27"/>
          <w:szCs w:val="27"/>
          <w:shd w:val="clear" w:color="auto" w:fill="FFFFFF"/>
        </w:rPr>
        <w:t> </w:t>
      </w:r>
      <w:r>
        <w:rPr>
          <w:rFonts w:hint="eastAsia" w:ascii="Times New Roman" w:hAnsi="Times New Roman" w:eastAsia="方正仿宋_GBK" w:cs="Times New Roman"/>
          <w:kern w:val="2"/>
          <w:sz w:val="32"/>
          <w:szCs w:val="32"/>
          <w:lang w:val="en-US" w:eastAsia="zh-CN" w:bidi="ar-SA"/>
        </w:rPr>
        <w:t xml:space="preserve">  本部门2020年度无国有资本经营预算财政拨款支出。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三、“三公”经费情况说明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（一）“三公”经费支出总体情况说明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本单位2020年度未发生“三公”经费支出。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（二）“三公”经费分项支出情况</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本单位2020年度未发生因公出国（境）费用支出。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本单位2020年度未发生公务车购置费支出。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本单位2020年度未发生公务车运行维护支出。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本单位2020年度未发生公务接待费支出。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（三）“三公”经费实物量情况</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四、其他需要说明的事项</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（一）机关运行经费情况说明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按照部门决算列报口径，我单位不在机关运行经费统计范围之内。</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本年度会议费支出1.50万元，较上年决算数减少0.50万元，下降25%，主要原因是疫情影响，减少会议次数，会议费相应减少。本年度培训费支出 11.85万元，较上年决算数减少2.41万元，下降16.9%，主要原因是疫情影响，减少培训次数，培训费相应减少。</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（二）国有资产占用情况说明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（三）政府采购支出情况说明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560" w:firstLineChars="200"/>
        <w:textAlignment w:val="auto"/>
        <w:rPr>
          <w:rFonts w:hint="eastAsia" w:ascii="Times New Roman" w:hAnsi="Times New Roman" w:eastAsia="方正仿宋_GBK" w:cs="Times New Roman"/>
          <w:spacing w:val="-20"/>
          <w:kern w:val="2"/>
          <w:sz w:val="32"/>
          <w:szCs w:val="32"/>
          <w:lang w:val="en-US" w:eastAsia="zh-CN" w:bidi="ar-SA"/>
        </w:rPr>
      </w:pPr>
      <w:r>
        <w:rPr>
          <w:rFonts w:hint="eastAsia" w:ascii="Times New Roman" w:hAnsi="Times New Roman" w:eastAsia="方正仿宋_GBK" w:cs="Times New Roman"/>
          <w:spacing w:val="-20"/>
          <w:kern w:val="2"/>
          <w:sz w:val="32"/>
          <w:szCs w:val="32"/>
          <w:lang w:val="en-US" w:eastAsia="zh-CN" w:bidi="ar-SA"/>
        </w:rPr>
        <w:t xml:space="preserve"> 2020年度我单位未发生政府采购事项，无相关经费支出。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五、预算绩效管理情况说明</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（一）预算绩效管理工作开展情况</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根据预算绩效管理要求，本部门对部门整体10个项目开展了绩效自评，其中，以填报目标自评表形式开展自评10项，涉及资金206.21万元，从评价情况来看，全部项目评价都是优，各个项目管理规范合理。</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（二）绩效自评结果</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Style w:val="6"/>
          <w:rFonts w:hint="eastAsia" w:ascii="宋体" w:hAnsi="宋体" w:eastAsia="宋体" w:cs="宋体"/>
          <w:sz w:val="27"/>
          <w:szCs w:val="27"/>
          <w:shd w:val="clear" w:color="auto" w:fill="FFFFFF"/>
        </w:rPr>
      </w:pPr>
      <w:r>
        <w:rPr>
          <w:rStyle w:val="6"/>
          <w:rFonts w:hint="eastAsia" w:ascii="宋体" w:hAnsi="宋体" w:eastAsia="宋体" w:cs="宋体"/>
          <w:sz w:val="27"/>
          <w:szCs w:val="27"/>
          <w:shd w:val="clear" w:color="auto" w:fill="FFFFFF"/>
        </w:rPr>
        <w:t>1.绩效自评表</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详见附件：</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1.2020年度部门（单位）项目支出绩效自评汇总表</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2.2020年度区级预算单位项目支出绩效自评表</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Style w:val="6"/>
          <w:rFonts w:hint="eastAsia" w:ascii="宋体" w:hAnsi="宋体" w:eastAsia="宋体" w:cs="宋体"/>
          <w:sz w:val="27"/>
          <w:szCs w:val="27"/>
          <w:shd w:val="clear" w:color="auto" w:fill="FFFFFF"/>
        </w:rPr>
        <w:t>2.绩效自评报告或案例</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本部门无委托第三方开展绩效自评的项目。</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楷体_GBK" w:hAnsi="方正楷体_GBK" w:eastAsia="方正楷体_GBK" w:cs="方正楷体_GBK"/>
          <w:kern w:val="2"/>
          <w:sz w:val="32"/>
          <w:szCs w:val="32"/>
          <w:lang w:val="en-US" w:eastAsia="zh-CN" w:bidi="ar-SA"/>
        </w:rPr>
      </w:pPr>
      <w:r>
        <w:rPr>
          <w:rFonts w:hint="eastAsia" w:ascii="方正楷体_GBK" w:hAnsi="方正楷体_GBK" w:eastAsia="方正楷体_GBK" w:cs="方正楷体_GBK"/>
          <w:kern w:val="2"/>
          <w:sz w:val="32"/>
          <w:szCs w:val="32"/>
          <w:lang w:val="en-US" w:eastAsia="zh-CN" w:bidi="ar-SA"/>
        </w:rPr>
        <w:t>（三）重点绩效评价结果</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本部门无市财政局委托第三方对本部门政策或项目开展重点绩效评价的项目。</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六、专业名词解释</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（一）财政拨款收入：</w:t>
      </w:r>
      <w:r>
        <w:rPr>
          <w:rFonts w:hint="eastAsia" w:ascii="Times New Roman" w:hAnsi="Times New Roman" w:eastAsia="方正仿宋_GBK" w:cs="Times New Roman"/>
          <w:kern w:val="2"/>
          <w:sz w:val="32"/>
          <w:szCs w:val="32"/>
          <w:lang w:val="en-US" w:eastAsia="zh-CN" w:bidi="ar-SA"/>
        </w:rPr>
        <w:t>指本年度从本级财政部门取得的财政拨款，包括一般公共预算财政拨款和政府性基金预算财政拨款。</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（二）事业收入：</w:t>
      </w:r>
      <w:r>
        <w:rPr>
          <w:rFonts w:hint="eastAsia" w:ascii="Times New Roman" w:hAnsi="Times New Roman" w:eastAsia="方正仿宋_GBK" w:cs="Times New Roman"/>
          <w:kern w:val="2"/>
          <w:sz w:val="32"/>
          <w:szCs w:val="32"/>
          <w:lang w:val="en-US" w:eastAsia="zh-CN" w:bidi="ar-SA"/>
        </w:rPr>
        <w:t>指事业单位开展专业业务活动及其辅助活动取得的现金流入；事业单位收到的财政专户实际核拨的教育收费等资金在此反映。</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（三）经营收入：</w:t>
      </w:r>
      <w:r>
        <w:rPr>
          <w:rFonts w:hint="eastAsia" w:ascii="Times New Roman" w:hAnsi="Times New Roman" w:eastAsia="方正仿宋_GBK" w:cs="Times New Roman"/>
          <w:kern w:val="2"/>
          <w:sz w:val="32"/>
          <w:szCs w:val="32"/>
          <w:lang w:val="en-US" w:eastAsia="zh-CN" w:bidi="ar-SA"/>
        </w:rPr>
        <w:t>指事业单位在专业业务活动及其辅助活动之外开展非独立核算经营活动取得的现金流入。</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（四）其他收入：</w:t>
      </w:r>
      <w:r>
        <w:rPr>
          <w:rFonts w:hint="eastAsia" w:ascii="Times New Roman" w:hAnsi="Times New Roman" w:eastAsia="方正仿宋_GBK" w:cs="Times New Roman"/>
          <w:kern w:val="2"/>
          <w:sz w:val="32"/>
          <w:szCs w:val="32"/>
          <w:lang w:val="en-US" w:eastAsia="zh-CN" w:bidi="ar-SA"/>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（五）使用非财政拨款结余：</w:t>
      </w:r>
      <w:r>
        <w:rPr>
          <w:rFonts w:hint="eastAsia" w:ascii="Times New Roman" w:hAnsi="Times New Roman" w:eastAsia="方正仿宋_GBK" w:cs="Times New Roman"/>
          <w:kern w:val="2"/>
          <w:sz w:val="32"/>
          <w:szCs w:val="32"/>
          <w:lang w:val="en-US" w:eastAsia="zh-CN" w:bidi="ar-SA"/>
        </w:rPr>
        <w:t>指单位在当年的“财政拨款收入”、“事业收入”、“经营收入”、“其他收入”等不足以安排当年支出的情况下，使用以前年度积累的非财政拨款结余弥补本年度收支缺口的资金。</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（六）年初结转和结余：</w:t>
      </w:r>
      <w:r>
        <w:rPr>
          <w:rFonts w:hint="eastAsia" w:ascii="Times New Roman" w:hAnsi="Times New Roman" w:eastAsia="方正仿宋_GBK" w:cs="Times New Roman"/>
          <w:kern w:val="2"/>
          <w:sz w:val="32"/>
          <w:szCs w:val="32"/>
          <w:lang w:val="en-US" w:eastAsia="zh-CN" w:bidi="ar-SA"/>
        </w:rPr>
        <w:t>指单位上年结转本年使用的基本支出结转、项目支出结转和结余、经营结余。</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（七）结余分配：</w:t>
      </w:r>
      <w:r>
        <w:rPr>
          <w:rFonts w:hint="eastAsia" w:ascii="Times New Roman" w:hAnsi="Times New Roman" w:eastAsia="方正仿宋_GBK" w:cs="Times New Roman"/>
          <w:kern w:val="2"/>
          <w:sz w:val="32"/>
          <w:szCs w:val="32"/>
          <w:lang w:val="en-US" w:eastAsia="zh-CN" w:bidi="ar-SA"/>
        </w:rPr>
        <w:t>指单位按照国家有关规定，缴纳所得税、提取专用基金、转入非财政拨款结余等当年结余的分配情况。</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（八）年末结转和结余：</w:t>
      </w:r>
      <w:r>
        <w:rPr>
          <w:rFonts w:hint="eastAsia" w:ascii="Times New Roman" w:hAnsi="Times New Roman" w:eastAsia="方正仿宋_GBK" w:cs="Times New Roman"/>
          <w:kern w:val="2"/>
          <w:sz w:val="32"/>
          <w:szCs w:val="32"/>
          <w:lang w:val="en-US" w:eastAsia="zh-CN" w:bidi="ar-SA"/>
        </w:rPr>
        <w:t>指单位结转下年的基本支出结转、项目支出结转和结余、经营结余。</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（九）基本支出：</w:t>
      </w:r>
      <w:r>
        <w:rPr>
          <w:rFonts w:hint="eastAsia" w:ascii="Times New Roman" w:hAnsi="Times New Roman" w:eastAsia="方正仿宋_GBK" w:cs="Times New Roman"/>
          <w:kern w:val="2"/>
          <w:sz w:val="32"/>
          <w:szCs w:val="32"/>
          <w:lang w:val="en-US" w:eastAsia="zh-CN" w:bidi="ar-SA"/>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（十）项目支出：</w:t>
      </w:r>
      <w:r>
        <w:rPr>
          <w:rFonts w:hint="eastAsia" w:ascii="Times New Roman" w:hAnsi="Times New Roman" w:eastAsia="方正仿宋_GBK" w:cs="Times New Roman"/>
          <w:kern w:val="2"/>
          <w:sz w:val="32"/>
          <w:szCs w:val="32"/>
          <w:lang w:val="en-US" w:eastAsia="zh-CN" w:bidi="ar-SA"/>
        </w:rPr>
        <w:t>指在基本支出之外为完成特定行政任务和事业发展目标所发生的支出。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（十一）经营支出：</w:t>
      </w:r>
      <w:r>
        <w:rPr>
          <w:rFonts w:hint="eastAsia" w:ascii="Times New Roman" w:hAnsi="Times New Roman" w:eastAsia="方正仿宋_GBK" w:cs="Times New Roman"/>
          <w:kern w:val="2"/>
          <w:sz w:val="32"/>
          <w:szCs w:val="32"/>
          <w:lang w:val="en-US" w:eastAsia="zh-CN" w:bidi="ar-SA"/>
        </w:rPr>
        <w:t>指事业单位在专业业务活动及其辅助活动之外开展非独立核算经营活动发生的支出。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（十二）“三公”经费：</w:t>
      </w:r>
      <w:r>
        <w:rPr>
          <w:rFonts w:hint="eastAsia" w:ascii="Times New Roman" w:hAnsi="Times New Roman" w:eastAsia="方正仿宋_GBK" w:cs="Times New Roman"/>
          <w:kern w:val="2"/>
          <w:sz w:val="32"/>
          <w:szCs w:val="32"/>
          <w:lang w:val="en-US" w:eastAsia="zh-CN" w:bidi="ar-SA"/>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（十三）机关运行经费：</w:t>
      </w:r>
      <w:r>
        <w:rPr>
          <w:rFonts w:hint="eastAsia" w:ascii="Times New Roman" w:hAnsi="Times New Roman" w:eastAsia="方正仿宋_GBK" w:cs="Times New Roman"/>
          <w:kern w:val="2"/>
          <w:sz w:val="32"/>
          <w:szCs w:val="32"/>
          <w:lang w:val="en-US" w:eastAsia="zh-CN" w:bidi="ar-SA"/>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（十四）工资福利支出（支出经济分类科目类级）：</w:t>
      </w:r>
      <w:r>
        <w:rPr>
          <w:rFonts w:hint="eastAsia" w:ascii="Times New Roman" w:hAnsi="Times New Roman" w:eastAsia="方正仿宋_GBK" w:cs="Times New Roman"/>
          <w:kern w:val="2"/>
          <w:sz w:val="32"/>
          <w:szCs w:val="32"/>
          <w:lang w:val="en-US" w:eastAsia="zh-CN" w:bidi="ar-SA"/>
        </w:rPr>
        <w:t>反映单位开支的在职职工和编制外长期聘用人员的各类劳动报酬，以及为上述人员缴纳的各项社会保险费等。</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（十五）商品和服务支出（支出经济分类科目类级）：</w:t>
      </w:r>
      <w:r>
        <w:rPr>
          <w:rFonts w:hint="eastAsia" w:ascii="Times New Roman" w:hAnsi="Times New Roman" w:eastAsia="方正仿宋_GBK" w:cs="Times New Roman"/>
          <w:kern w:val="2"/>
          <w:sz w:val="32"/>
          <w:szCs w:val="32"/>
          <w:lang w:val="en-US" w:eastAsia="zh-CN" w:bidi="ar-SA"/>
        </w:rPr>
        <w:t>反映单位购买商品和服务的支出（不包括用于购置固定资产的支出、战略性和应急储备支出）。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（十六）对个人和家庭的补助（支出经济分类科目类级）：</w:t>
      </w:r>
      <w:r>
        <w:rPr>
          <w:rFonts w:hint="eastAsia" w:ascii="Times New Roman" w:hAnsi="Times New Roman" w:eastAsia="方正仿宋_GBK" w:cs="Times New Roman"/>
          <w:kern w:val="2"/>
          <w:sz w:val="32"/>
          <w:szCs w:val="32"/>
          <w:lang w:val="en-US" w:eastAsia="zh-CN" w:bidi="ar-SA"/>
        </w:rPr>
        <w:t>反映用于对个人和家庭的补助支出。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pPr>
      <w:r>
        <w:rPr>
          <w:rFonts w:hint="eastAsia" w:ascii="方正楷体_GBK" w:hAnsi="方正楷体_GBK" w:eastAsia="方正楷体_GBK" w:cs="方正楷体_GBK"/>
          <w:kern w:val="2"/>
          <w:sz w:val="32"/>
          <w:szCs w:val="32"/>
          <w:lang w:val="en-US" w:eastAsia="zh-CN" w:bidi="ar-SA"/>
        </w:rPr>
        <w:t>（十七）其他资本性支出（支出经济分类科目类级）：</w:t>
      </w:r>
      <w:r>
        <w:rPr>
          <w:rFonts w:hint="eastAsia" w:ascii="Times New Roman" w:hAnsi="Times New Roman" w:eastAsia="方正仿宋_GBK" w:cs="Times New Roman"/>
          <w:kern w:val="2"/>
          <w:sz w:val="32"/>
          <w:szCs w:val="32"/>
          <w:lang w:val="en-US" w:eastAsia="zh-CN" w:bidi="ar-SA"/>
        </w:rPr>
        <w:t>反映非各级发展与改革部门集中安排的用于购置固定资产、战略性和应急性储备、土地和无形资产，以及构建基础设施、大型修缮和财政支持企业更新改造所发生的支出。</w:t>
      </w:r>
    </w:p>
    <w:p>
      <w:pPr>
        <w:pStyle w:val="3"/>
        <w:keepNext w:val="0"/>
        <w:keepLines w:val="0"/>
        <w:pageBreakBefore w:val="0"/>
        <w:widowControl/>
        <w:kinsoku/>
        <w:wordWrap/>
        <w:overflowPunct/>
        <w:topLinePunct w:val="0"/>
        <w:autoSpaceDE/>
        <w:autoSpaceDN/>
        <w:bidi w:val="0"/>
        <w:adjustRightInd/>
        <w:snapToGrid/>
        <w:spacing w:beforeAutospacing="0" w:afterAutospacing="0" w:line="600" w:lineRule="exact"/>
        <w:ind w:right="75"/>
        <w:textAlignment w:val="auto"/>
        <w:rPr>
          <w:rFonts w:hint="eastAsia" w:ascii="方正黑体_GBK" w:hAnsi="方正黑体_GBK" w:eastAsia="方正黑体_GBK" w:cs="方正黑体_GBK"/>
          <w:kern w:val="2"/>
          <w:sz w:val="32"/>
          <w:szCs w:val="32"/>
          <w:lang w:val="en-US" w:eastAsia="zh-CN" w:bidi="ar-SA"/>
        </w:rPr>
      </w:pPr>
      <w:r>
        <w:rPr>
          <w:rFonts w:hint="eastAsia" w:ascii="方正黑体_GBK" w:hAnsi="方正黑体_GBK" w:eastAsia="方正黑体_GBK" w:cs="方正黑体_GBK"/>
          <w:kern w:val="2"/>
          <w:sz w:val="32"/>
          <w:szCs w:val="32"/>
          <w:lang w:val="en-US" w:eastAsia="zh-CN" w:bidi="ar-SA"/>
        </w:rPr>
        <w:t>七、决算公开联系方式及信息反馈渠道</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本单位决算公开信息反馈联系人：罗茂    </w:t>
      </w:r>
    </w:p>
    <w:p>
      <w:pPr>
        <w:keepNext w:val="0"/>
        <w:keepLines w:val="0"/>
        <w:pageBreakBefore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联系方式： 023-48759815</w:t>
      </w:r>
    </w:p>
    <w:p/>
    <w:p/>
    <w:p/>
    <w:p/>
    <w:p/>
    <w:p/>
    <w:p/>
    <w:p/>
    <w:p/>
    <w:p/>
    <w:p/>
    <w:p/>
    <w:p/>
    <w:p/>
    <w:p/>
    <w:p/>
    <w:p/>
    <w:p/>
    <w:p/>
    <w:p/>
    <w:p/>
    <w:p>
      <w:r>
        <w:br w:type="page"/>
      </w:r>
    </w:p>
    <w:p>
      <w:pPr>
        <w:sectPr>
          <w:pgSz w:w="11906" w:h="16838"/>
          <w:pgMar w:top="1440" w:right="1800" w:bottom="1440" w:left="1800" w:header="851" w:footer="992" w:gutter="0"/>
          <w:cols w:space="425" w:num="1"/>
          <w:docGrid w:type="lines" w:linePitch="312" w:charSpace="0"/>
        </w:sectPr>
      </w:pPr>
    </w:p>
    <w:p/>
    <w:tbl>
      <w:tblPr>
        <w:tblStyle w:val="4"/>
        <w:tblW w:w="13796" w:type="dxa"/>
        <w:tblInd w:w="93" w:type="dxa"/>
        <w:tblLayout w:type="autofit"/>
        <w:tblCellMar>
          <w:top w:w="0" w:type="dxa"/>
          <w:left w:w="108" w:type="dxa"/>
          <w:bottom w:w="0" w:type="dxa"/>
          <w:right w:w="108" w:type="dxa"/>
        </w:tblCellMar>
      </w:tblPr>
      <w:tblGrid>
        <w:gridCol w:w="470"/>
        <w:gridCol w:w="1230"/>
        <w:gridCol w:w="2080"/>
        <w:gridCol w:w="204"/>
        <w:gridCol w:w="3876"/>
        <w:gridCol w:w="900"/>
        <w:gridCol w:w="830"/>
        <w:gridCol w:w="916"/>
        <w:gridCol w:w="830"/>
        <w:gridCol w:w="940"/>
        <w:gridCol w:w="880"/>
        <w:gridCol w:w="640"/>
      </w:tblGrid>
      <w:tr>
        <w:tblPrEx>
          <w:tblCellMar>
            <w:top w:w="0" w:type="dxa"/>
            <w:left w:w="108" w:type="dxa"/>
            <w:bottom w:w="0" w:type="dxa"/>
            <w:right w:w="108" w:type="dxa"/>
          </w:tblCellMar>
        </w:tblPrEx>
        <w:trPr>
          <w:trHeight w:val="285" w:hRule="atLeast"/>
        </w:trPr>
        <w:tc>
          <w:tcPr>
            <w:tcW w:w="1700" w:type="dxa"/>
            <w:gridSpan w:val="2"/>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r>
              <w:rPr>
                <w:rFonts w:hint="eastAsia" w:ascii="宋体" w:hAnsi="宋体" w:eastAsia="宋体" w:cs="宋体"/>
                <w:kern w:val="0"/>
                <w:sz w:val="24"/>
              </w:rPr>
              <w:t>附件1：</w:t>
            </w:r>
          </w:p>
        </w:tc>
        <w:tc>
          <w:tcPr>
            <w:tcW w:w="208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4080" w:type="dxa"/>
            <w:gridSpan w:val="2"/>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90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83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916"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83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94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88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64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r>
      <w:tr>
        <w:tblPrEx>
          <w:tblCellMar>
            <w:top w:w="0" w:type="dxa"/>
            <w:left w:w="108" w:type="dxa"/>
            <w:bottom w:w="0" w:type="dxa"/>
            <w:right w:w="108" w:type="dxa"/>
          </w:tblCellMar>
        </w:tblPrEx>
        <w:trPr>
          <w:trHeight w:val="822" w:hRule="atLeast"/>
        </w:trPr>
        <w:tc>
          <w:tcPr>
            <w:tcW w:w="13796" w:type="dxa"/>
            <w:gridSpan w:val="12"/>
            <w:tcBorders>
              <w:top w:val="nil"/>
              <w:left w:val="nil"/>
              <w:bottom w:val="nil"/>
              <w:right w:val="nil"/>
            </w:tcBorders>
            <w:shd w:val="clear" w:color="auto" w:fill="auto"/>
            <w:noWrap/>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2020年度部门（单位）项目支出绩效自评汇总表</w:t>
            </w:r>
          </w:p>
        </w:tc>
      </w:tr>
      <w:tr>
        <w:tblPrEx>
          <w:tblCellMar>
            <w:top w:w="0" w:type="dxa"/>
            <w:left w:w="108" w:type="dxa"/>
            <w:bottom w:w="0" w:type="dxa"/>
            <w:right w:w="108" w:type="dxa"/>
          </w:tblCellMar>
        </w:tblPrEx>
        <w:trPr>
          <w:trHeight w:val="480" w:hRule="atLeast"/>
        </w:trPr>
        <w:tc>
          <w:tcPr>
            <w:tcW w:w="7860" w:type="dxa"/>
            <w:gridSpan w:val="5"/>
            <w:tcBorders>
              <w:top w:val="nil"/>
              <w:left w:val="nil"/>
              <w:bottom w:val="nil"/>
              <w:right w:val="nil"/>
            </w:tcBorders>
            <w:shd w:val="clear" w:color="auto" w:fill="auto"/>
            <w:noWrap/>
            <w:vAlign w:val="center"/>
          </w:tcPr>
          <w:p>
            <w:pPr>
              <w:widowControl/>
              <w:jc w:val="left"/>
              <w:rPr>
                <w:rFonts w:ascii="宋体" w:hAnsi="宋体" w:eastAsia="宋体" w:cs="宋体"/>
                <w:b/>
                <w:bCs/>
                <w:kern w:val="0"/>
                <w:sz w:val="22"/>
                <w:szCs w:val="22"/>
              </w:rPr>
            </w:pPr>
            <w:r>
              <w:rPr>
                <w:rFonts w:hint="eastAsia" w:ascii="宋体" w:hAnsi="宋体" w:eastAsia="宋体" w:cs="宋体"/>
                <w:b/>
                <w:bCs/>
                <w:kern w:val="0"/>
                <w:sz w:val="22"/>
                <w:szCs w:val="22"/>
              </w:rPr>
              <w:t>填表单位（盖章）：重庆市綦江区镇紫学校</w:t>
            </w:r>
          </w:p>
        </w:tc>
        <w:tc>
          <w:tcPr>
            <w:tcW w:w="90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83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916"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83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94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88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c>
          <w:tcPr>
            <w:tcW w:w="640"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rPr>
            </w:pPr>
          </w:p>
        </w:tc>
      </w:tr>
      <w:tr>
        <w:tblPrEx>
          <w:tblCellMar>
            <w:top w:w="0" w:type="dxa"/>
            <w:left w:w="108" w:type="dxa"/>
            <w:bottom w:w="0" w:type="dxa"/>
            <w:right w:w="108" w:type="dxa"/>
          </w:tblCellMar>
        </w:tblPrEx>
        <w:trPr>
          <w:trHeight w:val="285" w:hRule="atLeast"/>
        </w:trPr>
        <w:tc>
          <w:tcPr>
            <w:tcW w:w="47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序号</w:t>
            </w:r>
          </w:p>
        </w:tc>
        <w:tc>
          <w:tcPr>
            <w:tcW w:w="123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指标管理科室</w:t>
            </w:r>
          </w:p>
        </w:tc>
        <w:tc>
          <w:tcPr>
            <w:tcW w:w="2284"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预算单位</w:t>
            </w:r>
          </w:p>
        </w:tc>
        <w:tc>
          <w:tcPr>
            <w:tcW w:w="3876"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项目名称</w:t>
            </w:r>
          </w:p>
        </w:tc>
        <w:tc>
          <w:tcPr>
            <w:tcW w:w="3476"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资金总量（万元）</w:t>
            </w:r>
          </w:p>
        </w:tc>
        <w:tc>
          <w:tcPr>
            <w:tcW w:w="94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自评得分</w:t>
            </w:r>
          </w:p>
        </w:tc>
        <w:tc>
          <w:tcPr>
            <w:tcW w:w="88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自评等级</w:t>
            </w:r>
          </w:p>
        </w:tc>
        <w:tc>
          <w:tcPr>
            <w:tcW w:w="640"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备注</w:t>
            </w:r>
          </w:p>
        </w:tc>
      </w:tr>
      <w:tr>
        <w:tblPrEx>
          <w:tblCellMar>
            <w:top w:w="0" w:type="dxa"/>
            <w:left w:w="108" w:type="dxa"/>
            <w:bottom w:w="0" w:type="dxa"/>
            <w:right w:w="108" w:type="dxa"/>
          </w:tblCellMar>
        </w:tblPrEx>
        <w:trPr>
          <w:trHeight w:val="285" w:hRule="atLeast"/>
        </w:trPr>
        <w:tc>
          <w:tcPr>
            <w:tcW w:w="47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123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2284"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387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9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中央资金</w:t>
            </w:r>
          </w:p>
        </w:tc>
        <w:tc>
          <w:tcPr>
            <w:tcW w:w="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市级资金</w:t>
            </w:r>
          </w:p>
        </w:tc>
        <w:tc>
          <w:tcPr>
            <w:tcW w:w="91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区级资金</w:t>
            </w:r>
          </w:p>
        </w:tc>
        <w:tc>
          <w:tcPr>
            <w:tcW w:w="83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其他资金</w:t>
            </w:r>
          </w:p>
        </w:tc>
        <w:tc>
          <w:tcPr>
            <w:tcW w:w="9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8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c>
          <w:tcPr>
            <w:tcW w:w="64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0"/>
                <w:szCs w:val="20"/>
              </w:rPr>
            </w:pPr>
          </w:p>
        </w:tc>
      </w:tr>
      <w:tr>
        <w:tblPrEx>
          <w:tblCellMar>
            <w:top w:w="0" w:type="dxa"/>
            <w:left w:w="108" w:type="dxa"/>
            <w:bottom w:w="0" w:type="dxa"/>
            <w:right w:w="108" w:type="dxa"/>
          </w:tblCellMar>
        </w:tblPrEx>
        <w:trPr>
          <w:trHeight w:val="507"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2020年1-3季度乡村教师岗位生活补助</w:t>
            </w:r>
          </w:p>
        </w:tc>
        <w:tc>
          <w:tcPr>
            <w:tcW w:w="9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21.985</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2.135</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99.8</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1080"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2020秋期完整午餐运行补助；2020年秋期完整午餐补助；2020年春期学生完整午餐生活补助；2020年春期学生完整午餐食堂运行经费</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49.132</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1362"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3</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2020年秋期学前教育家庭经济困难幼儿资助；2020年春期家庭经济困难幼儿资助；2020年春期非寄宿生生活补助（非建卡）；2020年春期寄宿生生活补助；2020年秋非寄宿生生活补助；2020年秋寄宿生生活补助（市级</w:t>
            </w:r>
            <w:r>
              <w:rPr>
                <w:rFonts w:hint="eastAsia" w:ascii="宋体" w:hAnsi="宋体" w:eastAsia="宋体" w:cs="宋体"/>
                <w:kern w:val="0"/>
                <w:sz w:val="20"/>
                <w:szCs w:val="20"/>
                <w:lang w:eastAsia="zh-CN"/>
              </w:rPr>
              <w:t>）</w:t>
            </w:r>
          </w:p>
        </w:tc>
        <w:tc>
          <w:tcPr>
            <w:tcW w:w="9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7.0685</w:t>
            </w:r>
          </w:p>
        </w:tc>
        <w:tc>
          <w:tcPr>
            <w:tcW w:w="8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7.4066</w:t>
            </w:r>
          </w:p>
        </w:tc>
        <w:tc>
          <w:tcPr>
            <w:tcW w:w="9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919"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4</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2020年抗疫特别国债市级预留机动资金（直达资金）</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附设幼儿园户外场地软化、购玩具设备</w:t>
            </w:r>
          </w:p>
        </w:tc>
        <w:tc>
          <w:tcPr>
            <w:tcW w:w="9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35</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780"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5</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綦江区2020年城乡义务教育经费保障机制中央和市级资金—校舍维修（中央）</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中学部、小学部室内墙及走廊维修</w:t>
            </w:r>
          </w:p>
        </w:tc>
        <w:tc>
          <w:tcPr>
            <w:tcW w:w="9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24</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507"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6</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汛期学校灾害救助补助资金</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修复堡坎围墙</w:t>
            </w:r>
          </w:p>
        </w:tc>
        <w:tc>
          <w:tcPr>
            <w:tcW w:w="9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29.5</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660"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7</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学生营养改善／营养午餐补助680万元—学校食堂临聘人员疫情防控期间生活费</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0.756</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642"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8</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校园基建维护资金</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教育费附加／解决建设工程审计后缺口（300万）</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围墙维修</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679"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全区中小学办公经费不足、校舍维修维护等</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新设村小打井解决师生饮用水</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3</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100</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660" w:hRule="atLeast"/>
        </w:trPr>
        <w:tc>
          <w:tcPr>
            <w:tcW w:w="470"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10</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教科文科</w:t>
            </w:r>
          </w:p>
        </w:tc>
        <w:tc>
          <w:tcPr>
            <w:tcW w:w="22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重庆市綦江区镇紫学校</w:t>
            </w:r>
          </w:p>
        </w:tc>
        <w:tc>
          <w:tcPr>
            <w:tcW w:w="387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各类收入弥补办公经费不足</w:t>
            </w:r>
          </w:p>
        </w:tc>
        <w:tc>
          <w:tcPr>
            <w:tcW w:w="9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17.2273</w:t>
            </w:r>
          </w:p>
        </w:tc>
        <w:tc>
          <w:tcPr>
            <w:tcW w:w="83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98.8</w:t>
            </w:r>
          </w:p>
        </w:tc>
        <w:tc>
          <w:tcPr>
            <w:tcW w:w="8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优</w:t>
            </w:r>
          </w:p>
        </w:tc>
        <w:tc>
          <w:tcPr>
            <w:tcW w:w="6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r>
      <w:tr>
        <w:tblPrEx>
          <w:tblCellMar>
            <w:top w:w="0" w:type="dxa"/>
            <w:left w:w="108" w:type="dxa"/>
            <w:bottom w:w="0" w:type="dxa"/>
            <w:right w:w="108" w:type="dxa"/>
          </w:tblCellMar>
        </w:tblPrEx>
        <w:trPr>
          <w:trHeight w:val="619" w:hRule="atLeast"/>
        </w:trPr>
        <w:tc>
          <w:tcPr>
            <w:tcW w:w="3984" w:type="dxa"/>
            <w:gridSpan w:val="4"/>
            <w:tcBorders>
              <w:top w:val="single" w:color="auto" w:sz="4" w:space="0"/>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预算单位主要领导：邵利华           </w:t>
            </w:r>
          </w:p>
        </w:tc>
        <w:tc>
          <w:tcPr>
            <w:tcW w:w="3876" w:type="dxa"/>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绩效评价负责人：邓林</w:t>
            </w:r>
          </w:p>
        </w:tc>
        <w:tc>
          <w:tcPr>
            <w:tcW w:w="9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2576" w:type="dxa"/>
            <w:gridSpan w:val="3"/>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经办人：</w:t>
            </w:r>
          </w:p>
        </w:tc>
        <w:tc>
          <w:tcPr>
            <w:tcW w:w="940" w:type="dxa"/>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罗茂</w:t>
            </w:r>
          </w:p>
        </w:tc>
        <w:tc>
          <w:tcPr>
            <w:tcW w:w="8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6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3796" w:type="dxa"/>
            <w:gridSpan w:val="12"/>
            <w:vMerge w:val="restart"/>
            <w:tcBorders>
              <w:top w:val="nil"/>
              <w:left w:val="nil"/>
              <w:bottom w:val="nil"/>
              <w:right w:val="nil"/>
            </w:tcBorders>
            <w:shd w:val="clear" w:color="auto" w:fill="auto"/>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填表说明：</w:t>
            </w:r>
            <w:r>
              <w:rPr>
                <w:rFonts w:hint="eastAsia" w:ascii="宋体" w:hAnsi="宋体" w:eastAsia="宋体" w:cs="宋体"/>
                <w:kern w:val="0"/>
                <w:sz w:val="22"/>
                <w:szCs w:val="22"/>
              </w:rPr>
              <w:br w:type="textWrapping"/>
            </w:r>
            <w:r>
              <w:rPr>
                <w:rFonts w:hint="eastAsia" w:ascii="宋体" w:hAnsi="宋体" w:eastAsia="宋体" w:cs="宋体"/>
                <w:kern w:val="0"/>
                <w:sz w:val="22"/>
                <w:szCs w:val="22"/>
              </w:rPr>
              <w:t>1.此表需各预算单位填除运转性项目以外的全部项目支出，包含中央、市级及区县支出项目，根据项目情况，分项目填写，一个项目填写一行；</w:t>
            </w:r>
            <w:r>
              <w:rPr>
                <w:rFonts w:hint="eastAsia" w:ascii="宋体" w:hAnsi="宋体" w:eastAsia="宋体" w:cs="宋体"/>
                <w:kern w:val="0"/>
                <w:sz w:val="22"/>
                <w:szCs w:val="22"/>
              </w:rPr>
              <w:br w:type="textWrapping"/>
            </w:r>
            <w:r>
              <w:rPr>
                <w:rFonts w:hint="eastAsia" w:ascii="宋体" w:hAnsi="宋体" w:eastAsia="宋体" w:cs="宋体"/>
                <w:kern w:val="0"/>
                <w:sz w:val="22"/>
                <w:szCs w:val="22"/>
              </w:rPr>
              <w:t>2.自评得分填写自评表中相应项目得分；</w:t>
            </w:r>
            <w:r>
              <w:rPr>
                <w:rFonts w:hint="eastAsia" w:ascii="宋体" w:hAnsi="宋体" w:eastAsia="宋体" w:cs="宋体"/>
                <w:kern w:val="0"/>
                <w:sz w:val="22"/>
                <w:szCs w:val="22"/>
              </w:rPr>
              <w:br w:type="textWrapping"/>
            </w:r>
            <w:r>
              <w:rPr>
                <w:rFonts w:hint="eastAsia" w:ascii="宋体" w:hAnsi="宋体" w:eastAsia="宋体" w:cs="宋体"/>
                <w:kern w:val="0"/>
                <w:sz w:val="22"/>
                <w:szCs w:val="22"/>
              </w:rPr>
              <w:t>3.自评等级划分统一按照优（90-100分），良（80-89分），中（60-79分），差（0-59分）标准划定。</w:t>
            </w:r>
          </w:p>
        </w:tc>
      </w:tr>
      <w:tr>
        <w:tblPrEx>
          <w:tblCellMar>
            <w:top w:w="0" w:type="dxa"/>
            <w:left w:w="108" w:type="dxa"/>
            <w:bottom w:w="0" w:type="dxa"/>
            <w:right w:w="108" w:type="dxa"/>
          </w:tblCellMar>
        </w:tblPrEx>
        <w:trPr>
          <w:trHeight w:val="312" w:hRule="atLeast"/>
        </w:trPr>
        <w:tc>
          <w:tcPr>
            <w:tcW w:w="13796" w:type="dxa"/>
            <w:gridSpan w:val="12"/>
            <w:vMerge w:val="continue"/>
            <w:tcBorders>
              <w:top w:val="nil"/>
              <w:left w:val="nil"/>
              <w:bottom w:val="nil"/>
              <w:right w:val="nil"/>
            </w:tcBorders>
            <w:vAlign w:val="center"/>
          </w:tcPr>
          <w:p>
            <w:pPr>
              <w:widowControl/>
              <w:jc w:val="left"/>
              <w:rPr>
                <w:rFonts w:ascii="宋体" w:hAnsi="宋体" w:eastAsia="宋体" w:cs="宋体"/>
                <w:kern w:val="0"/>
                <w:sz w:val="22"/>
                <w:szCs w:val="22"/>
              </w:rPr>
            </w:pPr>
          </w:p>
        </w:tc>
      </w:tr>
      <w:tr>
        <w:tblPrEx>
          <w:tblCellMar>
            <w:top w:w="0" w:type="dxa"/>
            <w:left w:w="108" w:type="dxa"/>
            <w:bottom w:w="0" w:type="dxa"/>
            <w:right w:w="108" w:type="dxa"/>
          </w:tblCellMar>
        </w:tblPrEx>
        <w:trPr>
          <w:trHeight w:val="312" w:hRule="atLeast"/>
        </w:trPr>
        <w:tc>
          <w:tcPr>
            <w:tcW w:w="13796" w:type="dxa"/>
            <w:gridSpan w:val="12"/>
            <w:vMerge w:val="continue"/>
            <w:tcBorders>
              <w:top w:val="nil"/>
              <w:left w:val="nil"/>
              <w:bottom w:val="nil"/>
              <w:right w:val="nil"/>
            </w:tcBorders>
            <w:vAlign w:val="center"/>
          </w:tcPr>
          <w:p>
            <w:pPr>
              <w:widowControl/>
              <w:jc w:val="left"/>
              <w:rPr>
                <w:rFonts w:ascii="宋体" w:hAnsi="宋体" w:eastAsia="宋体" w:cs="宋体"/>
                <w:kern w:val="0"/>
                <w:sz w:val="22"/>
                <w:szCs w:val="22"/>
              </w:rPr>
            </w:pPr>
          </w:p>
        </w:tc>
      </w:tr>
      <w:tr>
        <w:tblPrEx>
          <w:tblCellMar>
            <w:top w:w="0" w:type="dxa"/>
            <w:left w:w="108" w:type="dxa"/>
            <w:bottom w:w="0" w:type="dxa"/>
            <w:right w:w="108" w:type="dxa"/>
          </w:tblCellMar>
        </w:tblPrEx>
        <w:trPr>
          <w:trHeight w:val="312" w:hRule="atLeast"/>
        </w:trPr>
        <w:tc>
          <w:tcPr>
            <w:tcW w:w="13796" w:type="dxa"/>
            <w:gridSpan w:val="12"/>
            <w:vMerge w:val="continue"/>
            <w:tcBorders>
              <w:top w:val="nil"/>
              <w:left w:val="nil"/>
              <w:bottom w:val="nil"/>
              <w:right w:val="nil"/>
            </w:tcBorders>
            <w:vAlign w:val="center"/>
          </w:tcPr>
          <w:p>
            <w:pPr>
              <w:widowControl/>
              <w:jc w:val="left"/>
              <w:rPr>
                <w:rFonts w:ascii="宋体" w:hAnsi="宋体" w:eastAsia="宋体" w:cs="宋体"/>
                <w:kern w:val="0"/>
                <w:sz w:val="22"/>
                <w:szCs w:val="22"/>
              </w:rPr>
            </w:pPr>
          </w:p>
        </w:tc>
      </w:tr>
      <w:tr>
        <w:tblPrEx>
          <w:tblCellMar>
            <w:top w:w="0" w:type="dxa"/>
            <w:left w:w="108" w:type="dxa"/>
            <w:bottom w:w="0" w:type="dxa"/>
            <w:right w:w="108" w:type="dxa"/>
          </w:tblCellMar>
        </w:tblPrEx>
        <w:trPr>
          <w:trHeight w:val="312" w:hRule="atLeast"/>
        </w:trPr>
        <w:tc>
          <w:tcPr>
            <w:tcW w:w="13796" w:type="dxa"/>
            <w:gridSpan w:val="12"/>
            <w:vMerge w:val="continue"/>
            <w:tcBorders>
              <w:top w:val="nil"/>
              <w:left w:val="nil"/>
              <w:bottom w:val="nil"/>
              <w:right w:val="nil"/>
            </w:tcBorders>
            <w:vAlign w:val="center"/>
          </w:tcPr>
          <w:p>
            <w:pPr>
              <w:widowControl/>
              <w:jc w:val="left"/>
              <w:rPr>
                <w:rFonts w:ascii="宋体" w:hAnsi="宋体" w:eastAsia="宋体" w:cs="宋体"/>
                <w:kern w:val="0"/>
                <w:sz w:val="22"/>
                <w:szCs w:val="22"/>
              </w:rPr>
            </w:pPr>
          </w:p>
        </w:tc>
      </w:tr>
    </w:tbl>
    <w:p/>
    <w:p/>
    <w:p/>
    <w:p/>
    <w:p/>
    <w:p/>
    <w:p>
      <w:pPr>
        <w:sectPr>
          <w:pgSz w:w="16838" w:h="11906" w:orient="landscape"/>
          <w:pgMar w:top="1800" w:right="1440" w:bottom="1800" w:left="1440" w:header="851" w:footer="992" w:gutter="0"/>
          <w:cols w:space="425" w:num="1"/>
          <w:docGrid w:type="lines" w:linePitch="312" w:charSpace="0"/>
        </w:sectPr>
      </w:pPr>
    </w:p>
    <w:tbl>
      <w:tblPr>
        <w:tblStyle w:val="4"/>
        <w:tblW w:w="10800" w:type="dxa"/>
        <w:tblInd w:w="93" w:type="dxa"/>
        <w:tblLayout w:type="autofit"/>
        <w:tblCellMar>
          <w:top w:w="0" w:type="dxa"/>
          <w:left w:w="108" w:type="dxa"/>
          <w:bottom w:w="0" w:type="dxa"/>
          <w:right w:w="108" w:type="dxa"/>
        </w:tblCellMar>
      </w:tblPr>
      <w:tblGrid>
        <w:gridCol w:w="940"/>
        <w:gridCol w:w="1940"/>
        <w:gridCol w:w="1300"/>
        <w:gridCol w:w="1220"/>
        <w:gridCol w:w="1660"/>
        <w:gridCol w:w="1600"/>
        <w:gridCol w:w="1140"/>
        <w:gridCol w:w="1000"/>
      </w:tblGrid>
      <w:tr>
        <w:tblPrEx>
          <w:tblCellMar>
            <w:top w:w="0" w:type="dxa"/>
            <w:left w:w="108" w:type="dxa"/>
            <w:bottom w:w="0" w:type="dxa"/>
            <w:right w:w="108" w:type="dxa"/>
          </w:tblCellMar>
        </w:tblPrEx>
        <w:trPr>
          <w:trHeight w:val="330" w:hRule="atLeast"/>
        </w:trPr>
        <w:tc>
          <w:tcPr>
            <w:tcW w:w="940"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rPr>
            </w:pPr>
            <w:r>
              <w:rPr>
                <w:rFonts w:hint="eastAsia" w:ascii="黑体" w:hAnsi="黑体" w:eastAsia="黑体" w:cs="宋体"/>
                <w:kern w:val="0"/>
                <w:sz w:val="24"/>
              </w:rPr>
              <w:t>附件2</w:t>
            </w:r>
          </w:p>
        </w:tc>
        <w:tc>
          <w:tcPr>
            <w:tcW w:w="1940" w:type="dxa"/>
            <w:tcBorders>
              <w:top w:val="nil"/>
              <w:left w:val="nil"/>
              <w:bottom w:val="nil"/>
              <w:right w:val="nil"/>
            </w:tcBorders>
            <w:shd w:val="clear" w:color="auto" w:fill="auto"/>
            <w:vAlign w:val="center"/>
          </w:tcPr>
          <w:p>
            <w:pPr>
              <w:widowControl/>
              <w:jc w:val="left"/>
              <w:rPr>
                <w:rFonts w:ascii="黑体" w:hAnsi="黑体" w:eastAsia="黑体" w:cs="宋体"/>
                <w:kern w:val="0"/>
                <w:sz w:val="24"/>
              </w:rPr>
            </w:pPr>
          </w:p>
        </w:tc>
        <w:tc>
          <w:tcPr>
            <w:tcW w:w="1300" w:type="dxa"/>
            <w:tcBorders>
              <w:top w:val="nil"/>
              <w:left w:val="nil"/>
              <w:bottom w:val="nil"/>
              <w:right w:val="nil"/>
            </w:tcBorders>
            <w:shd w:val="clear" w:color="auto" w:fill="auto"/>
            <w:vAlign w:val="center"/>
          </w:tcPr>
          <w:p>
            <w:pPr>
              <w:widowControl/>
              <w:jc w:val="left"/>
              <w:rPr>
                <w:rFonts w:ascii="黑体" w:hAnsi="黑体" w:eastAsia="黑体" w:cs="宋体"/>
                <w:kern w:val="0"/>
                <w:sz w:val="24"/>
              </w:rPr>
            </w:pPr>
          </w:p>
        </w:tc>
        <w:tc>
          <w:tcPr>
            <w:tcW w:w="122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66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60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14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00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r>
      <w:tr>
        <w:tblPrEx>
          <w:tblCellMar>
            <w:top w:w="0" w:type="dxa"/>
            <w:left w:w="108" w:type="dxa"/>
            <w:bottom w:w="0" w:type="dxa"/>
            <w:right w:w="108" w:type="dxa"/>
          </w:tblCellMar>
        </w:tblPrEx>
        <w:trPr>
          <w:trHeight w:val="585" w:hRule="atLeast"/>
        </w:trPr>
        <w:tc>
          <w:tcPr>
            <w:tcW w:w="10800" w:type="dxa"/>
            <w:gridSpan w:val="8"/>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2880" w:type="dxa"/>
            <w:gridSpan w:val="2"/>
            <w:tcBorders>
              <w:top w:val="nil"/>
              <w:left w:val="nil"/>
              <w:bottom w:val="single" w:color="auto" w:sz="4" w:space="0"/>
              <w:right w:val="nil"/>
            </w:tcBorders>
            <w:shd w:val="clear" w:color="auto" w:fill="auto"/>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填表单位（盖章）：重庆市綦江区镇紫学校</w:t>
            </w:r>
          </w:p>
        </w:tc>
        <w:tc>
          <w:tcPr>
            <w:tcW w:w="130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22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66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60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14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00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r>
      <w:tr>
        <w:tblPrEx>
          <w:tblCellMar>
            <w:top w:w="0" w:type="dxa"/>
            <w:left w:w="108" w:type="dxa"/>
            <w:bottom w:w="0" w:type="dxa"/>
            <w:right w:w="108" w:type="dxa"/>
          </w:tblCellMar>
        </w:tblPrEx>
        <w:trPr>
          <w:trHeight w:val="859"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44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全区中小学办公经费不足、校舍维修维护等</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新设村小打井解决师生饮用水</w:t>
            </w:r>
          </w:p>
        </w:tc>
        <w:tc>
          <w:tcPr>
            <w:tcW w:w="166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c>
          <w:tcPr>
            <w:tcW w:w="37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tblPrEx>
          <w:tblCellMar>
            <w:top w:w="0" w:type="dxa"/>
            <w:left w:w="108" w:type="dxa"/>
            <w:bottom w:w="0" w:type="dxa"/>
            <w:right w:w="108" w:type="dxa"/>
          </w:tblCellMar>
        </w:tblPrEx>
        <w:trPr>
          <w:trHeight w:val="64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44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374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黄亮13206109525</w:t>
            </w:r>
          </w:p>
        </w:tc>
      </w:tr>
      <w:tr>
        <w:tblPrEx>
          <w:tblCellMar>
            <w:top w:w="0" w:type="dxa"/>
            <w:left w:w="108" w:type="dxa"/>
            <w:bottom w:w="0" w:type="dxa"/>
            <w:right w:w="108" w:type="dxa"/>
          </w:tblCellMar>
        </w:tblPrEx>
        <w:trPr>
          <w:trHeight w:val="360" w:hRule="atLeast"/>
        </w:trPr>
        <w:tc>
          <w:tcPr>
            <w:tcW w:w="94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94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520"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2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25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25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75" w:hRule="atLeast"/>
        </w:trPr>
        <w:tc>
          <w:tcPr>
            <w:tcW w:w="9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25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420" w:hRule="atLeast"/>
        </w:trPr>
        <w:tc>
          <w:tcPr>
            <w:tcW w:w="9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25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30" w:hRule="atLeast"/>
        </w:trPr>
        <w:tc>
          <w:tcPr>
            <w:tcW w:w="94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252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1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510" w:hRule="atLeast"/>
        </w:trPr>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44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54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485"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4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指标文号：綦江财发</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2020</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1号，该资金计划用于新设村小打井解决师生饮用水问题，改善学校的办学条件，提高学生及家长的满意度，促进学生的健康成长，让社会充分肯定。</w:t>
            </w:r>
          </w:p>
        </w:tc>
        <w:tc>
          <w:tcPr>
            <w:tcW w:w="54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该资金计划用于新设村小打井解决了师生饮用水问题，改善了学校的办学条件，提高了学生及家长的满意度，促进了学生的健康成长，得到了社会充分肯定。</w:t>
            </w:r>
          </w:p>
        </w:tc>
      </w:tr>
      <w:tr>
        <w:tblPrEx>
          <w:tblCellMar>
            <w:top w:w="0" w:type="dxa"/>
            <w:left w:w="108" w:type="dxa"/>
            <w:bottom w:w="0" w:type="dxa"/>
            <w:right w:w="108" w:type="dxa"/>
          </w:tblCellMar>
        </w:tblPrEx>
        <w:trPr>
          <w:trHeight w:val="510" w:hRule="atLeast"/>
        </w:trPr>
        <w:tc>
          <w:tcPr>
            <w:tcW w:w="94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3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打井个数</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个</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工程验收合格率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0"/>
                <w:szCs w:val="20"/>
                <w:lang w:eastAsia="zh-CN"/>
              </w:rPr>
            </w:pPr>
            <w:bookmarkStart w:id="0" w:name="_GoBack"/>
            <w:bookmarkEnd w:id="0"/>
            <w:r>
              <w:rPr>
                <w:rFonts w:hint="eastAsia" w:ascii="宋体" w:hAnsi="宋体" w:eastAsia="宋体" w:cs="宋体"/>
                <w:color w:val="000000"/>
                <w:kern w:val="0"/>
                <w:sz w:val="20"/>
                <w:szCs w:val="20"/>
                <w:lang w:eastAsia="zh-CN"/>
              </w:rPr>
              <w:t>%</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6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工程完成率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打井成本</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元/个</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≦30000</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29405</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受益师生</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师生满意率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9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社会满意率</w:t>
            </w:r>
          </w:p>
        </w:tc>
        <w:tc>
          <w:tcPr>
            <w:tcW w:w="13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2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6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2361"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9860"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9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3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22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66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6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14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0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80"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预算单位主要领导：邵利华           </w:t>
            </w:r>
          </w:p>
        </w:tc>
        <w:tc>
          <w:tcPr>
            <w:tcW w:w="2520"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绩效评价负责人：邓林</w:t>
            </w:r>
          </w:p>
        </w:tc>
        <w:tc>
          <w:tcPr>
            <w:tcW w:w="3260"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经办人：黄亮</w:t>
            </w:r>
          </w:p>
        </w:tc>
        <w:tc>
          <w:tcPr>
            <w:tcW w:w="1140" w:type="dxa"/>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p>
        </w:tc>
        <w:tc>
          <w:tcPr>
            <w:tcW w:w="100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11A96E"/>
    <w:multiLevelType w:val="singleLevel"/>
    <w:tmpl w:val="1211A96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zYWYxYTY4NzQ3ZjAxZTg4Njg0OTUxNTYxM2Y5ZGQifQ=="/>
  </w:docVars>
  <w:rsids>
    <w:rsidRoot w:val="55DD21A7"/>
    <w:rsid w:val="22123397"/>
    <w:rsid w:val="55DD2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5749</Words>
  <Characters>6493</Characters>
  <Lines>0</Lines>
  <Paragraphs>0</Paragraphs>
  <TotalTime>1</TotalTime>
  <ScaleCrop>false</ScaleCrop>
  <LinksUpToDate>false</LinksUpToDate>
  <CharactersWithSpaces>6618</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2022-08-28T09:52:00Z</dcterms:created>
  <dc:creator>气质小青年</dc:creator>
  <cp:lastModifiedBy>陈列</cp:lastModifiedBy>
  <dcterms:modified xsi:type="dcterms:W3CDTF">2022-09-01T15:28:14Z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223F84EED513464582FC32886E416ED9</vt:lpwstr>
  </property>
</Properties>
</file>