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1"/>
        <w:shd w:val="clear" w:color="auto" w:fill="FFFFFF"/>
        <w:spacing w:before="100" w:after="100"/>
        <w:jc w:val="center"/>
        <w:rPr>
          <w:rFonts w:ascii="方正小标宋_GBK" w:hAnsi="宋体" w:eastAsia="方正小标宋_GBK" w:cs="宋体"/>
          <w:sz w:val="44"/>
          <w:szCs w:val="44"/>
        </w:rPr>
      </w:pPr>
      <w:r>
        <w:rPr>
          <w:rFonts w:hint="eastAsia" w:ascii="方正小标宋_GBK" w:hAnsi="宋体" w:eastAsia="方正小标宋_GBK" w:cs="宋体"/>
          <w:sz w:val="44"/>
          <w:szCs w:val="44"/>
        </w:rPr>
        <w:t>重庆市綦江区瀛坪小学</w:t>
      </w:r>
    </w:p>
    <w:p>
      <w:pPr>
        <w:pStyle w:val="11"/>
        <w:shd w:val="clear" w:color="auto" w:fill="FFFFFF"/>
        <w:spacing w:before="100" w:after="100"/>
        <w:jc w:val="center"/>
        <w:rPr>
          <w:sz w:val="44"/>
          <w:szCs w:val="44"/>
        </w:rPr>
      </w:pPr>
      <w:r>
        <w:rPr>
          <w:rFonts w:hint="eastAsia" w:ascii="方正小标宋_GBK" w:hAnsi="宋体" w:eastAsia="方正小标宋_GBK" w:cs="宋体"/>
          <w:sz w:val="44"/>
          <w:szCs w:val="44"/>
        </w:rPr>
        <w:t>2020年度部门决算</w:t>
      </w:r>
      <w:r>
        <w:rPr>
          <w:rFonts w:hint="eastAsia" w:ascii="方正小标宋_GBK" w:hAnsi="宋体" w:eastAsia="方正小标宋_GBK" w:cs="宋体"/>
          <w:sz w:val="44"/>
          <w:szCs w:val="44"/>
          <w:lang w:eastAsia="zh-CN"/>
        </w:rPr>
        <w:t>公开</w:t>
      </w:r>
      <w:r>
        <w:rPr>
          <w:rFonts w:hint="eastAsia" w:ascii="方正小标宋_GBK" w:hAnsi="宋体" w:eastAsia="方正小标宋_GBK" w:cs="宋体"/>
          <w:sz w:val="44"/>
          <w:szCs w:val="44"/>
        </w:rPr>
        <w:t>说明</w:t>
      </w:r>
    </w:p>
    <w:p>
      <w:pPr>
        <w:pStyle w:val="11"/>
        <w:shd w:val="clear" w:color="auto" w:fill="FFFFFF"/>
        <w:adjustRightInd w:val="0"/>
        <w:snapToGrid w:val="0"/>
        <w:spacing w:before="100" w:after="100" w:line="600" w:lineRule="exact"/>
        <w:ind w:firstLine="640" w:firstLineChars="200"/>
        <w:jc w:val="both"/>
        <w:rPr>
          <w:rStyle w:val="14"/>
          <w:rFonts w:ascii="方正黑体_GBK" w:hAnsi="Times New Roman" w:eastAsia="方正黑体_GBK"/>
          <w:b w:val="0"/>
          <w:bCs/>
          <w:sz w:val="32"/>
          <w:szCs w:val="32"/>
        </w:rPr>
      </w:pPr>
      <w:r>
        <w:rPr>
          <w:rStyle w:val="14"/>
          <w:rFonts w:hint="eastAsia" w:ascii="方正黑体_GBK" w:hAnsi="Times New Roman" w:eastAsia="方正黑体_GBK"/>
          <w:b w:val="0"/>
          <w:bCs/>
          <w:sz w:val="32"/>
          <w:szCs w:val="32"/>
        </w:rPr>
        <w:t>一、部门基本情况</w:t>
      </w:r>
    </w:p>
    <w:p>
      <w:pPr>
        <w:pStyle w:val="11"/>
        <w:spacing w:beforeAutospacing="0"/>
        <w:ind w:firstLine="540" w:firstLineChars="200"/>
        <w:jc w:val="both"/>
        <w:rPr>
          <w:sz w:val="32"/>
          <w:szCs w:val="32"/>
        </w:rPr>
      </w:pPr>
      <w:r>
        <w:rPr>
          <w:rFonts w:hint="eastAsia" w:ascii="宋体" w:hAnsi="宋体" w:eastAsia="宋体" w:cs="宋体"/>
          <w:sz w:val="27"/>
          <w:szCs w:val="27"/>
          <w:shd w:val="clear" w:color="auto" w:fill="FFFFFF"/>
        </w:rPr>
        <w:t> </w:t>
      </w:r>
      <w:r>
        <w:rPr>
          <w:rFonts w:hint="eastAsia" w:ascii="宋体" w:hAnsi="宋体" w:eastAsia="方正楷体_GBK" w:cs="宋体"/>
          <w:bCs/>
          <w:sz w:val="32"/>
          <w:szCs w:val="32"/>
        </w:rPr>
        <w:t xml:space="preserve"> （一）职能职责</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1.宣传贯彻执行党和国家的教育方针、政策、法律法规等，坚持依法治教、依法治学，贯彻执行区教委的行政规章制度。</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2.配合区、镇人民政府制定符合党的教育方针和国家教育法律法规以及本校实际的教育发展规划和学校布局调整规划，并抓好组织实施和落实工作。</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3.配合各级人民政府依法动员、组织适龄儿童少年入学，严格控制辍学。</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4.组织开展本校的教育教学科研和教育教学改革，科研兴教。负责对本校教育教学业务的具体管理，负责教育教学管理及教研教改工作，全力推进素质教育实施。</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5.按照干部和教师的职数、编制和管理权限，负责本校教师人事管理、继续教育、考核考评等工作。</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6.负责本校财务和基建管理，统筹资金，改善办学条件等工作。</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7.指导、管理、检查、评价本校的教育教学工作，提高办学质量和办学效益。按照义务教育课程计划，开齐课程，开足课时，认真实施中小学的教育教学管理，全面推进素质教育，全面提高教育教学质量。</w:t>
      </w:r>
    </w:p>
    <w:p>
      <w:pPr>
        <w:pStyle w:val="11"/>
        <w:spacing w:beforeAutospacing="0"/>
        <w:ind w:firstLine="540" w:firstLineChars="200"/>
        <w:rPr>
          <w:rFonts w:ascii="宋体" w:hAnsi="宋体" w:eastAsia="宋体" w:cs="宋体"/>
          <w:sz w:val="27"/>
          <w:szCs w:val="27"/>
          <w:shd w:val="clear" w:color="auto" w:fill="FFFFFF"/>
        </w:rPr>
      </w:pPr>
      <w:r>
        <w:rPr>
          <w:rFonts w:hint="eastAsia" w:ascii="宋体" w:hAnsi="宋体" w:eastAsia="宋体" w:cs="宋体"/>
          <w:sz w:val="27"/>
          <w:szCs w:val="27"/>
          <w:shd w:val="clear" w:color="auto" w:fill="FFFFFF"/>
        </w:rPr>
        <w:t> </w:t>
      </w:r>
      <w:r>
        <w:rPr>
          <w:rFonts w:hint="eastAsia" w:ascii="宋体" w:hAnsi="宋体" w:eastAsia="方正楷体_GBK" w:cs="宋体"/>
          <w:bCs/>
          <w:sz w:val="32"/>
          <w:szCs w:val="32"/>
        </w:rPr>
        <w:t xml:space="preserve"> （二）机构设置</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本单位为全额拨款事业单位，教职工总计49人，其中编制数为18人，实际在编人员18人，劳务派遣人员6人，另有退休人员25人。本单位共有两个内设机构，分别是总务处和政教处。</w:t>
      </w:r>
    </w:p>
    <w:p>
      <w:pPr>
        <w:pStyle w:val="11"/>
        <w:spacing w:beforeAutospacing="0" w:after="100" w:line="600" w:lineRule="exact"/>
        <w:rPr>
          <w:sz w:val="32"/>
          <w:szCs w:val="32"/>
        </w:rPr>
      </w:pPr>
      <w:r>
        <w:rPr>
          <w:rFonts w:hint="eastAsia" w:ascii="宋体" w:hAnsi="宋体" w:eastAsia="宋体" w:cs="宋体"/>
          <w:sz w:val="27"/>
          <w:szCs w:val="27"/>
          <w:shd w:val="clear" w:color="auto" w:fill="FFFFFF"/>
        </w:rPr>
        <w:t xml:space="preserve">  </w:t>
      </w:r>
      <w:r>
        <w:rPr>
          <w:rFonts w:hint="eastAsia" w:ascii="宋体" w:hAnsi="宋体" w:eastAsia="方正楷体_GBK" w:cs="宋体"/>
          <w:bCs/>
          <w:sz w:val="32"/>
          <w:szCs w:val="32"/>
        </w:rPr>
        <w:t>（三）单位构成</w:t>
      </w:r>
    </w:p>
    <w:p>
      <w:pPr>
        <w:pStyle w:val="11"/>
        <w:shd w:val="clear" w:color="auto" w:fill="FFFFFF"/>
        <w:adjustRightInd w:val="0"/>
        <w:snapToGrid w:val="0"/>
        <w:spacing w:before="100" w:after="100" w:line="600" w:lineRule="exact"/>
        <w:ind w:firstLine="540" w:firstLineChars="200"/>
        <w:jc w:val="both"/>
        <w:rPr>
          <w:rFonts w:ascii="方正仿宋_GBK" w:hAnsi="宋体" w:eastAsia="方正仿宋_GBK" w:cs="宋体"/>
          <w:sz w:val="32"/>
          <w:szCs w:val="32"/>
        </w:rPr>
      </w:pPr>
      <w:r>
        <w:rPr>
          <w:rStyle w:val="14"/>
          <w:rFonts w:hint="eastAsia" w:ascii="宋体" w:hAnsi="宋体" w:eastAsia="宋体" w:cs="宋体"/>
          <w:b w:val="0"/>
          <w:sz w:val="27"/>
          <w:szCs w:val="27"/>
          <w:shd w:val="clear" w:color="auto" w:fill="FFFFFF"/>
        </w:rPr>
        <w:t> </w:t>
      </w:r>
      <w:r>
        <w:rPr>
          <w:rFonts w:hint="eastAsia" w:ascii="Times New Roman" w:hAnsi="Times New Roman" w:eastAsia="方正仿宋_GBK"/>
          <w:sz w:val="32"/>
          <w:szCs w:val="32"/>
        </w:rPr>
        <w:t xml:space="preserve"> </w:t>
      </w:r>
      <w:r>
        <w:rPr>
          <w:rFonts w:hint="eastAsia" w:ascii="Times New Roman" w:hAnsi="Times New Roman" w:eastAsia="方正仿宋_GBK" w:cs="宋体"/>
          <w:sz w:val="32"/>
          <w:szCs w:val="32"/>
        </w:rPr>
        <w:t xml:space="preserve"> </w:t>
      </w:r>
      <w:r>
        <w:rPr>
          <w:rFonts w:hint="eastAsia" w:ascii="方正仿宋_GBK" w:hAnsi="宋体" w:eastAsia="方正仿宋_GBK" w:cs="宋体"/>
          <w:sz w:val="32"/>
          <w:szCs w:val="32"/>
        </w:rPr>
        <w:t>从预算单位构成看，纳入本部门2020年度决算编制主体为1个，报表类型为单户表，单位性质为财政补助的事业单位，执行政府会计制度，事业单位改革分类为公益一类事业单位，预算级次为二级预算单位。</w:t>
      </w:r>
    </w:p>
    <w:p>
      <w:pPr>
        <w:pStyle w:val="11"/>
        <w:shd w:val="clear" w:color="auto" w:fill="FFFFFF"/>
        <w:adjustRightInd w:val="0"/>
        <w:snapToGrid w:val="0"/>
        <w:spacing w:before="100" w:after="100" w:line="600" w:lineRule="exact"/>
        <w:ind w:firstLine="640" w:firstLineChars="200"/>
        <w:rPr>
          <w:rStyle w:val="14"/>
          <w:rFonts w:ascii="方正黑体_GBK" w:hAnsi="Times New Roman" w:eastAsia="方正黑体_GBK"/>
          <w:b w:val="0"/>
          <w:bCs/>
          <w:sz w:val="32"/>
          <w:szCs w:val="32"/>
        </w:rPr>
      </w:pPr>
      <w:r>
        <w:rPr>
          <w:rStyle w:val="14"/>
          <w:rFonts w:hint="eastAsia" w:ascii="方正黑体_GBK" w:hAnsi="Times New Roman" w:eastAsia="方正黑体_GBK"/>
          <w:b w:val="0"/>
          <w:bCs/>
          <w:sz w:val="32"/>
          <w:szCs w:val="32"/>
        </w:rPr>
        <w:t>二、部门决算情况说明</w:t>
      </w:r>
    </w:p>
    <w:p>
      <w:pPr>
        <w:pStyle w:val="11"/>
        <w:shd w:val="clear" w:color="auto" w:fill="FFFFFF"/>
        <w:adjustRightInd w:val="0"/>
        <w:snapToGrid w:val="0"/>
        <w:spacing w:before="100" w:after="100" w:line="600" w:lineRule="exact"/>
        <w:ind w:firstLine="640" w:firstLineChars="200"/>
        <w:jc w:val="both"/>
        <w:rPr>
          <w:rFonts w:ascii="宋体" w:hAnsi="宋体" w:eastAsia="方正楷体_GBK" w:cs="宋体"/>
          <w:bCs/>
          <w:sz w:val="32"/>
          <w:szCs w:val="32"/>
        </w:rPr>
      </w:pPr>
      <w:r>
        <w:rPr>
          <w:rFonts w:hint="eastAsia" w:ascii="宋体" w:hAnsi="宋体" w:eastAsia="方正楷体_GBK" w:cs="宋体"/>
          <w:bCs/>
          <w:sz w:val="32"/>
          <w:szCs w:val="32"/>
        </w:rPr>
        <w:t>（一）收入支出决算总体情况说明</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bCs/>
          <w:sz w:val="32"/>
          <w:szCs w:val="32"/>
        </w:rPr>
        <w:t>1.总体情况。</w:t>
      </w:r>
      <w:r>
        <w:rPr>
          <w:rFonts w:hint="eastAsia" w:ascii="方正仿宋_GBK" w:hAnsi="宋体" w:eastAsia="方正仿宋_GBK" w:cs="宋体"/>
          <w:sz w:val="32"/>
          <w:szCs w:val="32"/>
        </w:rPr>
        <w:t>2020年度收入总计492.84万元，支出总计492.84万元。收支较上年决算数增加38.14万元，增长 8.4%，主要原因是本年度基本支出增加，主要是国家加大对教育基层设施、学生资助的投入。</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bCs/>
          <w:sz w:val="32"/>
          <w:szCs w:val="32"/>
        </w:rPr>
        <w:t>2.收入情况。</w:t>
      </w:r>
      <w:r>
        <w:rPr>
          <w:rFonts w:hint="eastAsia" w:ascii="方正仿宋_GBK" w:hAnsi="宋体" w:eastAsia="方正仿宋_GBK" w:cs="宋体"/>
          <w:sz w:val="32"/>
          <w:szCs w:val="32"/>
        </w:rPr>
        <w:t>2020年度收入合计416.78万元，较上年决算数增加19.00万元，增长4.8%，主要原因是本年度基本支出增加，主要是国家加大对教育基层设施、学生资助的投入。其中：财政拨款收入416.78万元，占100%；年初结转和结余76.06万元。</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bCs/>
          <w:sz w:val="32"/>
          <w:szCs w:val="32"/>
        </w:rPr>
        <w:t>3.支出情况。</w:t>
      </w:r>
      <w:r>
        <w:rPr>
          <w:rFonts w:hint="eastAsia" w:ascii="方正仿宋_GBK" w:hAnsi="宋体" w:eastAsia="方正仿宋_GBK" w:cs="宋体"/>
          <w:sz w:val="32"/>
          <w:szCs w:val="32"/>
        </w:rPr>
        <w:t>2020年度支出合计476.55万元，较上年决算数增加50.16万元，增长11.8%，主要原因是本年度基本支出增加，学校加大了对教育经费的投入，改善教育教学环境，提升教师的获得感，此外项目支出增加对厕所及操场硬化处理7.3万元。其中：基本支出 430.76万元，占90.4%；项目支出45.79万元，占9.6%。</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bCs/>
          <w:sz w:val="32"/>
          <w:szCs w:val="32"/>
        </w:rPr>
        <w:t>4.结转结余情况。</w:t>
      </w:r>
      <w:r>
        <w:rPr>
          <w:rFonts w:hint="eastAsia" w:ascii="方正仿宋_GBK" w:hAnsi="宋体" w:eastAsia="方正仿宋_GBK" w:cs="宋体"/>
          <w:sz w:val="32"/>
          <w:szCs w:val="32"/>
        </w:rPr>
        <w:t>2020年度年末结转和结余16.30万元，较上年决算数减少12.01万元，下降42.4%，主要原因是严格按预算执行，工程等完工后及时支付。</w:t>
      </w:r>
    </w:p>
    <w:p>
      <w:pPr>
        <w:pStyle w:val="11"/>
        <w:shd w:val="clear" w:color="auto" w:fill="FFFFFF"/>
        <w:adjustRightInd w:val="0"/>
        <w:snapToGrid w:val="0"/>
        <w:spacing w:before="100" w:after="100" w:line="600" w:lineRule="exact"/>
        <w:ind w:firstLine="640" w:firstLineChars="200"/>
        <w:jc w:val="both"/>
        <w:rPr>
          <w:rFonts w:ascii="宋体" w:hAnsi="宋体" w:eastAsia="方正楷体_GBK" w:cs="宋体"/>
          <w:bCs/>
          <w:sz w:val="32"/>
          <w:szCs w:val="32"/>
        </w:rPr>
      </w:pPr>
      <w:r>
        <w:rPr>
          <w:rFonts w:hint="eastAsia" w:ascii="宋体" w:hAnsi="宋体" w:eastAsia="方正楷体_GBK" w:cs="宋体"/>
          <w:bCs/>
          <w:sz w:val="32"/>
          <w:szCs w:val="32"/>
        </w:rPr>
        <w:t>（二）财政拨款收入支出决算总体情况说明</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宋体" w:hAnsi="宋体" w:eastAsia="宋体" w:cs="宋体"/>
          <w:sz w:val="32"/>
          <w:szCs w:val="32"/>
          <w:shd w:val="clear" w:color="auto" w:fill="FFFFFF"/>
        </w:rPr>
        <w:t> </w:t>
      </w:r>
      <w:r>
        <w:rPr>
          <w:rFonts w:hint="eastAsia" w:ascii="方正仿宋_GBK" w:hAnsi="宋体" w:eastAsia="方正仿宋_GBK" w:cs="宋体"/>
          <w:sz w:val="32"/>
          <w:szCs w:val="32"/>
        </w:rPr>
        <w:t xml:space="preserve"> 2020年度财政拨款收、支总计492.84万元。与2019年相比，财政拨款收、支总计各增加40.38万 元，增长8.9%。主要原因是本年度人员经费收入增加，学校加大了对教育经费的投入，改善教育教学环境，提升教师的获得感，此外项目支出增加对厕所及操场硬化处理7.3万元。</w:t>
      </w:r>
    </w:p>
    <w:p>
      <w:pPr>
        <w:pStyle w:val="11"/>
        <w:shd w:val="clear" w:color="auto" w:fill="FFFFFF"/>
        <w:adjustRightInd w:val="0"/>
        <w:snapToGrid w:val="0"/>
        <w:spacing w:before="100" w:after="100" w:line="600" w:lineRule="exact"/>
        <w:ind w:firstLine="640" w:firstLineChars="200"/>
        <w:jc w:val="both"/>
        <w:rPr>
          <w:rFonts w:ascii="宋体" w:hAnsi="宋体" w:eastAsia="方正楷体_GBK" w:cs="宋体"/>
          <w:bCs/>
          <w:sz w:val="32"/>
          <w:szCs w:val="32"/>
        </w:rPr>
      </w:pPr>
      <w:r>
        <w:rPr>
          <w:rFonts w:hint="eastAsia" w:ascii="宋体" w:hAnsi="宋体" w:eastAsia="方正楷体_GBK" w:cs="宋体"/>
          <w:bCs/>
          <w:sz w:val="32"/>
          <w:szCs w:val="32"/>
        </w:rPr>
        <w:t>（三）一般公共预算财政拨款支出决算情况说明</w:t>
      </w:r>
    </w:p>
    <w:p>
      <w:pPr>
        <w:pStyle w:val="11"/>
        <w:shd w:val="clear" w:color="auto" w:fill="FFFFFF"/>
        <w:adjustRightInd w:val="0"/>
        <w:snapToGrid w:val="0"/>
        <w:spacing w:before="100" w:after="100" w:line="600" w:lineRule="exact"/>
        <w:ind w:firstLine="640" w:firstLineChars="200"/>
        <w:jc w:val="both"/>
        <w:rPr>
          <w:rFonts w:ascii="宋体" w:hAnsi="宋体" w:eastAsia="宋体" w:cs="宋体"/>
          <w:sz w:val="30"/>
          <w:szCs w:val="30"/>
        </w:rPr>
      </w:pPr>
      <w:r>
        <w:rPr>
          <w:rFonts w:hint="eastAsia" w:ascii="方正仿宋_GBK" w:hAnsi="宋体" w:eastAsia="方正仿宋_GBK" w:cs="宋体"/>
          <w:bCs/>
          <w:sz w:val="32"/>
          <w:szCs w:val="32"/>
        </w:rPr>
        <w:t>1.收入情况。</w:t>
      </w:r>
      <w:r>
        <w:rPr>
          <w:rFonts w:hint="eastAsia" w:ascii="方正仿宋_GBK" w:hAnsi="宋体" w:eastAsia="方正仿宋_GBK" w:cs="宋体"/>
          <w:sz w:val="32"/>
          <w:szCs w:val="32"/>
        </w:rPr>
        <w:t>2020年度一般公共预算财政拨款收入416.78万元，较上年决算数增加21.23万元，增长5.4%。主要原因是本年度人员经费收入增加。较年初预算数 增加53.15万元，增长14.6%。主要原因是本年度人员经费收入增加。此外，年初财政拨款结转和结余76.06万元。</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bCs/>
          <w:sz w:val="32"/>
          <w:szCs w:val="32"/>
        </w:rPr>
        <w:t>2.支出情况。</w:t>
      </w:r>
      <w:r>
        <w:rPr>
          <w:rFonts w:hint="eastAsia" w:ascii="方正仿宋_GBK" w:hAnsi="宋体" w:eastAsia="方正仿宋_GBK" w:cs="宋体"/>
          <w:sz w:val="32"/>
          <w:szCs w:val="32"/>
        </w:rPr>
        <w:t>2020年度一般公共预算财政拨款支出476.55万元，较上年决算数增加52.40万元，增长12.4%。主要原因是人员类经费超额绩效调标及社保费增加等，主要用于保障在职人员工资福利及社会保险缴费，离休人员离休费，退休人员补助等，保障部门正常运转的各项商品服务支出。较年初预算数增加84.61万元，增长21.6%。主要原因是学校加大对教育经费投入。</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bCs/>
          <w:sz w:val="32"/>
          <w:szCs w:val="32"/>
        </w:rPr>
        <w:t>3.结转结余情况。</w:t>
      </w:r>
      <w:r>
        <w:rPr>
          <w:rFonts w:hint="eastAsia" w:ascii="方正仿宋_GBK" w:hAnsi="宋体" w:eastAsia="方正仿宋_GBK" w:cs="宋体"/>
          <w:sz w:val="32"/>
          <w:szCs w:val="32"/>
        </w:rPr>
        <w:t>2020年度年末一般公共预算财政拨款结转和结余16.30万元，较上年决算数减少12.01万元，下降42.4%，严格按预算执行，工程等完工后及时支付。</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bCs/>
          <w:sz w:val="32"/>
          <w:szCs w:val="32"/>
        </w:rPr>
        <w:t>4.比较情况。</w:t>
      </w:r>
      <w:r>
        <w:rPr>
          <w:rFonts w:hint="eastAsia" w:ascii="方正仿宋_GBK" w:hAnsi="宋体" w:eastAsia="方正仿宋_GBK" w:cs="宋体"/>
          <w:sz w:val="32"/>
          <w:szCs w:val="32"/>
        </w:rPr>
        <w:t>本部门2020年度一般公共预算财政拨款支出主要用于以下几个方面：</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（1）教育支出327.67万元，占68.8%，较年初预算数增加62.04万元，增长23.4%，主要原因是人员类经费超额绩效调标等，主要用于保障在职人员工资福利。</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2）社会保障与就业支出108.36万元，占22.7%，较年初预算数增加25.36万元，增长30.6%，主要原因是人员类经费超额绩效调标及社保费增加等，主要用于保障在职人员工资福利及社会保险缴费，离休人员离休费，退休人员补助等，保障部门正常运转的各项商品服务支出。</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（3）卫生健康支出21.86万元，占4.6%，较年初预算数减少2.77万元，下降11.2%，主要原因是2020年退休人员有死亡。</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（4）住房保障支出18.65万元，占3.9%，较年初预算数减少0.03万元，下降0.2%，主要原因是减人减资。</w:t>
      </w:r>
    </w:p>
    <w:p>
      <w:pPr>
        <w:pStyle w:val="11"/>
        <w:shd w:val="clear" w:color="auto" w:fill="FFFFFF"/>
        <w:adjustRightInd w:val="0"/>
        <w:snapToGrid w:val="0"/>
        <w:spacing w:before="100" w:after="100" w:line="600" w:lineRule="exact"/>
        <w:ind w:firstLine="640" w:firstLineChars="200"/>
        <w:jc w:val="both"/>
        <w:rPr>
          <w:rFonts w:ascii="宋体" w:hAnsi="宋体" w:eastAsia="方正楷体_GBK" w:cs="宋体"/>
          <w:bCs/>
          <w:sz w:val="32"/>
          <w:szCs w:val="32"/>
        </w:rPr>
      </w:pPr>
      <w:r>
        <w:rPr>
          <w:rFonts w:hint="eastAsia" w:ascii="宋体" w:hAnsi="宋体" w:eastAsia="方正楷体_GBK" w:cs="宋体"/>
          <w:bCs/>
          <w:sz w:val="32"/>
          <w:szCs w:val="32"/>
        </w:rPr>
        <w:t>（四）一般公共预算财政拨款基本支出决算情况说明</w:t>
      </w:r>
    </w:p>
    <w:p>
      <w:pPr>
        <w:pStyle w:val="11"/>
        <w:spacing w:beforeAutospacing="0" w:line="600" w:lineRule="exact"/>
        <w:ind w:firstLine="540" w:firstLineChars="200"/>
        <w:jc w:val="both"/>
        <w:rPr>
          <w:rFonts w:ascii="方正仿宋_GBK" w:hAnsi="宋体" w:eastAsia="方正仿宋_GBK" w:cs="宋体"/>
          <w:sz w:val="32"/>
          <w:szCs w:val="32"/>
        </w:rPr>
      </w:pPr>
      <w:r>
        <w:rPr>
          <w:rFonts w:hint="eastAsia" w:ascii="宋体" w:hAnsi="宋体" w:eastAsia="宋体" w:cs="宋体"/>
          <w:sz w:val="27"/>
          <w:szCs w:val="27"/>
          <w:shd w:val="clear" w:color="auto" w:fill="FFFFFF"/>
        </w:rPr>
        <w:t> </w:t>
      </w:r>
      <w:r>
        <w:rPr>
          <w:rFonts w:hint="eastAsia" w:ascii="方正仿宋_GBK" w:hAnsi="宋体" w:eastAsia="方正仿宋_GBK" w:cs="宋体"/>
          <w:sz w:val="32"/>
          <w:szCs w:val="32"/>
        </w:rPr>
        <w:t xml:space="preserve"> 2020年度一般公共财政拨款基本支出430.76万元。其中：人员经费415.01万元，较上年决算数增加54.15万 元，增长15%，主要原因是人员类经费超额绩效调标及社保费增加等，主要用于保障在职人员工资福利及社会保险缴费，离休人员离休费，退休人员补助等，保障部门正常运转的各项商品服务支出。人员经费用途主要包括养老保险、职业年金、医疗保障、住房保障。公用经费15.75万元，较上年决算数增加0.15万元，增长1%，主要原因是差旅、办公增加。公用经费用途主要包括办公费、差旅费、印刷费、维修维护费、电费、水费、劳务费。</w:t>
      </w:r>
    </w:p>
    <w:p>
      <w:pPr>
        <w:pStyle w:val="11"/>
        <w:shd w:val="clear" w:color="auto" w:fill="FFFFFF"/>
        <w:adjustRightInd w:val="0"/>
        <w:snapToGrid w:val="0"/>
        <w:spacing w:before="100" w:after="100" w:line="600" w:lineRule="exact"/>
        <w:ind w:firstLine="640" w:firstLineChars="200"/>
        <w:jc w:val="both"/>
        <w:rPr>
          <w:rFonts w:ascii="宋体" w:hAnsi="宋体" w:eastAsia="方正楷体_GBK" w:cs="宋体"/>
          <w:bCs/>
          <w:sz w:val="32"/>
          <w:szCs w:val="32"/>
        </w:rPr>
      </w:pPr>
      <w:r>
        <w:rPr>
          <w:rFonts w:hint="eastAsia" w:ascii="宋体" w:hAnsi="宋体" w:eastAsia="方正楷体_GBK" w:cs="宋体"/>
          <w:bCs/>
          <w:sz w:val="32"/>
          <w:szCs w:val="32"/>
        </w:rPr>
        <w:t>（五）政府性基金预算收支决算情况说明</w:t>
      </w:r>
    </w:p>
    <w:p>
      <w:pPr>
        <w:pStyle w:val="11"/>
        <w:spacing w:beforeAutospacing="0" w:line="600" w:lineRule="exact"/>
        <w:ind w:firstLine="640" w:firstLineChars="200"/>
        <w:jc w:val="both"/>
        <w:rPr>
          <w:rFonts w:ascii="方正仿宋_GBK" w:hAnsi="宋体" w:eastAsia="方正仿宋_GBK" w:cs="宋体"/>
          <w:sz w:val="32"/>
          <w:szCs w:val="32"/>
        </w:rPr>
      </w:pPr>
      <w:r>
        <w:rPr>
          <w:rFonts w:hint="eastAsia" w:ascii="宋体" w:hAnsi="宋体" w:eastAsia="宋体" w:cs="宋体"/>
          <w:sz w:val="32"/>
          <w:szCs w:val="32"/>
          <w:shd w:val="clear" w:color="auto" w:fill="FFFFFF"/>
        </w:rPr>
        <w:t> </w:t>
      </w:r>
      <w:r>
        <w:rPr>
          <w:rFonts w:hint="eastAsia" w:ascii="方正仿宋_GBK" w:hAnsi="宋体" w:eastAsia="方正仿宋_GBK" w:cs="宋体"/>
          <w:sz w:val="32"/>
          <w:szCs w:val="32"/>
        </w:rPr>
        <w:t xml:space="preserve"> 2020年度政府性基金预算财政拨款年初结转结余0.00万元，年末结转结余0.00万元。本年收入0.00万元，较上年决算数增加0.00万元，增长0%。本年支出0.00万元，较上年决算数增加0.00万元，增长0%。本部门2020年度无政府性基金预算财政拨款收支。</w:t>
      </w:r>
    </w:p>
    <w:p>
      <w:pPr>
        <w:pStyle w:val="11"/>
        <w:shd w:val="clear" w:color="auto" w:fill="FFFFFF"/>
        <w:adjustRightInd w:val="0"/>
        <w:snapToGrid w:val="0"/>
        <w:spacing w:before="100" w:after="100" w:line="600" w:lineRule="exact"/>
        <w:ind w:firstLine="640" w:firstLineChars="200"/>
        <w:jc w:val="both"/>
        <w:rPr>
          <w:rFonts w:ascii="宋体" w:hAnsi="宋体" w:eastAsia="方正楷体_GBK" w:cs="宋体"/>
          <w:bCs/>
          <w:sz w:val="32"/>
          <w:szCs w:val="32"/>
        </w:rPr>
      </w:pPr>
      <w:r>
        <w:rPr>
          <w:rFonts w:hint="eastAsia" w:ascii="宋体" w:hAnsi="宋体" w:eastAsia="方正楷体_GBK" w:cs="宋体"/>
          <w:bCs/>
          <w:sz w:val="32"/>
          <w:szCs w:val="32"/>
        </w:rPr>
        <w:t>（六）国有资本经营预算财政拨款</w:t>
      </w:r>
      <w:r>
        <w:rPr>
          <w:rFonts w:hint="eastAsia" w:ascii="宋体" w:hAnsi="宋体" w:eastAsia="方正楷体_GBK" w:cs="宋体"/>
          <w:bCs/>
          <w:sz w:val="32"/>
          <w:szCs w:val="32"/>
          <w:lang w:eastAsia="zh-CN"/>
        </w:rPr>
        <w:t>支出</w:t>
      </w:r>
      <w:r>
        <w:rPr>
          <w:rFonts w:hint="eastAsia" w:ascii="宋体" w:hAnsi="宋体" w:eastAsia="方正楷体_GBK" w:cs="宋体"/>
          <w:bCs/>
          <w:sz w:val="32"/>
          <w:szCs w:val="32"/>
        </w:rPr>
        <w:t>决算情况说明</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 xml:space="preserve">   2020年度国有资本经营预算财政拨本年支出0.00万元，基本支出0.00万元，项目支出0.00万元。</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 xml:space="preserve"> 本部门无国有资本经营预算财政拨款支出。</w:t>
      </w:r>
    </w:p>
    <w:p>
      <w:pPr>
        <w:pStyle w:val="11"/>
        <w:shd w:val="clear" w:color="auto" w:fill="FFFFFF"/>
        <w:adjustRightInd w:val="0"/>
        <w:snapToGrid w:val="0"/>
        <w:spacing w:before="100" w:after="100" w:line="600" w:lineRule="exact"/>
        <w:ind w:firstLine="640" w:firstLineChars="200"/>
        <w:rPr>
          <w:rStyle w:val="14"/>
          <w:rFonts w:ascii="方正黑体_GBK" w:hAnsi="Times New Roman" w:eastAsia="方正黑体_GBK"/>
          <w:b w:val="0"/>
          <w:bCs/>
          <w:sz w:val="32"/>
          <w:szCs w:val="32"/>
        </w:rPr>
      </w:pPr>
      <w:r>
        <w:rPr>
          <w:rStyle w:val="14"/>
          <w:rFonts w:hint="eastAsia" w:ascii="方正黑体_GBK" w:hAnsi="Times New Roman" w:eastAsia="方正黑体_GBK"/>
          <w:b w:val="0"/>
          <w:bCs/>
          <w:sz w:val="32"/>
          <w:szCs w:val="32"/>
        </w:rPr>
        <w:t>三、“三公”经费情况说明</w:t>
      </w:r>
    </w:p>
    <w:p>
      <w:pPr>
        <w:pStyle w:val="11"/>
        <w:shd w:val="clear" w:color="auto" w:fill="FFFFFF"/>
        <w:adjustRightInd w:val="0"/>
        <w:snapToGrid w:val="0"/>
        <w:spacing w:before="100" w:after="100" w:line="600" w:lineRule="exact"/>
        <w:ind w:firstLine="640" w:firstLineChars="200"/>
        <w:jc w:val="both"/>
        <w:rPr>
          <w:rFonts w:ascii="宋体" w:hAnsi="宋体" w:eastAsia="方正楷体_GBK" w:cs="宋体"/>
          <w:bCs/>
          <w:sz w:val="32"/>
          <w:szCs w:val="32"/>
        </w:rPr>
      </w:pPr>
      <w:r>
        <w:rPr>
          <w:rFonts w:hint="eastAsia" w:ascii="宋体" w:hAnsi="宋体" w:eastAsia="方正楷体_GBK" w:cs="宋体"/>
          <w:bCs/>
          <w:sz w:val="32"/>
          <w:szCs w:val="32"/>
        </w:rPr>
        <w:t>（一）“三公”经费支出总体情况说明</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2020年度“三公”经费支出共计0.00万元，较年初预算数增加0.00万元，增长0%。 较上年支出数增加0.00万元，增长0%。本单位2020年未发生“三公”经费支出。</w:t>
      </w:r>
    </w:p>
    <w:p>
      <w:pPr>
        <w:pStyle w:val="11"/>
        <w:shd w:val="clear" w:color="auto" w:fill="FFFFFF"/>
        <w:adjustRightInd w:val="0"/>
        <w:snapToGrid w:val="0"/>
        <w:spacing w:before="100" w:after="100" w:line="600" w:lineRule="exact"/>
        <w:ind w:firstLine="640" w:firstLineChars="200"/>
        <w:jc w:val="both"/>
        <w:rPr>
          <w:rFonts w:ascii="宋体" w:hAnsi="宋体" w:eastAsia="方正楷体_GBK" w:cs="宋体"/>
          <w:bCs/>
          <w:sz w:val="32"/>
          <w:szCs w:val="32"/>
        </w:rPr>
      </w:pPr>
      <w:r>
        <w:rPr>
          <w:rFonts w:hint="eastAsia" w:ascii="宋体" w:hAnsi="宋体" w:eastAsia="方正楷体_GBK" w:cs="宋体"/>
          <w:bCs/>
          <w:sz w:val="32"/>
          <w:szCs w:val="32"/>
        </w:rPr>
        <w:t>（二）“三公”经费分项支出情况</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2020年度本部门因公出国（境）费用0.00万元，费用支出较年初预算数增加0.00万元，增长0%，较上年支出数增加0.00万元，增长0%。本单位2020年度本部门未发生因公出国（境）费用。</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公务车购置费0.00万元，费用支出较年初预算数增加0.00万元，增长0%。较上年支出数增加0.00万元，增长0%。本单位2020年度未发生公务车购置费。</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公务车运行维护费0.00万元，费用支出较年初预算数增加0.00万元，增长0%，较上年支出数增加0.00万元，增长0%。本单位2020年度未发生公务车运行维护费。</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公务接待费0.00万元，费用支出较年初预算数增加0.00万元，增长0%。较上年支出数增加0.00万元，增长0%。本单位2020年度未发生公务接待费。</w:t>
      </w:r>
    </w:p>
    <w:p>
      <w:pPr>
        <w:pStyle w:val="11"/>
        <w:shd w:val="clear" w:color="auto" w:fill="FFFFFF"/>
        <w:adjustRightInd w:val="0"/>
        <w:snapToGrid w:val="0"/>
        <w:spacing w:before="100" w:after="100" w:line="600" w:lineRule="exact"/>
        <w:ind w:firstLine="640" w:firstLineChars="200"/>
        <w:jc w:val="both"/>
        <w:rPr>
          <w:rFonts w:ascii="宋体" w:hAnsi="宋体" w:eastAsia="方正楷体_GBK" w:cs="宋体"/>
          <w:bCs/>
          <w:sz w:val="32"/>
          <w:szCs w:val="32"/>
        </w:rPr>
      </w:pPr>
      <w:r>
        <w:rPr>
          <w:rFonts w:hint="eastAsia" w:ascii="宋体" w:hAnsi="宋体" w:eastAsia="方正楷体_GBK" w:cs="宋体"/>
          <w:bCs/>
          <w:sz w:val="32"/>
          <w:szCs w:val="32"/>
        </w:rPr>
        <w:t>（三）“三公”经费实物量情况</w:t>
      </w:r>
    </w:p>
    <w:p>
      <w:pPr>
        <w:pStyle w:val="11"/>
        <w:shd w:val="clear" w:color="auto" w:fill="FFFFFF"/>
        <w:adjustRightInd w:val="0"/>
        <w:snapToGrid w:val="0"/>
        <w:spacing w:before="100" w:after="100" w:line="600" w:lineRule="exact"/>
        <w:ind w:firstLine="640" w:firstLineChars="200"/>
        <w:jc w:val="both"/>
        <w:rPr>
          <w:rStyle w:val="14"/>
          <w:rFonts w:ascii="宋体" w:hAnsi="宋体" w:eastAsia="宋体" w:cs="宋体"/>
          <w:b w:val="0"/>
          <w:sz w:val="27"/>
          <w:szCs w:val="27"/>
          <w:shd w:val="clear" w:color="auto" w:fill="FFFFFF"/>
        </w:rPr>
      </w:pPr>
      <w:r>
        <w:rPr>
          <w:rFonts w:hint="eastAsia" w:ascii="方正仿宋_GBK" w:hAnsi="宋体" w:eastAsia="方正仿宋_GBK" w:cs="宋体"/>
          <w:sz w:val="32"/>
          <w:szCs w:val="32"/>
        </w:rPr>
        <w:t>2020年度本部门因公出国（境）共计0个团组，0人；公务用车购置0辆，公务车保有量为0辆；国内公务接待0批次0人，其中：国内外事接待0批次，0人；国（境）外公务接待0批次，0人。2020年本部门人均接待费0.00元，车均购置费0.00万元，车均维护费0.00万元。</w:t>
      </w:r>
    </w:p>
    <w:p>
      <w:pPr>
        <w:pStyle w:val="11"/>
        <w:shd w:val="clear" w:color="auto" w:fill="FFFFFF"/>
        <w:adjustRightInd w:val="0"/>
        <w:snapToGrid w:val="0"/>
        <w:spacing w:before="100" w:after="100" w:line="600" w:lineRule="exact"/>
        <w:ind w:firstLine="640" w:firstLineChars="200"/>
        <w:rPr>
          <w:rStyle w:val="14"/>
          <w:rFonts w:ascii="方正黑体_GBK" w:hAnsi="Times New Roman" w:eastAsia="方正黑体_GBK"/>
          <w:b w:val="0"/>
          <w:bCs/>
          <w:sz w:val="32"/>
          <w:szCs w:val="32"/>
        </w:rPr>
      </w:pPr>
      <w:r>
        <w:rPr>
          <w:rStyle w:val="14"/>
          <w:rFonts w:hint="eastAsia" w:ascii="方正黑体_GBK" w:hAnsi="Times New Roman" w:eastAsia="方正黑体_GBK"/>
          <w:b w:val="0"/>
          <w:bCs/>
          <w:sz w:val="32"/>
          <w:szCs w:val="32"/>
        </w:rPr>
        <w:t>四、其他需要说明的事项</w:t>
      </w:r>
    </w:p>
    <w:p>
      <w:pPr>
        <w:pStyle w:val="11"/>
        <w:shd w:val="clear" w:color="auto" w:fill="FFFFFF"/>
        <w:adjustRightInd w:val="0"/>
        <w:snapToGrid w:val="0"/>
        <w:spacing w:before="100" w:after="100" w:line="600" w:lineRule="exact"/>
        <w:ind w:firstLine="640" w:firstLineChars="200"/>
        <w:jc w:val="both"/>
        <w:rPr>
          <w:rFonts w:ascii="宋体" w:hAnsi="宋体" w:eastAsia="方正楷体_GBK" w:cs="宋体"/>
          <w:bCs/>
          <w:sz w:val="32"/>
          <w:szCs w:val="32"/>
        </w:rPr>
      </w:pPr>
      <w:r>
        <w:rPr>
          <w:rFonts w:hint="eastAsia" w:ascii="宋体" w:hAnsi="宋体" w:eastAsia="方正楷体_GBK" w:cs="宋体"/>
          <w:bCs/>
          <w:sz w:val="32"/>
          <w:szCs w:val="32"/>
        </w:rPr>
        <w:t>（一）机关运行经费情况说明</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2020年度本部门机关运行经费支出0.00万元， 机关运行经费较上年决算数增加0.00万元，增长0%。按照部门决算列报口径，我单位不在机关运行经费统计范围之内。</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本年度会议费支出0.13万元，较上年决算数增加0.02万元，增长18.2%，主要原因是本年度教师校内培训增加。本年度培训费支出 0.49万元，较上年决算数减少1.02万元，下降67.5%，主要原因是疫情原因，开展线上培训。</w:t>
      </w:r>
    </w:p>
    <w:p>
      <w:pPr>
        <w:pStyle w:val="11"/>
        <w:shd w:val="clear" w:color="auto" w:fill="FFFFFF"/>
        <w:adjustRightInd w:val="0"/>
        <w:snapToGrid w:val="0"/>
        <w:spacing w:before="100" w:after="100" w:line="600" w:lineRule="exact"/>
        <w:ind w:firstLine="640" w:firstLineChars="200"/>
        <w:jc w:val="both"/>
        <w:rPr>
          <w:rFonts w:ascii="宋体" w:hAnsi="宋体" w:eastAsia="方正楷体_GBK" w:cs="宋体"/>
          <w:bCs/>
          <w:sz w:val="32"/>
          <w:szCs w:val="32"/>
        </w:rPr>
      </w:pPr>
      <w:r>
        <w:rPr>
          <w:rFonts w:hint="eastAsia" w:ascii="宋体" w:hAnsi="宋体" w:eastAsia="方正楷体_GBK" w:cs="宋体"/>
          <w:bCs/>
          <w:sz w:val="32"/>
          <w:szCs w:val="32"/>
        </w:rPr>
        <w:t>（二）国有资产占用情况说明</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截至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p>
    <w:p>
      <w:pPr>
        <w:pStyle w:val="11"/>
        <w:shd w:val="clear" w:color="auto" w:fill="FFFFFF"/>
        <w:adjustRightInd w:val="0"/>
        <w:snapToGrid w:val="0"/>
        <w:spacing w:before="100" w:after="100" w:line="600" w:lineRule="exact"/>
        <w:ind w:firstLine="640" w:firstLineChars="200"/>
        <w:jc w:val="both"/>
        <w:rPr>
          <w:rFonts w:ascii="宋体" w:hAnsi="宋体" w:eastAsia="方正楷体_GBK" w:cs="宋体"/>
          <w:bCs/>
          <w:sz w:val="32"/>
          <w:szCs w:val="32"/>
        </w:rPr>
      </w:pPr>
      <w:r>
        <w:rPr>
          <w:rFonts w:hint="eastAsia" w:ascii="宋体" w:hAnsi="宋体" w:eastAsia="方正楷体_GBK" w:cs="宋体"/>
          <w:bCs/>
          <w:sz w:val="32"/>
          <w:szCs w:val="32"/>
        </w:rPr>
        <w:t>（三）政府采购支出情况说明</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2020年度本部门政府采购支出总额0.00万元，其中：政府采购货物支出0.00万元、政府采购工程支出0.00万元、政府采购服务支出0.00万元。授予中小企业合同金额0.00万元，占政府采购支出总额的0%，其中：授予小微企业合同金额0.00万元，占政府采购支出总额的0%。</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2020年度我单位未发生政府采购事项，无相关经费支出。</w:t>
      </w:r>
    </w:p>
    <w:p>
      <w:pPr>
        <w:pStyle w:val="11"/>
        <w:shd w:val="clear" w:color="auto" w:fill="FFFFFF"/>
        <w:adjustRightInd w:val="0"/>
        <w:snapToGrid w:val="0"/>
        <w:spacing w:before="100" w:after="100" w:line="600" w:lineRule="exact"/>
        <w:ind w:firstLine="640" w:firstLineChars="200"/>
        <w:rPr>
          <w:rStyle w:val="14"/>
          <w:rFonts w:ascii="方正黑体_GBK" w:hAnsi="Times New Roman" w:eastAsia="方正黑体_GBK"/>
          <w:b w:val="0"/>
          <w:bCs/>
          <w:sz w:val="32"/>
          <w:szCs w:val="32"/>
        </w:rPr>
      </w:pPr>
      <w:r>
        <w:rPr>
          <w:rStyle w:val="14"/>
          <w:rFonts w:hint="eastAsia" w:ascii="方正黑体_GBK" w:hAnsi="Times New Roman" w:eastAsia="方正黑体_GBK"/>
          <w:b w:val="0"/>
          <w:bCs/>
          <w:sz w:val="32"/>
          <w:szCs w:val="32"/>
        </w:rPr>
        <w:t>五、预算绩效管理情况说明</w:t>
      </w:r>
    </w:p>
    <w:p>
      <w:pPr>
        <w:pStyle w:val="11"/>
        <w:shd w:val="clear" w:color="auto" w:fill="FFFFFF"/>
        <w:adjustRightInd w:val="0"/>
        <w:snapToGrid w:val="0"/>
        <w:spacing w:before="100" w:after="100" w:line="600" w:lineRule="exact"/>
        <w:ind w:firstLine="640" w:firstLineChars="200"/>
        <w:jc w:val="both"/>
        <w:rPr>
          <w:rFonts w:ascii="宋体" w:hAnsi="宋体" w:eastAsia="方正楷体_GBK" w:cs="宋体"/>
          <w:bCs/>
          <w:sz w:val="32"/>
          <w:szCs w:val="32"/>
        </w:rPr>
      </w:pPr>
      <w:r>
        <w:rPr>
          <w:rFonts w:hint="eastAsia" w:ascii="宋体" w:hAnsi="宋体" w:eastAsia="方正楷体_GBK" w:cs="宋体"/>
          <w:bCs/>
          <w:sz w:val="32"/>
          <w:szCs w:val="32"/>
        </w:rPr>
        <w:t>（一）预算绩效管理工作开展情况</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根据预算绩效管理要求，本单位对单位整体和15个项目开展了绩效自评，其中，以填报目标自评表形式开展自评15项，涉及资金30.23万元；以委托第三方形式开展绩效自评0项，涉及资金0万元。从评价情况来看，取得了很好的绩效，改善了学校的硬软件办学条件，促进了均衡教育。</w:t>
      </w:r>
    </w:p>
    <w:p>
      <w:pPr>
        <w:pStyle w:val="11"/>
        <w:shd w:val="clear" w:color="auto" w:fill="FFFFFF"/>
        <w:adjustRightInd w:val="0"/>
        <w:snapToGrid w:val="0"/>
        <w:spacing w:before="100" w:after="100" w:line="600" w:lineRule="exact"/>
        <w:ind w:firstLine="640" w:firstLineChars="200"/>
        <w:jc w:val="both"/>
        <w:rPr>
          <w:rFonts w:ascii="宋体" w:hAnsi="宋体" w:eastAsia="方正楷体_GBK" w:cs="宋体"/>
          <w:bCs/>
          <w:sz w:val="32"/>
          <w:szCs w:val="32"/>
        </w:rPr>
      </w:pPr>
      <w:r>
        <w:rPr>
          <w:rFonts w:hint="eastAsia" w:ascii="宋体" w:hAnsi="宋体" w:eastAsia="方正楷体_GBK" w:cs="宋体"/>
          <w:bCs/>
          <w:sz w:val="32"/>
          <w:szCs w:val="32"/>
        </w:rPr>
        <w:t>（二）绩效自评结果</w:t>
      </w:r>
    </w:p>
    <w:p>
      <w:pPr>
        <w:pStyle w:val="11"/>
        <w:shd w:val="clear" w:color="auto" w:fill="FFFFFF"/>
        <w:adjustRightInd w:val="0"/>
        <w:snapToGrid w:val="0"/>
        <w:spacing w:before="100" w:after="100" w:line="600" w:lineRule="exact"/>
        <w:ind w:firstLine="640" w:firstLineChars="200"/>
        <w:jc w:val="both"/>
        <w:rPr>
          <w:rStyle w:val="14"/>
          <w:rFonts w:ascii="方正仿宋_GBK" w:hAnsi="Times New Roman" w:eastAsia="方正仿宋_GBK"/>
          <w:b w:val="0"/>
          <w:bCs/>
          <w:sz w:val="32"/>
          <w:szCs w:val="32"/>
        </w:rPr>
      </w:pPr>
      <w:r>
        <w:rPr>
          <w:rStyle w:val="14"/>
          <w:rFonts w:hint="eastAsia" w:ascii="方正仿宋_GBK" w:hAnsi="Times New Roman" w:eastAsia="方正仿宋_GBK"/>
          <w:b w:val="0"/>
          <w:bCs/>
          <w:sz w:val="32"/>
          <w:szCs w:val="32"/>
        </w:rPr>
        <w:t>1.绩效自评表</w:t>
      </w:r>
    </w:p>
    <w:p>
      <w:pPr>
        <w:pStyle w:val="11"/>
        <w:shd w:val="clear" w:color="auto" w:fill="FFFFFF"/>
        <w:adjustRightInd w:val="0"/>
        <w:snapToGrid w:val="0"/>
        <w:spacing w:before="100" w:after="100" w:line="600" w:lineRule="exact"/>
        <w:ind w:firstLine="640" w:firstLineChars="200"/>
        <w:jc w:val="both"/>
        <w:rPr>
          <w:rStyle w:val="14"/>
          <w:rFonts w:ascii="方正仿宋_GBK" w:hAnsi="Times New Roman" w:eastAsia="方正仿宋_GBK"/>
          <w:b w:val="0"/>
          <w:bCs/>
          <w:sz w:val="32"/>
          <w:szCs w:val="32"/>
        </w:rPr>
      </w:pPr>
    </w:p>
    <w:p>
      <w:pPr>
        <w:pStyle w:val="11"/>
        <w:shd w:val="clear" w:color="auto" w:fill="FFFFFF"/>
        <w:adjustRightInd w:val="0"/>
        <w:snapToGrid w:val="0"/>
        <w:spacing w:before="100" w:after="100" w:line="600" w:lineRule="exact"/>
        <w:ind w:firstLine="640" w:firstLineChars="200"/>
        <w:jc w:val="both"/>
        <w:rPr>
          <w:rFonts w:ascii="方正小标宋_GBK" w:hAnsi="方正小标宋_GBK" w:eastAsia="方正小标宋_GBK" w:cs="方正小标宋_GBK"/>
          <w:bCs/>
          <w:color w:val="000000"/>
          <w:sz w:val="32"/>
          <w:szCs w:val="32"/>
          <w:lang w:bidi="ar"/>
        </w:rPr>
      </w:pPr>
    </w:p>
    <w:p>
      <w:pPr>
        <w:pStyle w:val="11"/>
        <w:shd w:val="clear" w:color="auto" w:fill="FFFFFF"/>
        <w:adjustRightInd w:val="0"/>
        <w:snapToGrid w:val="0"/>
        <w:spacing w:before="100" w:after="100" w:line="600" w:lineRule="exact"/>
        <w:ind w:firstLine="640" w:firstLineChars="200"/>
        <w:jc w:val="both"/>
        <w:rPr>
          <w:rStyle w:val="14"/>
          <w:rFonts w:ascii="方正仿宋_GBK" w:hAnsi="Times New Roman" w:eastAsia="方正仿宋_GBK"/>
          <w:b w:val="0"/>
          <w:bCs/>
          <w:sz w:val="32"/>
          <w:szCs w:val="32"/>
        </w:rPr>
      </w:pPr>
      <w:r>
        <w:rPr>
          <w:rFonts w:hint="eastAsia" w:ascii="方正小标宋_GBK" w:hAnsi="方正小标宋_GBK" w:eastAsia="方正小标宋_GBK" w:cs="方正小标宋_GBK"/>
          <w:bCs/>
          <w:color w:val="000000"/>
          <w:sz w:val="32"/>
          <w:szCs w:val="32"/>
          <w:lang w:bidi="ar"/>
        </w:rPr>
        <w:t>2020年度部门（单位）项目支出绩效自评表</w:t>
      </w:r>
    </w:p>
    <w:tbl>
      <w:tblPr>
        <w:tblStyle w:val="12"/>
        <w:tblW w:w="8420" w:type="dxa"/>
        <w:tblInd w:w="91" w:type="dxa"/>
        <w:tblLayout w:type="fixed"/>
        <w:tblCellMar>
          <w:top w:w="0" w:type="dxa"/>
          <w:left w:w="108" w:type="dxa"/>
          <w:bottom w:w="0" w:type="dxa"/>
          <w:right w:w="108" w:type="dxa"/>
        </w:tblCellMar>
      </w:tblPr>
      <w:tblGrid>
        <w:gridCol w:w="452"/>
        <w:gridCol w:w="505"/>
        <w:gridCol w:w="1154"/>
        <w:gridCol w:w="1315"/>
        <w:gridCol w:w="1315"/>
        <w:gridCol w:w="399"/>
        <w:gridCol w:w="399"/>
        <w:gridCol w:w="488"/>
        <w:gridCol w:w="1275"/>
        <w:gridCol w:w="510"/>
        <w:gridCol w:w="608"/>
      </w:tblGrid>
      <w:tr>
        <w:tblPrEx>
          <w:tblCellMar>
            <w:top w:w="0" w:type="dxa"/>
            <w:left w:w="108" w:type="dxa"/>
            <w:bottom w:w="0" w:type="dxa"/>
            <w:right w:w="108" w:type="dxa"/>
          </w:tblCellMar>
        </w:tblPrEx>
        <w:trPr>
          <w:trHeight w:val="528" w:hRule="atLeast"/>
        </w:trPr>
        <w:tc>
          <w:tcPr>
            <w:tcW w:w="8420" w:type="dxa"/>
            <w:gridSpan w:val="11"/>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预算年度</w:t>
            </w:r>
            <w:r>
              <w:rPr>
                <w:rFonts w:hint="eastAsia" w:ascii="宋体" w:hAnsi="宋体" w:eastAsia="宋体" w:cs="宋体"/>
                <w:color w:val="000000"/>
                <w:sz w:val="20"/>
                <w:szCs w:val="20"/>
                <w:lang w:eastAsia="zh-CN" w:bidi="ar"/>
              </w:rPr>
              <w:t>：</w:t>
            </w:r>
            <w:r>
              <w:rPr>
                <w:rFonts w:hint="eastAsia" w:ascii="宋体" w:hAnsi="宋体" w:eastAsia="宋体" w:cs="宋体"/>
                <w:color w:val="000000"/>
                <w:sz w:val="20"/>
                <w:szCs w:val="20"/>
                <w:lang w:bidi="ar"/>
              </w:rPr>
              <w:t>2020</w:t>
            </w:r>
          </w:p>
        </w:tc>
      </w:tr>
      <w:tr>
        <w:tblPrEx>
          <w:tblCellMar>
            <w:top w:w="0" w:type="dxa"/>
            <w:left w:w="108" w:type="dxa"/>
            <w:bottom w:w="0" w:type="dxa"/>
            <w:right w:w="108" w:type="dxa"/>
          </w:tblCellMar>
        </w:tblPrEx>
        <w:trPr>
          <w:trHeight w:val="1219" w:hRule="atLeast"/>
        </w:trPr>
        <w:tc>
          <w:tcPr>
            <w:tcW w:w="95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预算（单位）名称：</w:t>
            </w:r>
          </w:p>
        </w:tc>
        <w:tc>
          <w:tcPr>
            <w:tcW w:w="6345"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102009028</w:t>
            </w:r>
            <w:r>
              <w:rPr>
                <w:rFonts w:hint="eastAsia" w:ascii="宋体" w:hAnsi="宋体" w:eastAsia="宋体" w:cs="宋体"/>
                <w:color w:val="000000"/>
                <w:sz w:val="20"/>
                <w:szCs w:val="20"/>
                <w:lang w:eastAsia="zh-CN" w:bidi="ar"/>
              </w:rPr>
              <w:t>－</w:t>
            </w:r>
            <w:r>
              <w:rPr>
                <w:rFonts w:hint="eastAsia" w:ascii="宋体" w:hAnsi="宋体" w:eastAsia="宋体" w:cs="宋体"/>
                <w:color w:val="000000"/>
                <w:sz w:val="20"/>
                <w:szCs w:val="20"/>
                <w:lang w:bidi="ar"/>
              </w:rPr>
              <w:t>重庆市綦江区瀛坪小学</w:t>
            </w:r>
          </w:p>
        </w:tc>
        <w:tc>
          <w:tcPr>
            <w:tcW w:w="1118"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right"/>
              <w:rPr>
                <w:rFonts w:ascii="宋体" w:hAnsi="宋体" w:eastAsia="宋体" w:cs="宋体"/>
                <w:bCs/>
                <w:color w:val="FF0000"/>
                <w:sz w:val="20"/>
                <w:szCs w:val="20"/>
              </w:rPr>
            </w:pPr>
          </w:p>
        </w:tc>
      </w:tr>
      <w:tr>
        <w:tblPrEx>
          <w:tblCellMar>
            <w:top w:w="0" w:type="dxa"/>
            <w:left w:w="108" w:type="dxa"/>
            <w:bottom w:w="0" w:type="dxa"/>
            <w:right w:w="108" w:type="dxa"/>
          </w:tblCellMar>
        </w:tblPrEx>
        <w:trPr>
          <w:trHeight w:val="384" w:hRule="atLeast"/>
        </w:trPr>
        <w:tc>
          <w:tcPr>
            <w:tcW w:w="95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总体资金情况（元）</w:t>
            </w:r>
          </w:p>
        </w:tc>
        <w:tc>
          <w:tcPr>
            <w:tcW w:w="115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Cs/>
                <w:color w:val="000000"/>
                <w:sz w:val="20"/>
                <w:szCs w:val="20"/>
              </w:rPr>
            </w:pPr>
            <w:r>
              <w:rPr>
                <w:rFonts w:hint="eastAsia" w:ascii="宋体" w:hAnsi="宋体" w:eastAsia="宋体" w:cs="宋体"/>
                <w:bCs/>
                <w:color w:val="000000"/>
                <w:sz w:val="20"/>
                <w:szCs w:val="20"/>
                <w:lang w:bidi="ar"/>
              </w:rPr>
              <w:t>预算支出总额</w:t>
            </w:r>
          </w:p>
        </w:tc>
        <w:tc>
          <w:tcPr>
            <w:tcW w:w="3428"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Cs/>
                <w:color w:val="000000"/>
                <w:sz w:val="20"/>
                <w:szCs w:val="20"/>
              </w:rPr>
            </w:pPr>
            <w:r>
              <w:rPr>
                <w:rFonts w:hint="eastAsia" w:ascii="宋体" w:hAnsi="宋体" w:eastAsia="宋体" w:cs="宋体"/>
                <w:bCs/>
                <w:color w:val="000000"/>
                <w:sz w:val="20"/>
                <w:szCs w:val="20"/>
                <w:lang w:bidi="ar"/>
              </w:rPr>
              <w:t>基本支出</w:t>
            </w:r>
          </w:p>
        </w:tc>
        <w:tc>
          <w:tcPr>
            <w:tcW w:w="288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Cs/>
                <w:color w:val="000000"/>
                <w:sz w:val="20"/>
                <w:szCs w:val="20"/>
              </w:rPr>
            </w:pPr>
            <w:r>
              <w:rPr>
                <w:rFonts w:hint="eastAsia" w:ascii="宋体" w:hAnsi="宋体" w:eastAsia="宋体" w:cs="宋体"/>
                <w:bCs/>
                <w:color w:val="000000"/>
                <w:sz w:val="20"/>
                <w:szCs w:val="20"/>
                <w:lang w:bidi="ar"/>
              </w:rPr>
              <w:t>项目支出</w:t>
            </w:r>
          </w:p>
        </w:tc>
      </w:tr>
      <w:tr>
        <w:tblPrEx>
          <w:tblCellMar>
            <w:top w:w="0" w:type="dxa"/>
            <w:left w:w="108" w:type="dxa"/>
            <w:bottom w:w="0" w:type="dxa"/>
            <w:right w:w="108" w:type="dxa"/>
          </w:tblCellMar>
        </w:tblPrEx>
        <w:trPr>
          <w:trHeight w:val="978" w:hRule="atLeast"/>
        </w:trPr>
        <w:tc>
          <w:tcPr>
            <w:tcW w:w="9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bCs/>
                <w:color w:val="000000"/>
                <w:sz w:val="20"/>
                <w:szCs w:val="20"/>
              </w:rPr>
            </w:pP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合计</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财政拨款</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专户资金</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单位资金</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合计</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财政拨款</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专户资金</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单位资金</w:t>
            </w:r>
          </w:p>
        </w:tc>
      </w:tr>
      <w:tr>
        <w:tblPrEx>
          <w:tblCellMar>
            <w:top w:w="0" w:type="dxa"/>
            <w:left w:w="108" w:type="dxa"/>
            <w:bottom w:w="0" w:type="dxa"/>
            <w:right w:w="108" w:type="dxa"/>
          </w:tblCellMar>
        </w:tblPrEx>
        <w:trPr>
          <w:trHeight w:val="526" w:hRule="atLeast"/>
        </w:trPr>
        <w:tc>
          <w:tcPr>
            <w:tcW w:w="9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1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4,765,456.93</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4,307,582.09</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3,848,972.30</w:t>
            </w: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3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457874.84</w:t>
            </w: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457874.84</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1946" w:hRule="atLeast"/>
        </w:trPr>
        <w:tc>
          <w:tcPr>
            <w:tcW w:w="4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Cs/>
                <w:color w:val="000000"/>
                <w:sz w:val="20"/>
                <w:szCs w:val="20"/>
              </w:rPr>
            </w:pPr>
            <w:r>
              <w:rPr>
                <w:rFonts w:hint="eastAsia" w:ascii="宋体" w:hAnsi="宋体" w:eastAsia="宋体" w:cs="宋体"/>
                <w:bCs/>
                <w:color w:val="000000"/>
                <w:sz w:val="20"/>
                <w:szCs w:val="20"/>
                <w:lang w:bidi="ar"/>
              </w:rPr>
              <w:t>部</w:t>
            </w:r>
            <w:r>
              <w:rPr>
                <w:rFonts w:hint="eastAsia" w:ascii="宋体" w:hAnsi="宋体" w:eastAsia="宋体" w:cs="宋体"/>
                <w:bCs/>
                <w:color w:val="000000"/>
                <w:sz w:val="20"/>
                <w:szCs w:val="20"/>
                <w:lang w:bidi="ar"/>
              </w:rPr>
              <w:br w:type="textWrapping"/>
            </w:r>
            <w:r>
              <w:rPr>
                <w:rFonts w:hint="eastAsia" w:ascii="宋体" w:hAnsi="宋体" w:eastAsia="宋体" w:cs="宋体"/>
                <w:bCs/>
                <w:color w:val="000000"/>
                <w:sz w:val="20"/>
                <w:szCs w:val="20"/>
                <w:lang w:bidi="ar"/>
              </w:rPr>
              <w:t>门</w:t>
            </w:r>
            <w:r>
              <w:rPr>
                <w:rFonts w:hint="eastAsia" w:ascii="宋体" w:hAnsi="宋体" w:eastAsia="宋体" w:cs="宋体"/>
                <w:bCs/>
                <w:color w:val="000000"/>
                <w:sz w:val="20"/>
                <w:szCs w:val="20"/>
                <w:lang w:bidi="ar"/>
              </w:rPr>
              <w:br w:type="textWrapping"/>
            </w:r>
            <w:r>
              <w:rPr>
                <w:rFonts w:hint="eastAsia" w:ascii="宋体" w:hAnsi="宋体" w:eastAsia="宋体" w:cs="宋体"/>
                <w:bCs/>
                <w:color w:val="000000"/>
                <w:sz w:val="20"/>
                <w:szCs w:val="20"/>
                <w:lang w:bidi="ar"/>
              </w:rPr>
              <w:t>整</w:t>
            </w:r>
            <w:r>
              <w:rPr>
                <w:rFonts w:hint="eastAsia" w:ascii="宋体" w:hAnsi="宋体" w:eastAsia="宋体" w:cs="宋体"/>
                <w:bCs/>
                <w:color w:val="000000"/>
                <w:sz w:val="20"/>
                <w:szCs w:val="20"/>
                <w:lang w:bidi="ar"/>
              </w:rPr>
              <w:br w:type="textWrapping"/>
            </w:r>
            <w:r>
              <w:rPr>
                <w:rFonts w:hint="eastAsia" w:ascii="宋体" w:hAnsi="宋体" w:eastAsia="宋体" w:cs="宋体"/>
                <w:bCs/>
                <w:color w:val="000000"/>
                <w:sz w:val="20"/>
                <w:szCs w:val="20"/>
                <w:lang w:bidi="ar"/>
              </w:rPr>
              <w:t>体</w:t>
            </w:r>
            <w:r>
              <w:rPr>
                <w:rFonts w:hint="eastAsia" w:ascii="宋体" w:hAnsi="宋体" w:eastAsia="宋体" w:cs="宋体"/>
                <w:bCs/>
                <w:color w:val="000000"/>
                <w:sz w:val="20"/>
                <w:szCs w:val="20"/>
                <w:lang w:bidi="ar"/>
              </w:rPr>
              <w:br w:type="textWrapping"/>
            </w:r>
            <w:r>
              <w:rPr>
                <w:rFonts w:hint="eastAsia" w:ascii="宋体" w:hAnsi="宋体" w:eastAsia="宋体" w:cs="宋体"/>
                <w:bCs/>
                <w:color w:val="000000"/>
                <w:sz w:val="20"/>
                <w:szCs w:val="20"/>
                <w:lang w:bidi="ar"/>
              </w:rPr>
              <w:t>绩</w:t>
            </w:r>
            <w:r>
              <w:rPr>
                <w:rFonts w:hint="eastAsia" w:ascii="宋体" w:hAnsi="宋体" w:eastAsia="宋体" w:cs="宋体"/>
                <w:bCs/>
                <w:color w:val="000000"/>
                <w:sz w:val="20"/>
                <w:szCs w:val="20"/>
                <w:lang w:bidi="ar"/>
              </w:rPr>
              <w:br w:type="textWrapping"/>
            </w:r>
            <w:r>
              <w:rPr>
                <w:rFonts w:hint="eastAsia" w:ascii="宋体" w:hAnsi="宋体" w:eastAsia="宋体" w:cs="宋体"/>
                <w:bCs/>
                <w:color w:val="000000"/>
                <w:sz w:val="20"/>
                <w:szCs w:val="20"/>
                <w:lang w:bidi="ar"/>
              </w:rPr>
              <w:t>效</w:t>
            </w:r>
            <w:r>
              <w:rPr>
                <w:rFonts w:hint="eastAsia" w:ascii="宋体" w:hAnsi="宋体" w:eastAsia="宋体" w:cs="宋体"/>
                <w:bCs/>
                <w:color w:val="000000"/>
                <w:sz w:val="20"/>
                <w:szCs w:val="20"/>
                <w:lang w:bidi="ar"/>
              </w:rPr>
              <w:br w:type="textWrapping"/>
            </w:r>
            <w:r>
              <w:rPr>
                <w:rFonts w:hint="eastAsia" w:ascii="宋体" w:hAnsi="宋体" w:eastAsia="宋体" w:cs="宋体"/>
                <w:bCs/>
                <w:color w:val="000000"/>
                <w:sz w:val="20"/>
                <w:szCs w:val="20"/>
                <w:lang w:bidi="ar"/>
              </w:rPr>
              <w:t>情</w:t>
            </w:r>
            <w:r>
              <w:rPr>
                <w:rFonts w:hint="eastAsia" w:ascii="宋体" w:hAnsi="宋体" w:eastAsia="宋体" w:cs="宋体"/>
                <w:bCs/>
                <w:color w:val="000000"/>
                <w:sz w:val="20"/>
                <w:szCs w:val="20"/>
                <w:lang w:bidi="ar"/>
              </w:rPr>
              <w:br w:type="textWrapping"/>
            </w:r>
            <w:r>
              <w:rPr>
                <w:rFonts w:hint="eastAsia" w:ascii="宋体" w:hAnsi="宋体" w:eastAsia="宋体" w:cs="宋体"/>
                <w:bCs/>
                <w:color w:val="000000"/>
                <w:sz w:val="20"/>
                <w:szCs w:val="20"/>
                <w:lang w:bidi="ar"/>
              </w:rPr>
              <w:t>况</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整体绩效目标</w:t>
            </w:r>
          </w:p>
        </w:tc>
        <w:tc>
          <w:tcPr>
            <w:tcW w:w="7463" w:type="dxa"/>
            <w:gridSpan w:val="9"/>
            <w:tcBorders>
              <w:top w:val="single" w:color="000000" w:sz="4" w:space="0"/>
              <w:left w:val="single" w:color="000000" w:sz="4" w:space="0"/>
              <w:bottom w:val="single" w:color="000000" w:sz="4" w:space="0"/>
              <w:right w:val="single" w:color="000000" w:sz="4" w:space="0"/>
            </w:tcBorders>
            <w:shd w:val="clear" w:color="auto" w:fill="auto"/>
          </w:tcPr>
          <w:p>
            <w:pPr>
              <w:textAlignment w:val="top"/>
              <w:rPr>
                <w:rFonts w:ascii="宋体" w:hAnsi="宋体" w:eastAsia="宋体" w:cs="宋体"/>
                <w:color w:val="000000"/>
                <w:sz w:val="20"/>
                <w:szCs w:val="20"/>
              </w:rPr>
            </w:pPr>
            <w:r>
              <w:rPr>
                <w:rFonts w:hint="eastAsia" w:ascii="宋体" w:hAnsi="宋体" w:eastAsia="宋体" w:cs="宋体"/>
                <w:color w:val="000000"/>
                <w:sz w:val="20"/>
                <w:szCs w:val="20"/>
                <w:lang w:bidi="ar"/>
              </w:rPr>
              <w:t>总体目标：全面贯彻教育方针，全面落实素质教育，严格执行教育行政法规，规范办学行为。管好用好国家的教育资金，改善和优化学校办学条件；合理使用公用经费，保障学校教育教学工作正常进行；按时支付学生助学金；做好后勤保障工作，按时完成食堂、教学楼维修改造及教师办公电脑等设备购置，保证教学工作的开展，固定资产及时入账，账实相符，及时完成校园日常的水电设施等维修工作，后勤保障工作及时到位；加强教学常规工作管理，保障学生入学率，无辍学，抓好学生的学习，按时按质完成电子学籍的申报工作；加强教师目标管理、师德教育，进行教师培训，狠抓教师队伍建设，打造一支品德高尚、业务过硬、德才兼备的教师队伍。</w:t>
            </w:r>
          </w:p>
        </w:tc>
      </w:tr>
      <w:tr>
        <w:tblPrEx>
          <w:tblCellMar>
            <w:top w:w="0" w:type="dxa"/>
            <w:left w:w="108" w:type="dxa"/>
            <w:bottom w:w="0" w:type="dxa"/>
            <w:right w:w="108" w:type="dxa"/>
          </w:tblCellMar>
        </w:tblPrEx>
        <w:trPr>
          <w:trHeight w:val="346"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Cs/>
                <w:color w:val="000000"/>
                <w:sz w:val="20"/>
                <w:szCs w:val="20"/>
              </w:rPr>
            </w:pPr>
          </w:p>
        </w:tc>
        <w:tc>
          <w:tcPr>
            <w:tcW w:w="7968" w:type="dxa"/>
            <w:gridSpan w:val="10"/>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微软雅黑"/>
                <w:bCs/>
                <w:color w:val="808080"/>
                <w:sz w:val="20"/>
                <w:szCs w:val="20"/>
              </w:rPr>
            </w:pPr>
            <w:r>
              <w:rPr>
                <w:rFonts w:hint="eastAsia" w:ascii="宋体" w:hAnsi="宋体" w:eastAsia="宋体" w:cs="微软雅黑"/>
                <w:bCs/>
                <w:sz w:val="20"/>
                <w:szCs w:val="20"/>
                <w:lang w:bidi="ar"/>
              </w:rPr>
              <w:t>年度绩效指标</w:t>
            </w:r>
          </w:p>
        </w:tc>
      </w:tr>
      <w:tr>
        <w:tblPrEx>
          <w:tblCellMar>
            <w:top w:w="0" w:type="dxa"/>
            <w:left w:w="108" w:type="dxa"/>
            <w:bottom w:w="0" w:type="dxa"/>
            <w:right w:w="108" w:type="dxa"/>
          </w:tblCellMar>
        </w:tblPrEx>
        <w:trPr>
          <w:trHeight w:val="1462"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Cs/>
                <w:color w:val="00000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Cs/>
                <w:color w:val="000000"/>
                <w:sz w:val="20"/>
                <w:szCs w:val="20"/>
              </w:rPr>
            </w:pPr>
            <w:r>
              <w:rPr>
                <w:rFonts w:hint="eastAsia" w:ascii="宋体" w:hAnsi="宋体" w:eastAsia="宋体" w:cs="宋体"/>
                <w:bCs/>
                <w:color w:val="000000"/>
                <w:sz w:val="20"/>
                <w:szCs w:val="20"/>
                <w:lang w:bidi="ar"/>
              </w:rPr>
              <w:t>一级指标</w:t>
            </w: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Cs/>
                <w:color w:val="000000"/>
                <w:sz w:val="20"/>
                <w:szCs w:val="20"/>
              </w:rPr>
            </w:pPr>
            <w:r>
              <w:rPr>
                <w:rFonts w:hint="eastAsia" w:ascii="宋体" w:hAnsi="宋体" w:eastAsia="宋体" w:cs="宋体"/>
                <w:bCs/>
                <w:color w:val="000000"/>
                <w:sz w:val="20"/>
                <w:szCs w:val="20"/>
                <w:lang w:bidi="ar"/>
              </w:rPr>
              <w:t>二级指标</w:t>
            </w:r>
          </w:p>
        </w:tc>
        <w:tc>
          <w:tcPr>
            <w:tcW w:w="21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Cs/>
                <w:color w:val="000000"/>
                <w:sz w:val="20"/>
                <w:szCs w:val="20"/>
              </w:rPr>
            </w:pPr>
            <w:r>
              <w:rPr>
                <w:rFonts w:hint="eastAsia" w:ascii="宋体" w:hAnsi="宋体" w:eastAsia="宋体" w:cs="宋体"/>
                <w:bCs/>
                <w:color w:val="000000"/>
                <w:sz w:val="20"/>
                <w:szCs w:val="20"/>
                <w:lang w:bidi="ar"/>
              </w:rPr>
              <w:t xml:space="preserve"> </w:t>
            </w:r>
            <w:r>
              <w:rPr>
                <w:rStyle w:val="15"/>
                <w:rFonts w:hint="default"/>
                <w:b w:val="0"/>
                <w:lang w:bidi="ar"/>
              </w:rPr>
              <w:t>三级指标</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Cs/>
                <w:color w:val="000000"/>
                <w:sz w:val="20"/>
                <w:szCs w:val="20"/>
              </w:rPr>
            </w:pPr>
            <w:r>
              <w:rPr>
                <w:rFonts w:hint="eastAsia" w:ascii="宋体" w:hAnsi="宋体" w:eastAsia="宋体" w:cs="宋体"/>
                <w:bCs/>
                <w:color w:val="000000"/>
                <w:sz w:val="20"/>
                <w:szCs w:val="20"/>
                <w:lang w:bidi="ar"/>
              </w:rPr>
              <w:t>绩效指标性质</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Cs/>
                <w:color w:val="000000"/>
                <w:sz w:val="20"/>
                <w:szCs w:val="20"/>
              </w:rPr>
            </w:pPr>
            <w:r>
              <w:rPr>
                <w:rFonts w:hint="eastAsia" w:ascii="宋体" w:hAnsi="宋体" w:eastAsia="宋体" w:cs="宋体"/>
                <w:bCs/>
                <w:color w:val="000000"/>
                <w:sz w:val="20"/>
                <w:szCs w:val="20"/>
                <w:lang w:bidi="ar"/>
              </w:rPr>
              <w:t>绩效指标值</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Cs/>
                <w:color w:val="000000"/>
                <w:sz w:val="20"/>
                <w:szCs w:val="20"/>
              </w:rPr>
            </w:pPr>
            <w:r>
              <w:rPr>
                <w:rFonts w:hint="eastAsia" w:ascii="宋体" w:hAnsi="宋体" w:eastAsia="宋体" w:cs="宋体"/>
                <w:bCs/>
                <w:color w:val="000000"/>
                <w:sz w:val="20"/>
                <w:szCs w:val="20"/>
                <w:lang w:bidi="ar"/>
              </w:rPr>
              <w:t>绩效度量单位</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Cs/>
                <w:color w:val="000000"/>
                <w:sz w:val="20"/>
                <w:szCs w:val="20"/>
              </w:rPr>
            </w:pPr>
            <w:r>
              <w:rPr>
                <w:rFonts w:hint="eastAsia" w:ascii="宋体" w:hAnsi="宋体" w:eastAsia="宋体" w:cs="宋体"/>
                <w:bCs/>
                <w:color w:val="000000"/>
                <w:sz w:val="20"/>
                <w:szCs w:val="20"/>
                <w:lang w:bidi="ar"/>
              </w:rPr>
              <w:t>权重</w:t>
            </w:r>
          </w:p>
        </w:tc>
      </w:tr>
      <w:tr>
        <w:tblPrEx>
          <w:tblCellMar>
            <w:top w:w="0" w:type="dxa"/>
            <w:left w:w="108" w:type="dxa"/>
            <w:bottom w:w="0" w:type="dxa"/>
            <w:right w:w="108" w:type="dxa"/>
          </w:tblCellMar>
        </w:tblPrEx>
        <w:trPr>
          <w:trHeight w:val="847"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Cs/>
                <w:color w:val="00000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产出指标</w:t>
            </w: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数量指标</w:t>
            </w:r>
          </w:p>
        </w:tc>
        <w:tc>
          <w:tcPr>
            <w:tcW w:w="21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小学阶段毛入学率</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97</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13</w:t>
            </w:r>
          </w:p>
        </w:tc>
      </w:tr>
      <w:tr>
        <w:tblPrEx>
          <w:tblCellMar>
            <w:top w:w="0" w:type="dxa"/>
            <w:left w:w="108" w:type="dxa"/>
            <w:bottom w:w="0" w:type="dxa"/>
            <w:right w:w="108" w:type="dxa"/>
          </w:tblCellMar>
        </w:tblPrEx>
        <w:trPr>
          <w:trHeight w:val="978"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Cs/>
                <w:color w:val="00000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产出指标</w:t>
            </w: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数量指标</w:t>
            </w:r>
          </w:p>
        </w:tc>
        <w:tc>
          <w:tcPr>
            <w:tcW w:w="21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财政资金支付率</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95</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11</w:t>
            </w:r>
          </w:p>
        </w:tc>
      </w:tr>
      <w:tr>
        <w:tblPrEx>
          <w:tblCellMar>
            <w:top w:w="0" w:type="dxa"/>
            <w:left w:w="108" w:type="dxa"/>
            <w:bottom w:w="0" w:type="dxa"/>
            <w:right w:w="108" w:type="dxa"/>
          </w:tblCellMar>
        </w:tblPrEx>
        <w:trPr>
          <w:trHeight w:val="978"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Cs/>
                <w:color w:val="00000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产出指标</w:t>
            </w: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数量指标</w:t>
            </w:r>
          </w:p>
        </w:tc>
        <w:tc>
          <w:tcPr>
            <w:tcW w:w="21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学生资助人数</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16</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人</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w:t>
            </w:r>
          </w:p>
        </w:tc>
      </w:tr>
      <w:tr>
        <w:tblPrEx>
          <w:tblCellMar>
            <w:top w:w="0" w:type="dxa"/>
            <w:left w:w="108" w:type="dxa"/>
            <w:bottom w:w="0" w:type="dxa"/>
            <w:right w:w="108" w:type="dxa"/>
          </w:tblCellMar>
        </w:tblPrEx>
        <w:trPr>
          <w:trHeight w:val="978"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Cs/>
                <w:color w:val="00000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产出指标</w:t>
            </w: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质量指标</w:t>
            </w:r>
          </w:p>
        </w:tc>
        <w:tc>
          <w:tcPr>
            <w:tcW w:w="21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毕业生合格率</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98</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10</w:t>
            </w:r>
          </w:p>
        </w:tc>
      </w:tr>
      <w:tr>
        <w:tblPrEx>
          <w:tblCellMar>
            <w:top w:w="0" w:type="dxa"/>
            <w:left w:w="108" w:type="dxa"/>
            <w:bottom w:w="0" w:type="dxa"/>
            <w:right w:w="108" w:type="dxa"/>
          </w:tblCellMar>
        </w:tblPrEx>
        <w:trPr>
          <w:trHeight w:val="978"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Cs/>
                <w:color w:val="00000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履职效能</w:t>
            </w: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质量指标</w:t>
            </w:r>
          </w:p>
        </w:tc>
        <w:tc>
          <w:tcPr>
            <w:tcW w:w="21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资金发放精准度</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100</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14</w:t>
            </w:r>
          </w:p>
        </w:tc>
      </w:tr>
      <w:tr>
        <w:tblPrEx>
          <w:tblCellMar>
            <w:top w:w="0" w:type="dxa"/>
            <w:left w:w="108" w:type="dxa"/>
            <w:bottom w:w="0" w:type="dxa"/>
            <w:right w:w="108" w:type="dxa"/>
          </w:tblCellMar>
        </w:tblPrEx>
        <w:trPr>
          <w:trHeight w:val="978"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Cs/>
                <w:color w:val="00000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效益指标</w:t>
            </w: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成本指标</w:t>
            </w:r>
          </w:p>
        </w:tc>
        <w:tc>
          <w:tcPr>
            <w:tcW w:w="21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人均培训成本控制</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350</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元</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13</w:t>
            </w:r>
          </w:p>
        </w:tc>
      </w:tr>
      <w:tr>
        <w:tblPrEx>
          <w:tblCellMar>
            <w:top w:w="0" w:type="dxa"/>
            <w:left w:w="108" w:type="dxa"/>
            <w:bottom w:w="0" w:type="dxa"/>
            <w:right w:w="108" w:type="dxa"/>
          </w:tblCellMar>
        </w:tblPrEx>
        <w:trPr>
          <w:trHeight w:val="832"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Cs/>
                <w:color w:val="00000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效益指标</w:t>
            </w: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可持续影响指标</w:t>
            </w:r>
          </w:p>
        </w:tc>
        <w:tc>
          <w:tcPr>
            <w:tcW w:w="21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资金使用年限</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2</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年</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10</w:t>
            </w:r>
          </w:p>
        </w:tc>
      </w:tr>
      <w:tr>
        <w:tblPrEx>
          <w:tblCellMar>
            <w:top w:w="0" w:type="dxa"/>
            <w:left w:w="108" w:type="dxa"/>
            <w:bottom w:w="0" w:type="dxa"/>
            <w:right w:w="108" w:type="dxa"/>
          </w:tblCellMar>
        </w:tblPrEx>
        <w:trPr>
          <w:trHeight w:val="1219"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Cs/>
                <w:color w:val="00000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满意度指标</w:t>
            </w: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服务对象满意率</w:t>
            </w:r>
          </w:p>
        </w:tc>
        <w:tc>
          <w:tcPr>
            <w:tcW w:w="21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使用人员满意度</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95</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w:t>
            </w:r>
          </w:p>
        </w:tc>
      </w:tr>
      <w:tr>
        <w:tblPrEx>
          <w:tblCellMar>
            <w:top w:w="0" w:type="dxa"/>
            <w:left w:w="108" w:type="dxa"/>
            <w:bottom w:w="0" w:type="dxa"/>
            <w:right w:w="108" w:type="dxa"/>
          </w:tblCellMar>
        </w:tblPrEx>
        <w:trPr>
          <w:trHeight w:val="1161"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Cs/>
                <w:color w:val="000000"/>
                <w:sz w:val="20"/>
                <w:szCs w:val="20"/>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满意度指标</w:t>
            </w:r>
          </w:p>
        </w:tc>
        <w:tc>
          <w:tcPr>
            <w:tcW w:w="24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社会效益</w:t>
            </w:r>
          </w:p>
        </w:tc>
        <w:tc>
          <w:tcPr>
            <w:tcW w:w="21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教师培训满意度</w:t>
            </w:r>
          </w:p>
        </w:tc>
        <w:tc>
          <w:tcPr>
            <w:tcW w:w="488"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95</w:t>
            </w:r>
          </w:p>
        </w:tc>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w:t>
            </w:r>
          </w:p>
        </w:tc>
        <w:tc>
          <w:tcPr>
            <w:tcW w:w="6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11</w:t>
            </w:r>
          </w:p>
        </w:tc>
      </w:tr>
    </w:tbl>
    <w:p>
      <w:pPr>
        <w:pStyle w:val="11"/>
        <w:shd w:val="clear" w:color="auto" w:fill="FFFFFF"/>
        <w:adjustRightInd w:val="0"/>
        <w:snapToGrid w:val="0"/>
        <w:spacing w:before="100" w:after="100"/>
        <w:ind w:firstLine="640" w:firstLineChars="200"/>
        <w:jc w:val="both"/>
        <w:rPr>
          <w:rStyle w:val="14"/>
          <w:rFonts w:ascii="方正仿宋_GBK" w:hAnsi="Times New Roman" w:eastAsia="方正仿宋_GBK"/>
          <w:b w:val="0"/>
          <w:bCs/>
          <w:sz w:val="32"/>
          <w:szCs w:val="32"/>
        </w:rPr>
      </w:pPr>
    </w:p>
    <w:tbl>
      <w:tblPr>
        <w:tblStyle w:val="12"/>
        <w:tblW w:w="8715" w:type="dxa"/>
        <w:tblInd w:w="93" w:type="dxa"/>
        <w:tblLayout w:type="autofit"/>
        <w:tblCellMar>
          <w:top w:w="0" w:type="dxa"/>
          <w:left w:w="108" w:type="dxa"/>
          <w:bottom w:w="0" w:type="dxa"/>
          <w:right w:w="108" w:type="dxa"/>
        </w:tblCellMar>
      </w:tblPr>
      <w:tblGrid>
        <w:gridCol w:w="750"/>
        <w:gridCol w:w="645"/>
        <w:gridCol w:w="765"/>
        <w:gridCol w:w="1605"/>
        <w:gridCol w:w="570"/>
        <w:gridCol w:w="945"/>
        <w:gridCol w:w="1080"/>
        <w:gridCol w:w="600"/>
        <w:gridCol w:w="645"/>
        <w:gridCol w:w="615"/>
        <w:gridCol w:w="495"/>
      </w:tblGrid>
      <w:tr>
        <w:tblPrEx>
          <w:tblCellMar>
            <w:top w:w="0" w:type="dxa"/>
            <w:left w:w="108" w:type="dxa"/>
            <w:bottom w:w="0" w:type="dxa"/>
            <w:right w:w="108" w:type="dxa"/>
          </w:tblCellMar>
        </w:tblPrEx>
        <w:trPr>
          <w:trHeight w:val="405" w:hRule="atLeast"/>
        </w:trPr>
        <w:tc>
          <w:tcPr>
            <w:tcW w:w="8715" w:type="dxa"/>
            <w:gridSpan w:val="11"/>
            <w:tcBorders>
              <w:top w:val="nil"/>
              <w:left w:val="nil"/>
              <w:bottom w:val="nil"/>
              <w:right w:val="nil"/>
            </w:tcBorders>
            <w:shd w:val="clear" w:color="auto" w:fill="auto"/>
            <w:vAlign w:val="center"/>
          </w:tcPr>
          <w:p>
            <w:pPr>
              <w:jc w:val="center"/>
              <w:textAlignment w:val="center"/>
              <w:rPr>
                <w:rFonts w:ascii="宋体" w:hAnsi="宋体" w:eastAsia="宋体" w:cs="宋体"/>
                <w:bCs/>
                <w:color w:val="000000"/>
                <w:sz w:val="32"/>
                <w:szCs w:val="32"/>
              </w:rPr>
            </w:pPr>
            <w:r>
              <w:rPr>
                <w:rFonts w:hint="eastAsia" w:ascii="方正小标宋_GBK" w:hAnsi="方正小标宋_GBK" w:eastAsia="方正小标宋_GBK" w:cs="方正小标宋_GBK"/>
                <w:bCs/>
                <w:color w:val="000000"/>
                <w:sz w:val="32"/>
                <w:szCs w:val="32"/>
                <w:lang w:bidi="ar"/>
              </w:rPr>
              <w:t>2020年度部门（单位）项目支出绩效自评汇总表</w:t>
            </w:r>
          </w:p>
        </w:tc>
      </w:tr>
      <w:tr>
        <w:tblPrEx>
          <w:tblCellMar>
            <w:top w:w="0" w:type="dxa"/>
            <w:left w:w="108" w:type="dxa"/>
            <w:bottom w:w="0" w:type="dxa"/>
            <w:right w:w="108" w:type="dxa"/>
          </w:tblCellMar>
        </w:tblPrEx>
        <w:trPr>
          <w:trHeight w:val="555" w:hRule="atLeast"/>
        </w:trPr>
        <w:tc>
          <w:tcPr>
            <w:tcW w:w="8715"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bCs/>
                <w:color w:val="000000"/>
                <w:sz w:val="22"/>
                <w:szCs w:val="22"/>
              </w:rPr>
            </w:pPr>
            <w:r>
              <w:rPr>
                <w:rFonts w:hint="eastAsia" w:ascii="宋体" w:hAnsi="宋体" w:eastAsia="宋体" w:cs="宋体"/>
                <w:bCs/>
                <w:color w:val="000000"/>
                <w:sz w:val="22"/>
                <w:szCs w:val="22"/>
                <w:lang w:bidi="ar"/>
              </w:rPr>
              <w:t>填表单位（盖章）：重庆市綦江区瀛坪小学</w:t>
            </w:r>
          </w:p>
        </w:tc>
      </w:tr>
      <w:tr>
        <w:tblPrEx>
          <w:tblCellMar>
            <w:top w:w="0" w:type="dxa"/>
            <w:left w:w="108" w:type="dxa"/>
            <w:bottom w:w="0" w:type="dxa"/>
            <w:right w:w="108" w:type="dxa"/>
          </w:tblCellMar>
        </w:tblPrEx>
        <w:trPr>
          <w:trHeight w:val="80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序号</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指标管理科室</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预算单位</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项目名称</w:t>
            </w:r>
          </w:p>
        </w:tc>
        <w:tc>
          <w:tcPr>
            <w:tcW w:w="319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资金总量（万元）</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自评得分</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自评等级</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备注</w:t>
            </w:r>
          </w:p>
        </w:tc>
      </w:tr>
      <w:tr>
        <w:tblPrEx>
          <w:tblCellMar>
            <w:top w:w="0" w:type="dxa"/>
            <w:left w:w="108" w:type="dxa"/>
            <w:bottom w:w="0" w:type="dxa"/>
            <w:right w:w="108" w:type="dxa"/>
          </w:tblCellMar>
        </w:tblPrEx>
        <w:trPr>
          <w:trHeight w:val="72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中央资金</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市级资金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区级资金</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其他资金</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14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教科文科</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重庆市綦江区瀛坪小学</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2020年学前教育幼儿资助补助资金（中央资金）—2020年春期家庭经济困难幼儿资助</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Arial" w:hAnsi="Arial" w:eastAsia="宋体" w:cs="Arial"/>
                <w:color w:val="000000"/>
                <w:sz w:val="20"/>
                <w:szCs w:val="20"/>
              </w:rPr>
            </w:pPr>
            <w:r>
              <w:rPr>
                <w:rFonts w:ascii="Arial" w:hAnsi="Arial" w:eastAsia="宋体" w:cs="Arial"/>
                <w:color w:val="000000"/>
                <w:sz w:val="20"/>
                <w:szCs w:val="20"/>
                <w:lang w:bidi="ar"/>
              </w:rPr>
              <w:t>1.19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96</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优</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102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教科文科</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重庆市綦江区瀛坪小学</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普惠性生均公用经费补助专项经费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Arial" w:hAnsi="Arial" w:eastAsia="宋体" w:cs="Arial"/>
                <w:color w:val="000000"/>
                <w:sz w:val="20"/>
                <w:szCs w:val="20"/>
              </w:rPr>
            </w:pPr>
            <w:r>
              <w:rPr>
                <w:rFonts w:ascii="Arial" w:hAnsi="Arial" w:eastAsia="宋体" w:cs="Arial"/>
                <w:color w:val="000000"/>
                <w:sz w:val="20"/>
                <w:szCs w:val="20"/>
                <w:lang w:bidi="ar"/>
              </w:rPr>
              <w:t>0.3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Arial" w:hAnsi="Arial" w:eastAsia="宋体" w:cs="Arial"/>
                <w:color w:val="000000"/>
                <w:sz w:val="20"/>
                <w:szCs w:val="20"/>
              </w:rPr>
            </w:pPr>
            <w:r>
              <w:rPr>
                <w:rFonts w:ascii="Arial" w:hAnsi="Arial" w:eastAsia="宋体" w:cs="Arial"/>
                <w:color w:val="000000"/>
                <w:sz w:val="20"/>
                <w:szCs w:val="20"/>
                <w:lang w:bidi="ar"/>
              </w:rPr>
              <w:t>0.93</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98</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优</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122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教科文科</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重庆市綦江区瀛坪小学</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2019年扩大学前教育资金补助资金-公办园疫情期间临聘人员费用补助</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Arial" w:hAnsi="Arial" w:eastAsia="宋体" w:cs="Arial"/>
                <w:color w:val="000000"/>
                <w:sz w:val="20"/>
                <w:szCs w:val="20"/>
              </w:rPr>
            </w:pPr>
            <w:r>
              <w:rPr>
                <w:rFonts w:ascii="Arial" w:hAnsi="Arial" w:eastAsia="宋体" w:cs="Arial"/>
                <w:color w:val="000000"/>
                <w:sz w:val="20"/>
                <w:szCs w:val="20"/>
                <w:lang w:bidi="ar"/>
              </w:rPr>
              <w:t>1.01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99</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优</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9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教科文科</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重庆市綦江区瀛坪小学</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教育公用经费-小学</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Arial" w:hAnsi="Arial" w:eastAsia="宋体" w:cs="Arial"/>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Arial" w:hAnsi="Arial" w:eastAsia="宋体" w:cs="Arial"/>
                <w:color w:val="000000"/>
                <w:sz w:val="20"/>
                <w:szCs w:val="20"/>
              </w:rPr>
            </w:pPr>
            <w:r>
              <w:rPr>
                <w:rFonts w:ascii="Arial" w:hAnsi="Arial" w:eastAsia="宋体" w:cs="Arial"/>
                <w:color w:val="000000"/>
                <w:sz w:val="20"/>
                <w:szCs w:val="20"/>
                <w:lang w:bidi="ar"/>
              </w:rPr>
              <w:t>1.1</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98</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优</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168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教科文科</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重庆市綦江区瀛坪小学</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校园安保／校园及周边环境安全整改专项经费820万元调剂（第2批）—防雷设施改造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Arial" w:hAnsi="Arial" w:eastAsia="宋体" w:cs="Arial"/>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Arial" w:hAnsi="Arial" w:eastAsia="宋体" w:cs="Arial"/>
                <w:color w:val="000000"/>
                <w:sz w:val="20"/>
                <w:szCs w:val="20"/>
              </w:rPr>
            </w:pPr>
            <w:r>
              <w:rPr>
                <w:rFonts w:ascii="Arial" w:hAnsi="Arial" w:eastAsia="宋体" w:cs="Arial"/>
                <w:color w:val="000000"/>
                <w:sz w:val="20"/>
                <w:szCs w:val="20"/>
                <w:lang w:bidi="ar"/>
              </w:rPr>
              <w:t>1.18</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98</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优</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168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6</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教科文科</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重庆市綦江区瀛坪小学</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綦江区2020年城乡义务教育经费保障机制中央和市级资金（市级）—2020年春期非寄宿生生活补助（非建卡）</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Arial" w:hAnsi="Arial" w:eastAsia="宋体" w:cs="Arial"/>
                <w:color w:val="000000"/>
                <w:sz w:val="20"/>
                <w:szCs w:val="20"/>
              </w:rPr>
            </w:pPr>
            <w:r>
              <w:rPr>
                <w:rFonts w:ascii="Arial" w:hAnsi="Arial" w:eastAsia="宋体" w:cs="Arial"/>
                <w:color w:val="000000"/>
                <w:sz w:val="20"/>
                <w:szCs w:val="20"/>
                <w:lang w:bidi="ar"/>
              </w:rPr>
              <w:t>0.43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99</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优</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18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7</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教科文科</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重庆市綦江区瀛坪小学</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2018-2019学年义务教育非寄宿建卡贫困户学生生活费补助专项资金—2020年春期非寄建卡生活费补助</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Arial" w:hAnsi="Arial" w:eastAsia="宋体" w:cs="Arial"/>
                <w:color w:val="000000"/>
                <w:sz w:val="20"/>
                <w:szCs w:val="20"/>
              </w:rPr>
            </w:pPr>
            <w:r>
              <w:rPr>
                <w:rFonts w:ascii="Arial" w:hAnsi="Arial" w:eastAsia="宋体" w:cs="Arial"/>
                <w:color w:val="000000"/>
                <w:sz w:val="20"/>
                <w:szCs w:val="20"/>
                <w:lang w:bidi="ar"/>
              </w:rPr>
              <w:t>0.42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99</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优</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144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8</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教科文科</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重庆市綦江区瀛坪小学</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校园安保／校园及周边环境安全整改专项经费（420万）调剂—清淘排水沟和对水管网改造</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Arial" w:hAnsi="Arial" w:eastAsia="宋体" w:cs="Arial"/>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Arial" w:hAnsi="Arial" w:eastAsia="宋体" w:cs="Arial"/>
                <w:color w:val="000000"/>
                <w:sz w:val="20"/>
                <w:szCs w:val="20"/>
              </w:rPr>
            </w:pPr>
            <w:r>
              <w:rPr>
                <w:rFonts w:ascii="Arial" w:hAnsi="Arial" w:eastAsia="宋体" w:cs="Arial"/>
                <w:color w:val="000000"/>
                <w:sz w:val="20"/>
                <w:szCs w:val="20"/>
                <w:lang w:bidi="ar"/>
              </w:rPr>
              <w:t>4.5</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94</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优</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8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教科文科</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重庆市綦江区瀛坪小学</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乡村教师岗位生活补助</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Arial" w:hAnsi="Arial" w:eastAsia="宋体" w:cs="Arial"/>
                <w:color w:val="000000"/>
                <w:sz w:val="20"/>
                <w:szCs w:val="20"/>
              </w:rPr>
            </w:pPr>
            <w:r>
              <w:rPr>
                <w:rFonts w:ascii="Arial" w:hAnsi="Arial" w:eastAsia="宋体" w:cs="Arial"/>
                <w:color w:val="000000"/>
                <w:sz w:val="20"/>
                <w:szCs w:val="20"/>
                <w:lang w:bidi="ar"/>
              </w:rPr>
              <w:t>6.12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99</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优</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144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教科文科</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重庆市綦江区瀛坪小学</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学生营养改善／营养午餐补助680万元—学校食堂临聘人员疫情防控期间生活费</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Arial" w:hAnsi="Arial" w:eastAsia="宋体" w:cs="Arial"/>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Arial" w:hAnsi="Arial" w:eastAsia="宋体" w:cs="Arial"/>
                <w:color w:val="000000"/>
                <w:sz w:val="20"/>
                <w:szCs w:val="20"/>
              </w:rPr>
            </w:pPr>
            <w:r>
              <w:rPr>
                <w:rFonts w:ascii="Arial" w:hAnsi="Arial" w:eastAsia="宋体" w:cs="Arial"/>
                <w:color w:val="000000"/>
                <w:sz w:val="20"/>
                <w:szCs w:val="20"/>
                <w:lang w:bidi="ar"/>
              </w:rPr>
              <w:t>0.76</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98</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优</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144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11</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教科文科</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重庆市綦江区瀛坪小学</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学生营养改善／营养午餐补助680万-2020年春期学生完整午餐生活补助</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Arial" w:hAnsi="Arial" w:eastAsia="宋体" w:cs="Arial"/>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Arial" w:hAnsi="Arial" w:eastAsia="宋体" w:cs="Arial"/>
                <w:color w:val="000000"/>
                <w:sz w:val="20"/>
                <w:szCs w:val="20"/>
              </w:rPr>
            </w:pPr>
            <w:r>
              <w:rPr>
                <w:rFonts w:ascii="Arial" w:hAnsi="Arial" w:eastAsia="宋体" w:cs="Arial"/>
                <w:color w:val="000000"/>
                <w:sz w:val="20"/>
                <w:szCs w:val="20"/>
                <w:lang w:bidi="ar"/>
              </w:rPr>
              <w:t>2.23</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97</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优</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216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12</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教科文科</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重庆市綦江区瀛坪小学</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綦江区2020年城乡义务教育经费保障机制中央和市级资金—校舍维修（中央）-改造厕所以及对下操场硬化处理</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Arial" w:hAnsi="Arial" w:eastAsia="宋体" w:cs="Arial"/>
                <w:color w:val="000000"/>
                <w:sz w:val="20"/>
                <w:szCs w:val="20"/>
              </w:rPr>
            </w:pPr>
            <w:r>
              <w:rPr>
                <w:rFonts w:ascii="Arial" w:hAnsi="Arial" w:eastAsia="宋体" w:cs="Arial"/>
                <w:color w:val="000000"/>
                <w:sz w:val="20"/>
                <w:szCs w:val="20"/>
                <w:lang w:bidi="ar"/>
              </w:rPr>
              <w:t>7.5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97</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优</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192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教科文科</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重庆市綦江区瀛坪小学</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校园基建维护资金-教育附加／学校搬迁及新校环境附属工程专项经费（300万）-2020年秋期完整午餐补助</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Arial" w:hAnsi="Arial" w:eastAsia="宋体" w:cs="Arial"/>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Arial" w:hAnsi="Arial" w:eastAsia="宋体" w:cs="Arial"/>
                <w:color w:val="000000"/>
                <w:sz w:val="20"/>
                <w:szCs w:val="20"/>
              </w:rPr>
            </w:pPr>
            <w:r>
              <w:rPr>
                <w:rFonts w:ascii="Arial" w:hAnsi="Arial" w:eastAsia="宋体" w:cs="Arial"/>
                <w:color w:val="000000"/>
                <w:sz w:val="20"/>
                <w:szCs w:val="20"/>
                <w:lang w:bidi="ar"/>
              </w:rPr>
              <w:t>1.78</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97</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优</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168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14</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教科文科</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重庆市綦江区瀛坪小学</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綦江区2020年城乡义务教育经费保障机制中央和市级资金（中央）--2020年秋非寄宿生生活补助</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Arial" w:hAnsi="Arial" w:eastAsia="宋体" w:cs="Arial"/>
                <w:color w:val="000000"/>
                <w:sz w:val="20"/>
                <w:szCs w:val="20"/>
              </w:rPr>
            </w:pPr>
            <w:r>
              <w:rPr>
                <w:rFonts w:ascii="Arial" w:hAnsi="Arial" w:eastAsia="宋体" w:cs="Arial"/>
                <w:color w:val="000000"/>
                <w:sz w:val="20"/>
                <w:szCs w:val="20"/>
                <w:lang w:bidi="ar"/>
              </w:rPr>
              <w:t>0.6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99</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优</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1920" w:hRule="atLeast"/>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教科文科</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重庆市綦江区瀛坪小学</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2018-2019学年义务教育非寄宿建卡贫困户学生生活费补助专项资金-2020年秋非寄建卡生活补助</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Arial" w:hAnsi="Arial" w:eastAsia="宋体" w:cs="Arial"/>
                <w:color w:val="000000"/>
                <w:sz w:val="20"/>
                <w:szCs w:val="20"/>
              </w:rPr>
            </w:pPr>
            <w:r>
              <w:rPr>
                <w:rFonts w:ascii="Arial" w:hAnsi="Arial" w:eastAsia="宋体" w:cs="Arial"/>
                <w:color w:val="000000"/>
                <w:sz w:val="20"/>
                <w:szCs w:val="20"/>
                <w:lang w:bidi="ar"/>
              </w:rPr>
              <w:t>0.21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99</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rPr>
            </w:pPr>
          </w:p>
        </w:tc>
      </w:tr>
    </w:tbl>
    <w:p>
      <w:pPr>
        <w:pStyle w:val="11"/>
        <w:shd w:val="clear" w:color="auto" w:fill="FFFFFF"/>
        <w:adjustRightInd w:val="0"/>
        <w:snapToGrid w:val="0"/>
        <w:spacing w:before="100" w:after="100"/>
        <w:ind w:firstLine="640" w:firstLineChars="200"/>
        <w:jc w:val="both"/>
        <w:rPr>
          <w:rStyle w:val="14"/>
          <w:rFonts w:ascii="方正仿宋_GBK" w:hAnsi="Times New Roman" w:eastAsia="方正仿宋_GBK"/>
          <w:b w:val="0"/>
          <w:bCs/>
          <w:sz w:val="32"/>
          <w:szCs w:val="32"/>
        </w:rPr>
      </w:pPr>
    </w:p>
    <w:tbl>
      <w:tblPr>
        <w:tblStyle w:val="12"/>
        <w:tblW w:w="8640" w:type="dxa"/>
        <w:tblInd w:w="93" w:type="dxa"/>
        <w:tblLayout w:type="autofit"/>
        <w:tblCellMar>
          <w:top w:w="0" w:type="dxa"/>
          <w:left w:w="108" w:type="dxa"/>
          <w:bottom w:w="0" w:type="dxa"/>
          <w:right w:w="108" w:type="dxa"/>
        </w:tblCellMar>
      </w:tblPr>
      <w:tblGrid>
        <w:gridCol w:w="1080"/>
        <w:gridCol w:w="1080"/>
        <w:gridCol w:w="1080"/>
        <w:gridCol w:w="1080"/>
        <w:gridCol w:w="1080"/>
        <w:gridCol w:w="1080"/>
        <w:gridCol w:w="1080"/>
        <w:gridCol w:w="1080"/>
      </w:tblGrid>
      <w:tr>
        <w:tblPrEx>
          <w:tblCellMar>
            <w:top w:w="0" w:type="dxa"/>
            <w:left w:w="108" w:type="dxa"/>
            <w:bottom w:w="0" w:type="dxa"/>
            <w:right w:w="108" w:type="dxa"/>
          </w:tblCellMar>
        </w:tblPrEx>
        <w:trPr>
          <w:trHeight w:val="405"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Cs/>
                <w:color w:val="000000"/>
                <w:sz w:val="32"/>
                <w:szCs w:val="32"/>
              </w:rPr>
            </w:pPr>
            <w:r>
              <w:rPr>
                <w:rFonts w:hint="eastAsia" w:ascii="宋体" w:hAnsi="宋体" w:eastAsia="宋体" w:cs="宋体"/>
                <w:bCs/>
                <w:color w:val="000000"/>
                <w:sz w:val="32"/>
                <w:szCs w:val="32"/>
                <w:lang w:bidi="ar"/>
              </w:rPr>
              <w:t xml:space="preserve">2020年度区级预算单位项目支出绩效自评表 </w:t>
            </w:r>
            <w:r>
              <w:rPr>
                <w:rStyle w:val="16"/>
                <w:rFonts w:hint="default"/>
                <w:b w:val="0"/>
                <w:lang w:bidi="ar"/>
              </w:rPr>
              <w:t xml:space="preserve"> </w:t>
            </w:r>
          </w:p>
        </w:tc>
      </w:tr>
      <w:tr>
        <w:tblPrEx>
          <w:tblCellMar>
            <w:top w:w="0" w:type="dxa"/>
            <w:left w:w="108" w:type="dxa"/>
            <w:bottom w:w="0" w:type="dxa"/>
            <w:right w:w="108" w:type="dxa"/>
          </w:tblCellMar>
        </w:tblPrEx>
        <w:trPr>
          <w:trHeight w:val="495" w:hRule="atLeast"/>
        </w:trPr>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bCs/>
                <w:color w:val="000000"/>
                <w:sz w:val="20"/>
                <w:szCs w:val="20"/>
              </w:rPr>
            </w:pPr>
            <w:r>
              <w:rPr>
                <w:rFonts w:hint="eastAsia" w:ascii="宋体" w:hAnsi="宋体" w:eastAsia="宋体" w:cs="宋体"/>
                <w:bCs/>
                <w:color w:val="000000"/>
                <w:sz w:val="20"/>
                <w:szCs w:val="20"/>
                <w:lang w:bidi="ar"/>
              </w:rPr>
              <w:t>填表单位（盖章）：重庆市綦江区瀛坪小学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Cs/>
                <w:color w:val="000000"/>
                <w:sz w:val="32"/>
                <w:szCs w:val="32"/>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Cs/>
                <w:color w:val="000000"/>
                <w:sz w:val="32"/>
                <w:szCs w:val="32"/>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Cs/>
                <w:color w:val="000000"/>
                <w:sz w:val="32"/>
                <w:szCs w:val="32"/>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Cs/>
                <w:color w:val="000000"/>
                <w:sz w:val="32"/>
                <w:szCs w:val="32"/>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bCs/>
                <w:color w:val="000000"/>
                <w:sz w:val="32"/>
                <w:szCs w:val="32"/>
              </w:rPr>
            </w:pPr>
          </w:p>
        </w:tc>
      </w:tr>
      <w:tr>
        <w:tblPrEx>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项目名称</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 xml:space="preserve">   </w:t>
            </w:r>
            <w:r>
              <w:rPr>
                <w:rStyle w:val="17"/>
                <w:rFonts w:hint="default"/>
                <w:lang w:bidi="ar"/>
              </w:rPr>
              <w:t>学前教育家庭经济困难幼儿资助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自评总分</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96</w:t>
            </w:r>
          </w:p>
        </w:tc>
      </w:tr>
      <w:tr>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（分)</w:t>
            </w: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业务主管部门</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重庆市綦江区教育委员会</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联系人</w:t>
            </w:r>
          </w:p>
        </w:tc>
        <w:tc>
          <w:tcPr>
            <w:tcW w:w="32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张旭 15102306205</w:t>
            </w:r>
          </w:p>
        </w:tc>
      </w:tr>
      <w:tr>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及电话</w:t>
            </w:r>
          </w:p>
        </w:tc>
        <w:tc>
          <w:tcPr>
            <w:tcW w:w="32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项目资金（万元）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eastAsia="宋体" w:cs="宋体"/>
                <w:color w:val="000000"/>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全年预算数（A）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全年执行数（B）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执行率%（B/A）</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执行率得分（分）</w:t>
            </w:r>
          </w:p>
        </w:tc>
      </w:tr>
      <w:tr>
        <w:tblPrEx>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年度资金总额：</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1.19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0.83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70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7</w:t>
            </w:r>
          </w:p>
        </w:tc>
      </w:tr>
      <w:tr>
        <w:tblPrEx>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其中：中央补助</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r>
      <w:tr>
        <w:tblPrEx>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 xml:space="preserve">     </w:t>
            </w:r>
            <w:r>
              <w:rPr>
                <w:rStyle w:val="17"/>
                <w:rFonts w:hint="default"/>
                <w:lang w:bidi="ar"/>
              </w:rPr>
              <w:t>市级补助</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1.19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0.83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70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w:t>
            </w:r>
          </w:p>
        </w:tc>
      </w:tr>
      <w:tr>
        <w:tblPrEx>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 xml:space="preserve">     </w:t>
            </w:r>
            <w:r>
              <w:rPr>
                <w:rStyle w:val="17"/>
                <w:rFonts w:hint="default"/>
                <w:lang w:bidi="ar"/>
              </w:rPr>
              <w:t>区级资金</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w:t>
            </w:r>
          </w:p>
        </w:tc>
      </w:tr>
      <w:tr>
        <w:tblPrEx>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 xml:space="preserve">     </w:t>
            </w:r>
            <w:r>
              <w:rPr>
                <w:rStyle w:val="17"/>
                <w:rFonts w:hint="default"/>
                <w:lang w:bidi="ar"/>
              </w:rPr>
              <w:t>其他资金</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w:t>
            </w:r>
          </w:p>
        </w:tc>
      </w:tr>
      <w:tr>
        <w:tblPrEx>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年度总体目标</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年初设定目标</w:t>
            </w:r>
          </w:p>
        </w:tc>
        <w:tc>
          <w:tcPr>
            <w:tcW w:w="43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全年目标实际完成情况</w:t>
            </w:r>
          </w:p>
        </w:tc>
      </w:tr>
      <w:tr>
        <w:tblPrEx>
          <w:tblCellMar>
            <w:top w:w="0" w:type="dxa"/>
            <w:left w:w="108" w:type="dxa"/>
            <w:bottom w:w="0" w:type="dxa"/>
            <w:right w:w="108" w:type="dxa"/>
          </w:tblCellMar>
        </w:tblPrEx>
        <w:trPr>
          <w:trHeight w:val="73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准备解决学校学前教育贫困学生的生活费，促进教育公平和社会和谐，保证贫困生不能因贫困失学</w:t>
            </w:r>
          </w:p>
        </w:tc>
        <w:tc>
          <w:tcPr>
            <w:tcW w:w="43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解决学校学前教育贫困学生的生活费，促进教育公平和社会和谐，保证贫困生不能因贫困失学</w:t>
            </w:r>
          </w:p>
        </w:tc>
      </w:tr>
      <w:tr>
        <w:tblPrEx>
          <w:tblCellMar>
            <w:top w:w="0" w:type="dxa"/>
            <w:left w:w="108" w:type="dxa"/>
            <w:bottom w:w="0" w:type="dxa"/>
            <w:right w:w="108" w:type="dxa"/>
          </w:tblCellMar>
        </w:tblPrEx>
        <w:trPr>
          <w:trHeight w:val="31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绩效指标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指标名称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计量单位</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指标权重</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指标值</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全年完成值</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得分系数（%）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指标得分</w:t>
            </w:r>
          </w:p>
        </w:tc>
      </w:tr>
      <w:tr>
        <w:tblPrEx>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（三级指标）</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（分)</w:t>
            </w:r>
          </w:p>
        </w:tc>
      </w:tr>
      <w:tr>
        <w:tblPrEx>
          <w:tblCellMar>
            <w:top w:w="0" w:type="dxa"/>
            <w:left w:w="108" w:type="dxa"/>
            <w:bottom w:w="0" w:type="dxa"/>
            <w:right w:w="108" w:type="dxa"/>
          </w:tblCellMar>
        </w:tblPrEx>
        <w:trPr>
          <w:trHeight w:val="96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学生享受学前教育贫困学生春期7人秋期11人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30</w:t>
            </w:r>
          </w:p>
        </w:tc>
      </w:tr>
      <w:tr>
        <w:tblPrEx>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应享受贫困午餐覆盖率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30</w:t>
            </w:r>
          </w:p>
        </w:tc>
      </w:tr>
      <w:tr>
        <w:tblPrEx>
          <w:tblCellMar>
            <w:top w:w="0" w:type="dxa"/>
            <w:left w:w="108" w:type="dxa"/>
            <w:bottom w:w="0" w:type="dxa"/>
            <w:right w:w="108" w:type="dxa"/>
          </w:tblCellMar>
        </w:tblPrEx>
        <w:trPr>
          <w:trHeight w:val="96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贫困生午餐标准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元/天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免收保育教费750元，生活费330元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免收保育保教费750元，生活费330元</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10</w:t>
            </w:r>
          </w:p>
        </w:tc>
      </w:tr>
      <w:tr>
        <w:tblPrEx>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家长学生满意度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9.5</w:t>
            </w:r>
          </w:p>
        </w:tc>
      </w:tr>
      <w:tr>
        <w:tblPrEx>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社会满意度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9.5</w:t>
            </w:r>
          </w:p>
        </w:tc>
      </w:tr>
      <w:tr>
        <w:tblPrEx>
          <w:tblCellMar>
            <w:top w:w="0" w:type="dxa"/>
            <w:left w:w="108" w:type="dxa"/>
            <w:bottom w:w="0" w:type="dxa"/>
            <w:right w:w="108" w:type="dxa"/>
          </w:tblCellMar>
        </w:tblPrEx>
        <w:trPr>
          <w:trHeight w:val="12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lang w:bidi="ar"/>
              </w:rPr>
              <w:t>未完成绩效目标或偏离较多的原因、改进措施及其他说明</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rPr>
            </w:pPr>
          </w:p>
        </w:tc>
      </w:tr>
    </w:tbl>
    <w:p>
      <w:pPr>
        <w:pStyle w:val="11"/>
        <w:shd w:val="clear" w:color="auto" w:fill="FFFFFF"/>
        <w:adjustRightInd w:val="0"/>
        <w:snapToGrid w:val="0"/>
        <w:spacing w:before="100" w:after="100" w:line="600" w:lineRule="exact"/>
        <w:ind w:firstLine="640" w:firstLineChars="200"/>
        <w:jc w:val="both"/>
        <w:rPr>
          <w:rStyle w:val="14"/>
          <w:rFonts w:ascii="方正仿宋_GBK" w:hAnsi="Times New Roman" w:eastAsia="方正仿宋_GBK"/>
          <w:b w:val="0"/>
          <w:bCs/>
          <w:sz w:val="32"/>
          <w:szCs w:val="32"/>
        </w:rPr>
      </w:pPr>
      <w:r>
        <w:rPr>
          <w:rStyle w:val="14"/>
          <w:rFonts w:hint="eastAsia" w:ascii="方正仿宋_GBK" w:hAnsi="Times New Roman" w:eastAsia="方正仿宋_GBK"/>
          <w:b w:val="0"/>
          <w:bCs/>
          <w:sz w:val="32"/>
          <w:szCs w:val="32"/>
        </w:rPr>
        <w:t>2.绩效自评报告或案例</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本单位未委托第三方开展绩效评价</w:t>
      </w:r>
    </w:p>
    <w:p>
      <w:pPr>
        <w:pStyle w:val="11"/>
        <w:shd w:val="clear" w:color="auto" w:fill="FFFFFF"/>
        <w:adjustRightInd w:val="0"/>
        <w:snapToGrid w:val="0"/>
        <w:spacing w:before="100" w:after="100" w:line="600" w:lineRule="exact"/>
        <w:ind w:firstLine="640" w:firstLineChars="200"/>
        <w:jc w:val="both"/>
        <w:rPr>
          <w:rFonts w:ascii="宋体" w:hAnsi="宋体" w:eastAsia="方正楷体_GBK" w:cs="宋体"/>
          <w:bCs/>
          <w:sz w:val="32"/>
          <w:szCs w:val="32"/>
        </w:rPr>
      </w:pPr>
      <w:r>
        <w:rPr>
          <w:rFonts w:hint="eastAsia" w:ascii="宋体" w:hAnsi="宋体" w:eastAsia="方正楷体_GBK" w:cs="宋体"/>
          <w:bCs/>
          <w:sz w:val="32"/>
          <w:szCs w:val="32"/>
        </w:rPr>
        <w:t>（三）重点绩效评价结果</w:t>
      </w:r>
    </w:p>
    <w:p>
      <w:pPr>
        <w:pStyle w:val="11"/>
        <w:shd w:val="clear" w:color="auto" w:fill="FFFFFF"/>
        <w:adjustRightInd w:val="0"/>
        <w:snapToGrid w:val="0"/>
        <w:spacing w:before="100" w:after="100" w:line="600" w:lineRule="exact"/>
        <w:ind w:firstLine="640" w:firstLineChars="200"/>
        <w:rPr>
          <w:rFonts w:ascii="方正仿宋_GBK" w:hAnsi="宋体" w:eastAsia="方正仿宋_GBK" w:cs="宋体"/>
          <w:sz w:val="32"/>
          <w:szCs w:val="32"/>
        </w:rPr>
      </w:pPr>
      <w:r>
        <w:rPr>
          <w:rFonts w:hint="eastAsia" w:ascii="方正仿宋_GBK" w:hAnsi="宋体" w:eastAsia="方正仿宋_GBK" w:cs="宋体"/>
          <w:sz w:val="32"/>
          <w:szCs w:val="32"/>
        </w:rPr>
        <w:t>本单位没有重点绩效评价</w:t>
      </w:r>
    </w:p>
    <w:p>
      <w:pPr>
        <w:pStyle w:val="11"/>
        <w:shd w:val="clear" w:color="auto" w:fill="FFFFFF"/>
        <w:adjustRightInd w:val="0"/>
        <w:snapToGrid w:val="0"/>
        <w:spacing w:before="100" w:after="100" w:line="600" w:lineRule="exact"/>
        <w:ind w:firstLine="640" w:firstLineChars="200"/>
        <w:rPr>
          <w:rStyle w:val="14"/>
          <w:rFonts w:ascii="方正黑体_GBK" w:hAnsi="Times New Roman" w:eastAsia="方正黑体_GBK"/>
          <w:b w:val="0"/>
          <w:bCs/>
          <w:sz w:val="32"/>
          <w:szCs w:val="32"/>
        </w:rPr>
      </w:pPr>
      <w:r>
        <w:rPr>
          <w:rStyle w:val="14"/>
          <w:rFonts w:hint="eastAsia" w:ascii="方正黑体_GBK" w:hAnsi="Times New Roman" w:eastAsia="方正黑体_GBK"/>
          <w:b w:val="0"/>
          <w:bCs/>
          <w:sz w:val="32"/>
          <w:szCs w:val="32"/>
        </w:rPr>
        <w:t>六、专业名词解释</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宋体" w:hAnsi="宋体" w:eastAsia="方正楷体_GBK" w:cs="宋体"/>
          <w:bCs/>
          <w:sz w:val="32"/>
          <w:szCs w:val="32"/>
        </w:rPr>
        <w:t>（一）财政拨款收入</w:t>
      </w:r>
      <w:r>
        <w:rPr>
          <w:rFonts w:hint="eastAsia" w:ascii="方正仿宋_GBK" w:hAnsi="宋体" w:eastAsia="方正仿宋_GBK" w:cs="宋体"/>
          <w:sz w:val="32"/>
          <w:szCs w:val="32"/>
        </w:rPr>
        <w:t>：指本年度从本级财政部门取得的财政拨款，包括一般公共预算财政拨款和政府性基金预算财政拨款。</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宋体" w:hAnsi="宋体" w:eastAsia="方正楷体_GBK" w:cs="宋体"/>
          <w:bCs/>
          <w:sz w:val="32"/>
          <w:szCs w:val="32"/>
        </w:rPr>
        <w:t>（二）事业收入：</w:t>
      </w:r>
      <w:r>
        <w:rPr>
          <w:rFonts w:hint="eastAsia" w:ascii="方正仿宋_GBK" w:hAnsi="宋体" w:eastAsia="方正仿宋_GBK" w:cs="宋体"/>
          <w:sz w:val="32"/>
          <w:szCs w:val="32"/>
        </w:rPr>
        <w:t>指事业单位开展专业业务活动及其辅助活动取得的现金流入；事业单位收到的财政专户实际核拨的教育收费等资金在此反映。</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宋体" w:hAnsi="宋体" w:eastAsia="方正楷体_GBK" w:cs="宋体"/>
          <w:bCs/>
          <w:sz w:val="32"/>
          <w:szCs w:val="32"/>
        </w:rPr>
        <w:t>（三）经营收入：</w:t>
      </w:r>
      <w:r>
        <w:rPr>
          <w:rFonts w:hint="eastAsia" w:ascii="方正仿宋_GBK" w:hAnsi="宋体" w:eastAsia="方正仿宋_GBK" w:cs="宋体"/>
          <w:sz w:val="32"/>
          <w:szCs w:val="32"/>
        </w:rPr>
        <w:t>指事业单位在专业业务活动及其辅助活动之外开展非独立核算经营活动取得的现金流入。</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宋体" w:hAnsi="宋体" w:eastAsia="方正楷体_GBK" w:cs="宋体"/>
          <w:bCs/>
          <w:sz w:val="32"/>
          <w:szCs w:val="32"/>
        </w:rPr>
        <w:t>（四）其他收入：</w:t>
      </w:r>
      <w:r>
        <w:rPr>
          <w:rFonts w:hint="eastAsia" w:ascii="方正仿宋_GBK" w:hAnsi="宋体" w:eastAsia="方正仿宋_GBK" w:cs="宋体"/>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宋体" w:hAnsi="宋体" w:eastAsia="方正楷体_GBK" w:cs="宋体"/>
          <w:bCs/>
          <w:sz w:val="32"/>
          <w:szCs w:val="32"/>
        </w:rPr>
        <w:t>（五）使用非财政拨款结余：</w:t>
      </w:r>
      <w:r>
        <w:rPr>
          <w:rFonts w:hint="eastAsia" w:ascii="方正仿宋_GBK" w:hAnsi="宋体" w:eastAsia="方正仿宋_GBK" w:cs="宋体"/>
          <w:sz w:val="32"/>
          <w:szCs w:val="32"/>
        </w:rPr>
        <w:t>指单位在当年的“财政拨款收入”、“事业收入”、“经营收入”、“其他收入”等不足以安排当年支出的情况下，使用以前年度积累的非财政拨款结余弥补本年度收支缺口的资金。</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宋体" w:hAnsi="宋体" w:eastAsia="方正楷体_GBK" w:cs="宋体"/>
          <w:bCs/>
          <w:sz w:val="32"/>
          <w:szCs w:val="32"/>
        </w:rPr>
        <w:t>（六）年初结转和结余：</w:t>
      </w:r>
      <w:r>
        <w:rPr>
          <w:rFonts w:hint="eastAsia" w:ascii="方正仿宋_GBK" w:hAnsi="宋体" w:eastAsia="方正仿宋_GBK" w:cs="宋体"/>
          <w:sz w:val="32"/>
          <w:szCs w:val="32"/>
        </w:rPr>
        <w:t>指单位上年结转本年使用的基本支出结转、项目支出结转和结余、经营结余。</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宋体" w:hAnsi="宋体" w:eastAsia="方正楷体_GBK" w:cs="宋体"/>
          <w:bCs/>
          <w:sz w:val="32"/>
          <w:szCs w:val="32"/>
        </w:rPr>
        <w:t>（七）结余分配：</w:t>
      </w:r>
      <w:r>
        <w:rPr>
          <w:rFonts w:hint="eastAsia" w:ascii="方正仿宋_GBK" w:hAnsi="宋体" w:eastAsia="方正仿宋_GBK" w:cs="宋体"/>
          <w:sz w:val="32"/>
          <w:szCs w:val="32"/>
        </w:rPr>
        <w:t>指单位按照国家有关规定，缴纳所得税、提取专用基金、转入非财政拨款结余等当年结余的分配情况。</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宋体" w:hAnsi="宋体" w:eastAsia="方正楷体_GBK" w:cs="宋体"/>
          <w:bCs/>
          <w:sz w:val="32"/>
          <w:szCs w:val="32"/>
        </w:rPr>
        <w:t>（八）年末结转和结余：</w:t>
      </w:r>
      <w:r>
        <w:rPr>
          <w:rFonts w:hint="eastAsia" w:ascii="方正仿宋_GBK" w:hAnsi="宋体" w:eastAsia="方正仿宋_GBK" w:cs="宋体"/>
          <w:sz w:val="32"/>
          <w:szCs w:val="32"/>
        </w:rPr>
        <w:t>指单位结转下年的基本支出结转、项目支出结转和结余、经营结余。</w:t>
      </w:r>
    </w:p>
    <w:p>
      <w:pPr>
        <w:pStyle w:val="11"/>
        <w:spacing w:beforeAutospacing="0" w:line="600" w:lineRule="exact"/>
        <w:ind w:firstLine="640" w:firstLineChars="200"/>
        <w:jc w:val="both"/>
        <w:rPr>
          <w:rFonts w:ascii="方正仿宋_GBK" w:hAnsi="宋体" w:eastAsia="方正仿宋_GBK" w:cs="宋体"/>
          <w:sz w:val="32"/>
          <w:szCs w:val="32"/>
        </w:rPr>
      </w:pPr>
      <w:r>
        <w:rPr>
          <w:rFonts w:hint="eastAsia" w:ascii="宋体" w:hAnsi="宋体" w:eastAsia="方正楷体_GBK" w:cs="宋体"/>
          <w:bCs/>
          <w:sz w:val="32"/>
          <w:szCs w:val="32"/>
        </w:rPr>
        <w:t>（九）基本支出：</w:t>
      </w:r>
      <w:r>
        <w:rPr>
          <w:rFonts w:hint="eastAsia" w:ascii="方正仿宋_GBK" w:hAnsi="宋体" w:eastAsia="方正仿宋_GBK" w:cs="宋体"/>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宋体" w:hAnsi="宋体" w:eastAsia="方正楷体_GBK" w:cs="宋体"/>
          <w:bCs/>
          <w:sz w:val="32"/>
          <w:szCs w:val="32"/>
        </w:rPr>
        <w:t>（十）项目支出：</w:t>
      </w:r>
      <w:r>
        <w:rPr>
          <w:rFonts w:hint="eastAsia" w:ascii="方正仿宋_GBK" w:hAnsi="宋体" w:eastAsia="方正仿宋_GBK" w:cs="宋体"/>
          <w:sz w:val="32"/>
          <w:szCs w:val="32"/>
        </w:rPr>
        <w:t>指在基本支出之外为完成特定行政任务和事业发展目标所发生的支出。</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宋体" w:hAnsi="宋体" w:eastAsia="方正楷体_GBK" w:cs="宋体"/>
          <w:bCs/>
          <w:sz w:val="32"/>
          <w:szCs w:val="32"/>
        </w:rPr>
        <w:t>（十一）经营支出：</w:t>
      </w:r>
      <w:r>
        <w:rPr>
          <w:rFonts w:hint="eastAsia" w:ascii="方正仿宋_GBK" w:hAnsi="宋体" w:eastAsia="方正仿宋_GBK" w:cs="宋体"/>
          <w:sz w:val="32"/>
          <w:szCs w:val="32"/>
        </w:rPr>
        <w:t>指事业单位在专业业务活动及其辅助活动之外开展非独立核算经营活动发生的支出。</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宋体" w:hAnsi="宋体" w:eastAsia="方正楷体_GBK" w:cs="宋体"/>
          <w:bCs/>
          <w:sz w:val="32"/>
          <w:szCs w:val="32"/>
        </w:rPr>
        <w:t>（十二）“三公”经费：</w:t>
      </w:r>
      <w:r>
        <w:rPr>
          <w:rFonts w:hint="eastAsia" w:ascii="方正仿宋_GBK" w:hAnsi="宋体" w:eastAsia="方正仿宋_GBK" w:cs="宋体"/>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宋体" w:hAnsi="宋体" w:eastAsia="方正楷体_GBK" w:cs="宋体"/>
          <w:bCs/>
          <w:sz w:val="32"/>
          <w:szCs w:val="32"/>
        </w:rPr>
        <w:t>（十三）机关运行经费：</w:t>
      </w:r>
      <w:r>
        <w:rPr>
          <w:rFonts w:hint="eastAsia" w:ascii="方正仿宋_GBK" w:hAnsi="宋体" w:eastAsia="方正仿宋_GBK" w:cs="宋体"/>
          <w:sz w:val="32"/>
          <w:szCs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宋体" w:hAnsi="宋体" w:eastAsia="方正楷体_GBK" w:cs="宋体"/>
          <w:bCs/>
          <w:sz w:val="32"/>
          <w:szCs w:val="32"/>
        </w:rPr>
        <w:t>（十四）工资福利支出（支出经济分类科目类级）：</w:t>
      </w:r>
      <w:r>
        <w:rPr>
          <w:rFonts w:hint="eastAsia" w:ascii="方正仿宋_GBK" w:hAnsi="宋体" w:eastAsia="方正仿宋_GBK" w:cs="宋体"/>
          <w:sz w:val="32"/>
          <w:szCs w:val="32"/>
        </w:rPr>
        <w:t>反映单位开支的在职职工和编制外长期聘用人员的各类劳动报酬，以及为上述人员缴纳的各项社会保险费等。</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宋体" w:hAnsi="宋体" w:eastAsia="方正楷体_GBK" w:cs="宋体"/>
          <w:bCs/>
          <w:sz w:val="32"/>
          <w:szCs w:val="32"/>
        </w:rPr>
        <w:t>（十五）商品和服务支出（支出经济分类科目类级）：</w:t>
      </w:r>
      <w:r>
        <w:rPr>
          <w:rFonts w:hint="eastAsia" w:ascii="方正仿宋_GBK" w:hAnsi="宋体" w:eastAsia="方正仿宋_GBK" w:cs="宋体"/>
          <w:sz w:val="32"/>
          <w:szCs w:val="32"/>
        </w:rPr>
        <w:t>反映单位购买商品和服务的支出（不包括用于购置固定资产的支出、战略性和应急储备支出）。</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宋体" w:hAnsi="宋体" w:eastAsia="方正楷体_GBK" w:cs="宋体"/>
          <w:bCs/>
          <w:sz w:val="32"/>
          <w:szCs w:val="32"/>
        </w:rPr>
        <w:t>（十六）对个人和家庭的补助（支出经济分类科目类级）：</w:t>
      </w:r>
      <w:r>
        <w:rPr>
          <w:rFonts w:hint="eastAsia" w:ascii="方正仿宋_GBK" w:hAnsi="宋体" w:eastAsia="方正仿宋_GBK" w:cs="宋体"/>
          <w:sz w:val="32"/>
          <w:szCs w:val="32"/>
        </w:rPr>
        <w:t>反映用于对个人和家庭的补助支出。</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宋体" w:hAnsi="宋体" w:eastAsia="方正楷体_GBK" w:cs="宋体"/>
          <w:bCs/>
          <w:sz w:val="32"/>
          <w:szCs w:val="32"/>
        </w:rPr>
        <w:t>（十七）其他资本性支出（支出经济分类科目类级）：</w:t>
      </w:r>
      <w:r>
        <w:rPr>
          <w:rFonts w:hint="eastAsia" w:ascii="方正仿宋_GBK" w:hAnsi="宋体" w:eastAsia="方正仿宋_GBK" w:cs="宋体"/>
          <w:sz w:val="32"/>
          <w:szCs w:val="32"/>
        </w:rPr>
        <w:t>反映非各级发展与改革部门集中安排的用于购置固定资产、战略性和应急性储备、土地和无形资产，以及构建基础设施、大型修缮和财政支持企业更新改造所发生的支出。</w:t>
      </w:r>
    </w:p>
    <w:p>
      <w:pPr>
        <w:pStyle w:val="11"/>
        <w:shd w:val="clear" w:color="auto" w:fill="FFFFFF"/>
        <w:adjustRightInd w:val="0"/>
        <w:snapToGrid w:val="0"/>
        <w:spacing w:before="100" w:after="100" w:line="600" w:lineRule="exact"/>
        <w:ind w:firstLine="640" w:firstLineChars="200"/>
        <w:rPr>
          <w:rStyle w:val="14"/>
          <w:rFonts w:ascii="方正黑体_GBK" w:hAnsi="Times New Roman" w:eastAsia="方正黑体_GBK"/>
          <w:b w:val="0"/>
          <w:bCs/>
          <w:sz w:val="32"/>
          <w:szCs w:val="32"/>
        </w:rPr>
      </w:pPr>
      <w:r>
        <w:rPr>
          <w:rStyle w:val="14"/>
          <w:rFonts w:hint="eastAsia" w:ascii="方正黑体_GBK" w:hAnsi="Times New Roman" w:eastAsia="方正黑体_GBK"/>
          <w:b w:val="0"/>
          <w:bCs/>
          <w:sz w:val="32"/>
          <w:szCs w:val="32"/>
        </w:rPr>
        <w:t>七、决算公开联系方式及信息反馈渠道</w:t>
      </w:r>
    </w:p>
    <w:p>
      <w:pPr>
        <w:pStyle w:val="11"/>
        <w:shd w:val="clear" w:color="auto" w:fill="FFFFFF"/>
        <w:adjustRightInd w:val="0"/>
        <w:snapToGrid w:val="0"/>
        <w:spacing w:before="100" w:after="100" w:line="600" w:lineRule="exact"/>
        <w:ind w:firstLine="640" w:firstLineChars="200"/>
        <w:jc w:val="both"/>
        <w:rPr>
          <w:rFonts w:ascii="方正仿宋_GBK" w:hAnsi="宋体" w:eastAsia="方正仿宋_GBK" w:cs="宋体"/>
          <w:sz w:val="32"/>
          <w:szCs w:val="32"/>
        </w:rPr>
      </w:pPr>
      <w:r>
        <w:rPr>
          <w:rFonts w:hint="eastAsia" w:ascii="方正仿宋_GBK" w:hAnsi="宋体" w:eastAsia="方正仿宋_GBK" w:cs="宋体"/>
          <w:sz w:val="32"/>
          <w:szCs w:val="32"/>
        </w:rPr>
        <w:t>本单位决算公开信息反馈和联系方式：023-48696297</w:t>
      </w:r>
    </w:p>
    <w:p>
      <w:pPr>
        <w:pStyle w:val="11"/>
        <w:spacing w:beforeAutospacing="0"/>
      </w:pPr>
    </w:p>
    <w:sectPr>
      <w:pgSz w:w="11915" w:h="16851"/>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zYWYxYTY4NzQ3ZjAxZTg4Njg0OTUxNTYxM2Y5ZGQifQ=="/>
  </w:docVars>
  <w:rsids>
    <w:rsidRoot w:val="001D6867"/>
    <w:rsid w:val="00117D97"/>
    <w:rsid w:val="00147FFD"/>
    <w:rsid w:val="001D6867"/>
    <w:rsid w:val="0030711F"/>
    <w:rsid w:val="003933EF"/>
    <w:rsid w:val="003F7900"/>
    <w:rsid w:val="00410BE1"/>
    <w:rsid w:val="006A540C"/>
    <w:rsid w:val="009F2AFA"/>
    <w:rsid w:val="00B66F6B"/>
    <w:rsid w:val="00B67F00"/>
    <w:rsid w:val="00D40AC0"/>
    <w:rsid w:val="00F525EE"/>
    <w:rsid w:val="00FC0489"/>
    <w:rsid w:val="01A050EF"/>
    <w:rsid w:val="04DB1D2E"/>
    <w:rsid w:val="0A2E3391"/>
    <w:rsid w:val="1509239D"/>
    <w:rsid w:val="17480BB8"/>
    <w:rsid w:val="199051DA"/>
    <w:rsid w:val="1CBD494F"/>
    <w:rsid w:val="1E0D2FC3"/>
    <w:rsid w:val="218B7932"/>
    <w:rsid w:val="245142FB"/>
    <w:rsid w:val="2D3C149E"/>
    <w:rsid w:val="31F67751"/>
    <w:rsid w:val="353F631E"/>
    <w:rsid w:val="35850326"/>
    <w:rsid w:val="35ED2866"/>
    <w:rsid w:val="38016AEA"/>
    <w:rsid w:val="3CE05F20"/>
    <w:rsid w:val="4133382B"/>
    <w:rsid w:val="4706325F"/>
    <w:rsid w:val="48A23AE1"/>
    <w:rsid w:val="4BCD2E55"/>
    <w:rsid w:val="4E8E5A2A"/>
    <w:rsid w:val="51326202"/>
    <w:rsid w:val="55F9333C"/>
    <w:rsid w:val="567415A5"/>
    <w:rsid w:val="5944626B"/>
    <w:rsid w:val="5CB835F8"/>
    <w:rsid w:val="5EC87495"/>
    <w:rsid w:val="6F430C83"/>
    <w:rsid w:val="7067262D"/>
    <w:rsid w:val="72716538"/>
    <w:rsid w:val="73AC0938"/>
    <w:rsid w:val="76745A2C"/>
    <w:rsid w:val="7A04331F"/>
    <w:rsid w:val="7B3518A4"/>
    <w:rsid w:val="7C36380D"/>
    <w:rsid w:val="7CC21B66"/>
    <w:rsid w:val="7E62362A"/>
    <w:rsid w:val="7F0F7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EastAsia" w:hAnsiTheme="minorEastAsia" w:eastAsiaTheme="minorEastAsia"/>
      <w:sz w:val="24"/>
      <w:szCs w:val="24"/>
      <w:lang w:val="en-US" w:eastAsia="zh-CN" w:bidi="ar-SA"/>
    </w:rPr>
  </w:style>
  <w:style w:type="paragraph" w:styleId="2">
    <w:name w:val="heading 1"/>
    <w:basedOn w:val="1"/>
    <w:next w:val="1"/>
    <w:qFormat/>
    <w:uiPriority w:val="0"/>
    <w:pPr>
      <w:spacing w:beforeAutospacing="1" w:afterAutospacing="1"/>
      <w:outlineLvl w:val="0"/>
    </w:pPr>
    <w:rPr>
      <w:rFonts w:hint="eastAsia" w:ascii="宋体" w:hAnsi="宋体" w:eastAsia="宋体"/>
      <w:b/>
      <w:bCs/>
      <w:kern w:val="44"/>
      <w:sz w:val="48"/>
      <w:szCs w:val="48"/>
    </w:rPr>
  </w:style>
  <w:style w:type="paragraph" w:styleId="3">
    <w:name w:val="heading 2"/>
    <w:basedOn w:val="1"/>
    <w:next w:val="1"/>
    <w:semiHidden/>
    <w:unhideWhenUsed/>
    <w:qFormat/>
    <w:uiPriority w:val="0"/>
    <w:pPr>
      <w:spacing w:beforeAutospacing="1" w:afterAutospacing="1"/>
      <w:outlineLvl w:val="1"/>
    </w:pPr>
    <w:rPr>
      <w:rFonts w:hint="eastAsia" w:ascii="宋体" w:hAnsi="宋体" w:eastAsia="宋体"/>
      <w:b/>
      <w:bCs/>
      <w:sz w:val="36"/>
      <w:szCs w:val="36"/>
    </w:rPr>
  </w:style>
  <w:style w:type="paragraph" w:styleId="4">
    <w:name w:val="heading 3"/>
    <w:basedOn w:val="1"/>
    <w:next w:val="1"/>
    <w:semiHidden/>
    <w:unhideWhenUsed/>
    <w:qFormat/>
    <w:uiPriority w:val="0"/>
    <w:pPr>
      <w:spacing w:beforeAutospacing="1" w:afterAutospacing="1"/>
      <w:outlineLvl w:val="2"/>
    </w:pPr>
    <w:rPr>
      <w:rFonts w:hint="eastAsia" w:ascii="宋体" w:hAnsi="宋体" w:eastAsia="宋体"/>
      <w:b/>
      <w:bCs/>
      <w:sz w:val="27"/>
      <w:szCs w:val="27"/>
    </w:rPr>
  </w:style>
  <w:style w:type="paragraph" w:styleId="5">
    <w:name w:val="heading 4"/>
    <w:basedOn w:val="1"/>
    <w:next w:val="1"/>
    <w:semiHidden/>
    <w:unhideWhenUsed/>
    <w:qFormat/>
    <w:uiPriority w:val="0"/>
    <w:pPr>
      <w:spacing w:beforeAutospacing="1" w:afterAutospacing="1"/>
      <w:outlineLvl w:val="3"/>
    </w:pPr>
    <w:rPr>
      <w:rFonts w:hint="eastAsia" w:ascii="宋体" w:hAnsi="宋体" w:eastAsia="宋体"/>
      <w:b/>
      <w:bCs/>
    </w:rPr>
  </w:style>
  <w:style w:type="paragraph" w:styleId="6">
    <w:name w:val="heading 5"/>
    <w:basedOn w:val="1"/>
    <w:next w:val="1"/>
    <w:semiHidden/>
    <w:unhideWhenUsed/>
    <w:qFormat/>
    <w:uiPriority w:val="0"/>
    <w:pPr>
      <w:spacing w:beforeAutospacing="1" w:afterAutospacing="1"/>
      <w:outlineLvl w:val="4"/>
    </w:pPr>
    <w:rPr>
      <w:rFonts w:hint="eastAsia" w:ascii="宋体" w:hAnsi="宋体" w:eastAsia="宋体"/>
      <w:b/>
      <w:bCs/>
      <w:sz w:val="20"/>
      <w:szCs w:val="20"/>
    </w:rPr>
  </w:style>
  <w:style w:type="paragraph" w:styleId="7">
    <w:name w:val="heading 6"/>
    <w:basedOn w:val="1"/>
    <w:next w:val="1"/>
    <w:semiHidden/>
    <w:unhideWhenUsed/>
    <w:qFormat/>
    <w:uiPriority w:val="0"/>
    <w:pPr>
      <w:spacing w:beforeAutospacing="1" w:afterAutospacing="1"/>
      <w:outlineLvl w:val="5"/>
    </w:pPr>
    <w:rPr>
      <w:rFonts w:hint="eastAsia" w:ascii="宋体" w:hAnsi="宋体" w:eastAsia="宋体"/>
      <w:b/>
      <w:bCs/>
      <w:sz w:val="15"/>
      <w:szCs w:val="15"/>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8">
    <w:name w:val="footer"/>
    <w:basedOn w:val="1"/>
    <w:link w:val="19"/>
    <w:qFormat/>
    <w:uiPriority w:val="0"/>
    <w:pPr>
      <w:tabs>
        <w:tab w:val="center" w:pos="4153"/>
        <w:tab w:val="right" w:pos="8306"/>
      </w:tabs>
      <w:snapToGrid w:val="0"/>
    </w:pPr>
    <w:rPr>
      <w:sz w:val="18"/>
      <w:szCs w:val="18"/>
    </w:rPr>
  </w:style>
  <w:style w:type="paragraph" w:styleId="9">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eastAsia="宋体"/>
    </w:rPr>
  </w:style>
  <w:style w:type="paragraph" w:styleId="11">
    <w:name w:val="Normal (Web)"/>
    <w:basedOn w:val="1"/>
    <w:qFormat/>
    <w:uiPriority w:val="0"/>
    <w:pPr>
      <w:spacing w:beforeAutospacing="1" w:afterAutospacing="1"/>
    </w:pPr>
  </w:style>
  <w:style w:type="character" w:styleId="14">
    <w:name w:val="Strong"/>
    <w:basedOn w:val="13"/>
    <w:qFormat/>
    <w:uiPriority w:val="0"/>
    <w:rPr>
      <w:b/>
    </w:rPr>
  </w:style>
  <w:style w:type="character" w:customStyle="1" w:styleId="15">
    <w:name w:val="font01"/>
    <w:basedOn w:val="13"/>
    <w:qFormat/>
    <w:uiPriority w:val="0"/>
    <w:rPr>
      <w:rFonts w:hint="eastAsia" w:ascii="宋体" w:hAnsi="宋体" w:eastAsia="宋体" w:cs="宋体"/>
      <w:b/>
      <w:bCs/>
      <w:color w:val="000000"/>
      <w:sz w:val="20"/>
      <w:szCs w:val="20"/>
      <w:u w:val="none"/>
    </w:rPr>
  </w:style>
  <w:style w:type="character" w:customStyle="1" w:styleId="16">
    <w:name w:val="font11"/>
    <w:basedOn w:val="13"/>
    <w:qFormat/>
    <w:uiPriority w:val="0"/>
    <w:rPr>
      <w:rFonts w:hint="eastAsia" w:ascii="宋体" w:hAnsi="宋体" w:eastAsia="宋体" w:cs="宋体"/>
      <w:b/>
      <w:bCs/>
      <w:color w:val="000000"/>
      <w:sz w:val="32"/>
      <w:szCs w:val="32"/>
      <w:u w:val="none"/>
    </w:rPr>
  </w:style>
  <w:style w:type="character" w:customStyle="1" w:styleId="17">
    <w:name w:val="font31"/>
    <w:basedOn w:val="13"/>
    <w:qFormat/>
    <w:uiPriority w:val="0"/>
    <w:rPr>
      <w:rFonts w:hint="eastAsia" w:ascii="宋体" w:hAnsi="宋体" w:eastAsia="宋体" w:cs="宋体"/>
      <w:color w:val="000000"/>
      <w:sz w:val="20"/>
      <w:szCs w:val="20"/>
      <w:u w:val="none"/>
    </w:rPr>
  </w:style>
  <w:style w:type="character" w:customStyle="1" w:styleId="18">
    <w:name w:val="页眉 Char"/>
    <w:basedOn w:val="13"/>
    <w:link w:val="9"/>
    <w:qFormat/>
    <w:uiPriority w:val="0"/>
    <w:rPr>
      <w:rFonts w:asciiTheme="minorEastAsia" w:hAnsiTheme="minorEastAsia" w:eastAsiaTheme="minorEastAsia"/>
      <w:sz w:val="18"/>
      <w:szCs w:val="18"/>
    </w:rPr>
  </w:style>
  <w:style w:type="character" w:customStyle="1" w:styleId="19">
    <w:name w:val="页脚 Char"/>
    <w:basedOn w:val="13"/>
    <w:link w:val="8"/>
    <w:qFormat/>
    <w:uiPriority w:val="0"/>
    <w:rPr>
      <w:rFonts w:asciiTheme="minorEastAsia" w:hAnsiTheme="minorEastAsia" w:eastAsiaTheme="minorEastAsia"/>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18</Pages>
  <Words>6838</Words>
  <Characters>7639</Characters>
  <Lines>58</Lines>
  <Paragraphs>16</Paragraphs>
  <TotalTime>0</TotalTime>
  <ScaleCrop>false</ScaleCrop>
  <LinksUpToDate>false</LinksUpToDate>
  <CharactersWithSpaces>7689</CharactersWithSpaces>
  <Application>WPS Office_11.1.0.12012_F1E327BC-269C-435d-A152-05C5408002CA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2022-08-31T10:43:00Z</dcterms:created>
  <dc:creator>Administrator</dc:creator>
  <cp:lastModifiedBy>陈列</cp:lastModifiedBy>
  <dcterms:modified xsi:type="dcterms:W3CDTF">2022-09-01T15:14:19Z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2052-11.1.0.12012</vt:lpwstr>
  </property>
  <property fmtid="{D5CDD505-2E9C-101B-9397-08002B2CF9AE}" pid="3" name="ICV">
    <vt:lpwstr>CDAEE350A5D84006B41DB5657AE6D408</vt:lpwstr>
  </property>
</Properties>
</file>