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重庆市綦江区三江中学</w:t>
      </w:r>
    </w:p>
    <w:p>
      <w:pPr>
        <w:pStyle w:val="3"/>
        <w:shd w:val="clear" w:color="auto" w:fill="FFFFFF"/>
        <w:jc w:val="center"/>
        <w:rPr>
          <w:rFonts w:ascii="方正小标宋_GBK" w:hAnsi="Times New Roman" w:eastAsia="方正小标宋_GBK" w:cs="Times New Roman"/>
          <w:kern w:val="2"/>
          <w:sz w:val="44"/>
          <w:szCs w:val="44"/>
        </w:rPr>
      </w:pPr>
      <w:r>
        <w:rPr>
          <w:rFonts w:hint="eastAsia" w:ascii="方正小标宋_GBK" w:hAnsi="Times New Roman" w:eastAsia="方正小标宋_GBK" w:cs="Times New Roman"/>
          <w:kern w:val="2"/>
          <w:sz w:val="44"/>
          <w:szCs w:val="44"/>
        </w:rPr>
        <w:t>2020年度部门决算</w:t>
      </w:r>
      <w:r>
        <w:rPr>
          <w:rFonts w:hint="eastAsia" w:ascii="方正小标宋_GBK" w:eastAsia="方正小标宋_GBK"/>
          <w:sz w:val="44"/>
          <w:szCs w:val="44"/>
        </w:rPr>
        <w:t>公开说明</w:t>
      </w:r>
    </w:p>
    <w:p>
      <w:pPr>
        <w:pStyle w:val="3"/>
        <w:shd w:val="clear" w:color="auto" w:fill="FFFFFF"/>
        <w:rPr>
          <w:rFonts w:ascii="Times New Roman" w:hAnsi="Times New Roman" w:eastAsia="方正黑体_GBK" w:cs="Times New Roman"/>
          <w:kern w:val="2"/>
          <w:sz w:val="32"/>
          <w:szCs w:val="32"/>
        </w:rPr>
      </w:pPr>
      <w:r>
        <w:rPr>
          <w:rFonts w:hint="eastAsia" w:ascii="Times New Roman" w:hAnsi="Times New Roman" w:eastAsia="方正黑体_GBK" w:cs="Times New Roman"/>
          <w:bCs/>
          <w:kern w:val="2"/>
          <w:sz w:val="32"/>
          <w:szCs w:val="32"/>
        </w:rPr>
        <w:t>一、部门基本情况</w:t>
      </w:r>
    </w:p>
    <w:p>
      <w:pPr>
        <w:pStyle w:val="3"/>
        <w:shd w:val="clear" w:color="auto" w:fill="FFFFFF"/>
        <w:rPr>
          <w:rFonts w:ascii="Times New Roman" w:hAnsi="Times New Roman" w:eastAsia="方正楷体_GBK" w:cs="Times New Roman"/>
          <w:color w:val="333333"/>
          <w:kern w:val="2"/>
          <w:sz w:val="32"/>
          <w:szCs w:val="32"/>
        </w:rPr>
      </w:pPr>
      <w:r>
        <w:rPr>
          <w:rFonts w:hint="eastAsia"/>
          <w:sz w:val="22"/>
          <w:szCs w:val="22"/>
        </w:rPr>
        <w:t xml:space="preserve">  </w:t>
      </w:r>
      <w:r>
        <w:rPr>
          <w:rFonts w:hint="eastAsia" w:ascii="Times New Roman" w:hAnsi="Times New Roman" w:eastAsia="方正楷体_GBK" w:cs="Times New Roman"/>
          <w:bCs/>
          <w:color w:val="333333"/>
          <w:kern w:val="2"/>
          <w:sz w:val="32"/>
          <w:szCs w:val="32"/>
        </w:rPr>
        <w:t>（一）职能职责</w:t>
      </w:r>
    </w:p>
    <w:p>
      <w:pPr>
        <w:pStyle w:val="3"/>
        <w:shd w:val="clear" w:color="auto" w:fill="FFFFFF"/>
        <w:rPr>
          <w:rFonts w:ascii="Times New Roman" w:hAnsi="Times New Roman" w:eastAsia="方正仿宋_GBK"/>
          <w:sz w:val="32"/>
          <w:szCs w:val="32"/>
        </w:rPr>
      </w:pPr>
      <w:r>
        <w:rPr>
          <w:rStyle w:val="5"/>
          <w:rFonts w:hint="eastAsia"/>
          <w:b w:val="0"/>
          <w:sz w:val="22"/>
          <w:szCs w:val="22"/>
        </w:rPr>
        <w:t> </w:t>
      </w:r>
      <w:r>
        <w:rPr>
          <w:rFonts w:hint="eastAsia" w:ascii="Times New Roman" w:hAnsi="Times New Roman" w:eastAsia="方正仿宋_GBK"/>
          <w:bCs/>
          <w:sz w:val="32"/>
          <w:szCs w:val="32"/>
        </w:rPr>
        <w:t xml:space="preserve"> </w:t>
      </w:r>
      <w:r>
        <w:rPr>
          <w:rFonts w:hint="eastAsia" w:ascii="Times New Roman" w:hAnsi="Times New Roman" w:eastAsia="方正仿宋_GBK"/>
          <w:sz w:val="32"/>
          <w:szCs w:val="32"/>
        </w:rPr>
        <w:t>实施初中、高中义务教育，促进基础教育发展。初中/高中学历教育（相关社会服务）。</w:t>
      </w:r>
    </w:p>
    <w:p>
      <w:pPr>
        <w:pStyle w:val="3"/>
        <w:shd w:val="clear" w:color="auto" w:fill="FFFFFF"/>
      </w:pPr>
      <w:r>
        <w:rPr>
          <w:rFonts w:hint="eastAsia"/>
          <w:sz w:val="22"/>
          <w:szCs w:val="22"/>
        </w:rPr>
        <w:t xml:space="preserve">  </w:t>
      </w:r>
      <w:r>
        <w:rPr>
          <w:rFonts w:hint="eastAsia" w:ascii="Times New Roman" w:hAnsi="Times New Roman" w:eastAsia="方正楷体_GBK" w:cs="Times New Roman"/>
          <w:color w:val="333333"/>
          <w:kern w:val="2"/>
          <w:sz w:val="32"/>
          <w:szCs w:val="32"/>
        </w:rPr>
        <w:t>（二）机构设置</w:t>
      </w:r>
    </w:p>
    <w:p>
      <w:pPr>
        <w:pStyle w:val="3"/>
        <w:shd w:val="clear" w:color="auto" w:fill="FFFFFF"/>
        <w:rPr>
          <w:rFonts w:ascii="Times New Roman" w:hAnsi="Times New Roman" w:eastAsia="方正仿宋_GBK"/>
          <w:bCs/>
          <w:sz w:val="32"/>
          <w:szCs w:val="32"/>
        </w:rPr>
      </w:pPr>
      <w:r>
        <w:rPr>
          <w:rFonts w:hint="eastAsia"/>
          <w:color w:val="FF0000"/>
          <w:sz w:val="22"/>
          <w:szCs w:val="22"/>
        </w:rPr>
        <w:t> </w:t>
      </w:r>
      <w:r>
        <w:rPr>
          <w:rFonts w:hint="eastAsia" w:ascii="Times New Roman" w:hAnsi="Times New Roman" w:eastAsia="方正仿宋_GBK"/>
          <w:bCs/>
          <w:sz w:val="32"/>
          <w:szCs w:val="32"/>
        </w:rPr>
        <w:t>重庆市綦江区三江中学是经重庆市綦江区机构编制委员会批准成立的，在重庆市綦江区教育委员会领导下的一所综合高中。本单位属独立法人机构，为全额拨款事业单位，内设处室7个，分别为办公室、教学处、学生处、教科室、总务处、财务处、安保处。</w:t>
      </w:r>
    </w:p>
    <w:p>
      <w:pPr>
        <w:pStyle w:val="3"/>
        <w:shd w:val="clear" w:color="auto" w:fill="FFFFFF"/>
        <w:rPr>
          <w:rFonts w:ascii="Times New Roman" w:hAnsi="Times New Roman" w:eastAsia="方正楷体_GBK" w:cs="Times New Roman"/>
          <w:color w:val="333333"/>
          <w:kern w:val="2"/>
          <w:sz w:val="32"/>
          <w:szCs w:val="32"/>
        </w:rPr>
      </w:pPr>
      <w:r>
        <w:rPr>
          <w:rFonts w:hint="eastAsia"/>
          <w:sz w:val="22"/>
          <w:szCs w:val="22"/>
        </w:rPr>
        <w:t xml:space="preserve">  </w:t>
      </w:r>
      <w:r>
        <w:rPr>
          <w:rFonts w:hint="eastAsia" w:ascii="Times New Roman" w:hAnsi="Times New Roman" w:eastAsia="方正楷体_GBK" w:cs="Times New Roman"/>
          <w:color w:val="333333"/>
          <w:kern w:val="2"/>
          <w:sz w:val="32"/>
          <w:szCs w:val="32"/>
        </w:rPr>
        <w:t>（</w:t>
      </w:r>
      <w:r>
        <w:rPr>
          <w:rFonts w:hint="eastAsia" w:ascii="Times New Roman" w:hAnsi="Times New Roman" w:eastAsia="方正楷体_GBK" w:cs="Times New Roman"/>
          <w:bCs/>
          <w:color w:val="333333"/>
          <w:kern w:val="2"/>
          <w:sz w:val="32"/>
          <w:szCs w:val="32"/>
        </w:rPr>
        <w:t>三）单位构成</w:t>
      </w:r>
    </w:p>
    <w:p>
      <w:pPr>
        <w:pStyle w:val="3"/>
        <w:shd w:val="clear" w:color="auto" w:fill="FFFFFF"/>
        <w:rPr>
          <w:rFonts w:ascii="Times New Roman" w:hAnsi="Times New Roman" w:eastAsia="方正仿宋_GBK"/>
          <w:bCs/>
          <w:sz w:val="32"/>
          <w:szCs w:val="32"/>
        </w:rPr>
      </w:pPr>
      <w:r>
        <w:rPr>
          <w:rStyle w:val="5"/>
          <w:rFonts w:hint="eastAsia"/>
          <w:b w:val="0"/>
          <w:sz w:val="22"/>
          <w:szCs w:val="22"/>
        </w:rPr>
        <w:t> </w:t>
      </w:r>
      <w:r>
        <w:rPr>
          <w:rFonts w:hint="eastAsia" w:ascii="Times New Roman" w:hAnsi="Times New Roman" w:eastAsia="方正仿宋_GBK"/>
          <w:sz w:val="32"/>
          <w:szCs w:val="32"/>
        </w:rPr>
        <w:t xml:space="preserve"> </w:t>
      </w:r>
      <w:r>
        <w:rPr>
          <w:rFonts w:hint="eastAsia" w:ascii="Times New Roman" w:hAnsi="Times New Roman" w:eastAsia="方正仿宋_GBK"/>
          <w:bCs/>
          <w:sz w:val="32"/>
          <w:szCs w:val="32"/>
        </w:rPr>
        <w:t>从预算单位构成看，无纳入本部门2020年度决算编制的二级预算单位。</w:t>
      </w:r>
    </w:p>
    <w:p>
      <w:pPr>
        <w:pStyle w:val="3"/>
        <w:shd w:val="clear" w:color="auto" w:fill="FFFFFF"/>
        <w:rPr>
          <w:rFonts w:ascii="Times New Roman" w:hAnsi="Times New Roman" w:eastAsia="方正黑体_GBK" w:cs="Times New Roman"/>
          <w:bCs/>
          <w:kern w:val="2"/>
          <w:sz w:val="32"/>
          <w:szCs w:val="32"/>
        </w:rPr>
      </w:pPr>
      <w:r>
        <w:rPr>
          <w:rFonts w:hint="eastAsia" w:ascii="Times New Roman" w:hAnsi="Times New Roman" w:eastAsia="方正黑体_GBK" w:cs="Times New Roman"/>
          <w:kern w:val="2"/>
          <w:sz w:val="32"/>
          <w:szCs w:val="32"/>
        </w:rPr>
        <w:t>二、部门决算情况说明</w:t>
      </w:r>
    </w:p>
    <w:p>
      <w:pPr>
        <w:pStyle w:val="3"/>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color w:val="333333"/>
          <w:kern w:val="2"/>
          <w:sz w:val="32"/>
          <w:szCs w:val="32"/>
        </w:rPr>
        <w:t>（一）收入支出决算总体情况说明</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bCs/>
          <w:sz w:val="32"/>
          <w:szCs w:val="32"/>
        </w:rPr>
        <w:t>1.总体情况</w:t>
      </w:r>
      <w:r>
        <w:rPr>
          <w:rFonts w:hint="eastAsia" w:ascii="Times New Roman" w:hAnsi="Times New Roman" w:eastAsia="方正仿宋_GBK"/>
          <w:sz w:val="32"/>
          <w:szCs w:val="32"/>
        </w:rPr>
        <w:t>。2020年度收入总计6,110.36万元，支出总计6,110.36万元。收支较上年决算数 增加306.10万元、 增长 5.3%，主要原因是年初结转和结余增加151.03万元，本年财政拨款收入增加158.55万元，事业收入减少3.48万元。</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2.收入情况。</w:t>
      </w:r>
      <w:r>
        <w:rPr>
          <w:rFonts w:hint="eastAsia" w:ascii="Times New Roman" w:hAnsi="Times New Roman" w:eastAsia="方正仿宋_GBK"/>
          <w:bCs/>
          <w:sz w:val="32"/>
          <w:szCs w:val="32"/>
        </w:rPr>
        <w:t>2020年度收入合计5,219.05万元，较上年决算数增加155.07万元，增长3.1%，主要原因 是本年财政拨款收入增加158.55万元，事业收入减少3.48万元。其中：财政拨款收入5,085.43万元，占97.4%；事业收入133.62万元，占2.6%；此外，年初结转和结余891.31万元。</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bCs/>
          <w:sz w:val="32"/>
          <w:szCs w:val="32"/>
        </w:rPr>
        <w:t>3.支出情况。</w:t>
      </w:r>
      <w:r>
        <w:rPr>
          <w:rFonts w:hint="eastAsia" w:ascii="Times New Roman" w:hAnsi="Times New Roman" w:eastAsia="方正仿宋_GBK"/>
          <w:sz w:val="32"/>
          <w:szCs w:val="32"/>
        </w:rPr>
        <w:t>2020年度支出合计5,623.15万元，较上年决算数增加398.85万元，增长7.6%，主要原因是基本支出增长176.28万元，项目支出增长222.57万元。其中：基本支出 4,909.40万元，占87.3%；项目支出713.75万元，占12.7%。</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4.结转结余情况。</w:t>
      </w:r>
      <w:r>
        <w:rPr>
          <w:rFonts w:hint="eastAsia" w:ascii="Times New Roman" w:hAnsi="Times New Roman" w:eastAsia="方正仿宋_GBK"/>
          <w:bCs/>
          <w:sz w:val="32"/>
          <w:szCs w:val="32"/>
        </w:rPr>
        <w:t>2020年度年末结转和结余487.22万元，较上年决算数减少92.75万元，下降16%，主要原因是财政应返还额度减少,本年社会保障和就业支出、卫生健康支出、住房保障支出均无结转结余。</w:t>
      </w:r>
    </w:p>
    <w:p>
      <w:pPr>
        <w:pStyle w:val="3"/>
        <w:shd w:val="clear" w:color="auto" w:fill="FFFFFF"/>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bCs/>
          <w:color w:val="333333"/>
          <w:kern w:val="2"/>
          <w:sz w:val="32"/>
          <w:szCs w:val="32"/>
        </w:rPr>
        <w:t>（二）财政拨款收入支出决算总体情况说明</w:t>
      </w:r>
    </w:p>
    <w:p>
      <w:pPr>
        <w:pStyle w:val="3"/>
        <w:shd w:val="clear" w:color="auto" w:fill="FFFFFF"/>
        <w:rPr>
          <w:rFonts w:ascii="Times New Roman" w:hAnsi="Times New Roman" w:eastAsia="方正仿宋_GBK"/>
          <w:sz w:val="32"/>
          <w:szCs w:val="32"/>
        </w:rPr>
      </w:pPr>
      <w:r>
        <w:rPr>
          <w:rFonts w:hint="eastAsia"/>
          <w:sz w:val="22"/>
          <w:szCs w:val="22"/>
        </w:rPr>
        <w:t xml:space="preserve">  </w:t>
      </w:r>
      <w:r>
        <w:rPr>
          <w:rFonts w:hint="eastAsia" w:ascii="Times New Roman" w:hAnsi="Times New Roman" w:eastAsia="方正仿宋_GBK"/>
          <w:sz w:val="32"/>
          <w:szCs w:val="32"/>
        </w:rPr>
        <w:t>2020年度财政拨款收、支总计5,917.59万元。与2019年相比，财政拨款收、支总计各增加250.43万元，增长4.4%。主要原因是教育支出增加170.06万元，社会保障就业支出增加138.81万元，卫生健康支出减少4.78万元，社会保障支出减少20.91万元，年末财政拨款结转结余减少32.75万元。</w:t>
      </w:r>
    </w:p>
    <w:p>
      <w:pPr>
        <w:pStyle w:val="3"/>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color w:val="333333"/>
          <w:kern w:val="2"/>
          <w:sz w:val="32"/>
          <w:szCs w:val="32"/>
        </w:rPr>
        <w:t>（三）一般公共预算财政拨款支出决算情况说明</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bCs/>
          <w:sz w:val="32"/>
          <w:szCs w:val="32"/>
        </w:rPr>
        <w:t>1.收入情况。</w:t>
      </w:r>
      <w:r>
        <w:rPr>
          <w:rFonts w:hint="eastAsia" w:ascii="Times New Roman" w:hAnsi="Times New Roman" w:eastAsia="方正仿宋_GBK"/>
          <w:sz w:val="32"/>
          <w:szCs w:val="32"/>
        </w:rPr>
        <w:t>2020年度一般公共预算财政拨款收入5,085.43万元，较上年决算数增加158.55万元，增长3.2%。主要原因是教育支出增加174.66万元，社会保障和就业支出增加28.57万元，卫生健康支出减少13.99万元，住房保障支出减少30.69万元。较年初预算数 增加931.90万元，增长22.4%。此外，年初财政拨款结转和结余832.16万元。</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bCs/>
          <w:sz w:val="32"/>
          <w:szCs w:val="32"/>
        </w:rPr>
        <w:t>2.支出情况。</w:t>
      </w:r>
      <w:r>
        <w:rPr>
          <w:rFonts w:hint="eastAsia" w:ascii="Times New Roman" w:hAnsi="Times New Roman" w:eastAsia="方正仿宋_GBK"/>
          <w:sz w:val="32"/>
          <w:szCs w:val="32"/>
        </w:rPr>
        <w:t>2020年度一般公共预算财政拨款支出5,430.38万元，较上年决算数增加283.19万元，增长5.5%。主要原因是基本支出增加176.29万元，项目支出增加106.9万元。。较年初预算数 增加756.88万 元，增长16.2%。</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bCs/>
          <w:sz w:val="32"/>
          <w:szCs w:val="32"/>
        </w:rPr>
        <w:t>3.结转结余情况。</w:t>
      </w:r>
      <w:r>
        <w:rPr>
          <w:rFonts w:hint="eastAsia" w:ascii="Times New Roman" w:hAnsi="Times New Roman" w:eastAsia="方正仿宋_GBK"/>
          <w:sz w:val="32"/>
          <w:szCs w:val="32"/>
        </w:rPr>
        <w:t>2020年度年末一般公共预算财政拨款结转和结余487.22万元，较上年决算数减少32.75万元，下降6.3%，主要原因是本年社会保障和就业支出、卫生健康支出、住房保障支出均无结转结余。</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bCs/>
          <w:sz w:val="32"/>
          <w:szCs w:val="32"/>
        </w:rPr>
        <w:t>4.比较情况</w:t>
      </w:r>
      <w:r>
        <w:rPr>
          <w:rFonts w:hint="eastAsia" w:ascii="Times New Roman" w:hAnsi="Times New Roman" w:eastAsia="方正仿宋_GBK"/>
          <w:sz w:val="32"/>
          <w:szCs w:val="32"/>
        </w:rPr>
        <w:t>。本部门2020年度一般公共预算财政拨款支出主要用于以下几个方面：</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sz w:val="32"/>
          <w:szCs w:val="32"/>
        </w:rPr>
        <w:t>（1）教育支出4,141.45万元，占76.3%，较年初预算数增加633.48万元，增长18.1%，主要原因是项目支出增加。</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sz w:val="32"/>
          <w:szCs w:val="32"/>
        </w:rPr>
        <w:t>（2）社会保障与就业支出822.79万元，占15.2%，较年初预算数增加147.40万 元，增长21.8%，主要原因是增加综合目标考核奖励（补2019年），增加中人一次性补助。</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sz w:val="32"/>
          <w:szCs w:val="32"/>
        </w:rPr>
        <w:t>（3）卫生健康支出245.58万元，占4.5%，较年初预算数减少7.07万 元，下降2.8%，主要原因是教师调出本单位，本年教师人数减少。</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sz w:val="32"/>
          <w:szCs w:val="32"/>
        </w:rPr>
        <w:t>（4）住房保障支出220.56万元，占4.1%，较年初预算数减少16.94万 元，下降7.1%，主要原因是本年教师人数减少。</w:t>
      </w:r>
    </w:p>
    <w:p>
      <w:pPr>
        <w:pStyle w:val="3"/>
        <w:shd w:val="clear" w:color="auto" w:fill="FFFFFF"/>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bCs/>
          <w:color w:val="333333"/>
          <w:kern w:val="2"/>
          <w:sz w:val="32"/>
          <w:szCs w:val="32"/>
        </w:rPr>
        <w:t>（四）一般公共预算财政拨款基本支出决算情况说明</w:t>
      </w:r>
    </w:p>
    <w:p>
      <w:pPr>
        <w:pStyle w:val="3"/>
        <w:shd w:val="clear" w:color="auto" w:fill="FFFFFF"/>
        <w:rPr>
          <w:rFonts w:ascii="Times New Roman" w:hAnsi="Times New Roman" w:eastAsia="方正仿宋_GBK"/>
          <w:bCs/>
          <w:sz w:val="32"/>
          <w:szCs w:val="32"/>
        </w:rPr>
      </w:pPr>
      <w:r>
        <w:rPr>
          <w:rFonts w:hint="eastAsia"/>
          <w:sz w:val="22"/>
          <w:szCs w:val="22"/>
        </w:rPr>
        <w:t> </w:t>
      </w:r>
      <w:r>
        <w:rPr>
          <w:rFonts w:hint="eastAsia" w:ascii="Times New Roman" w:hAnsi="Times New Roman" w:eastAsia="方正仿宋_GBK"/>
          <w:bCs/>
          <w:sz w:val="32"/>
          <w:szCs w:val="32"/>
        </w:rPr>
        <w:t xml:space="preserve"> 2020年度一般公共财政拨款基本支出4,909.40万元。其中：人员经费4,541.92万元，较上年决算数增加177.63万 元，增长4.1%，主要原因是增加综合目标考核奖励（补2019年）。人员经费用途主要包括工资福利支出、住房公积金支出、医疗支出等。公用经费367.48万元，较上年决算数减少1.35万元，下降0.4%，主要原因是学生人数减少。公用经费用途主要包括办公费、维修费、劳务费等。</w:t>
      </w:r>
    </w:p>
    <w:p>
      <w:pPr>
        <w:pStyle w:val="3"/>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color w:val="333333"/>
          <w:kern w:val="2"/>
          <w:sz w:val="32"/>
          <w:szCs w:val="32"/>
        </w:rPr>
        <w:t>（五）政府性基金预算收支决算情况说明</w:t>
      </w:r>
    </w:p>
    <w:p>
      <w:pPr>
        <w:pStyle w:val="3"/>
        <w:shd w:val="clear" w:color="auto" w:fill="FFFFFF"/>
        <w:rPr>
          <w:rFonts w:ascii="Times New Roman" w:hAnsi="Times New Roman" w:eastAsia="方正仿宋_GBK"/>
          <w:bCs/>
          <w:sz w:val="32"/>
          <w:szCs w:val="32"/>
        </w:rPr>
      </w:pPr>
      <w:r>
        <w:rPr>
          <w:rFonts w:hint="eastAsia"/>
          <w:sz w:val="22"/>
          <w:szCs w:val="22"/>
        </w:rPr>
        <w:t xml:space="preserve">  </w:t>
      </w:r>
      <w:r>
        <w:rPr>
          <w:rFonts w:hint="eastAsia" w:ascii="Times New Roman" w:hAnsi="Times New Roman" w:eastAsia="方正仿宋_GBK"/>
          <w:bCs/>
          <w:sz w:val="32"/>
          <w:szCs w:val="32"/>
        </w:rPr>
        <w:t>2020年度政府性基金预算财政拨款年初结转结余0.00万元，年末结转结余0.00万元。本年收入0.00万元，较上年决算数增加0.00万元，增长0.0%。本年支出0.00万元，较上年决算数增加0.00万元，增长0.0%。</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本部门2020年度无政府性基金预算财政拨款收支。</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楷体_GBK" w:cs="Times New Roman"/>
          <w:bCs/>
          <w:color w:val="333333"/>
          <w:kern w:val="2"/>
          <w:sz w:val="32"/>
          <w:szCs w:val="32"/>
        </w:rPr>
        <w:t>（六）国有资本经营预算财政拨款支决算情况说明。</w:t>
      </w:r>
      <w:r>
        <w:rPr>
          <w:rFonts w:hint="eastAsia"/>
          <w:sz w:val="22"/>
          <w:szCs w:val="22"/>
        </w:rPr>
        <w:br w:type="textWrapping"/>
      </w:r>
      <w:r>
        <w:rPr>
          <w:rFonts w:hint="eastAsia"/>
          <w:sz w:val="22"/>
          <w:szCs w:val="22"/>
        </w:rPr>
        <w:t> </w:t>
      </w:r>
      <w:r>
        <w:rPr>
          <w:rFonts w:hint="eastAsia" w:ascii="Times New Roman" w:hAnsi="Times New Roman" w:eastAsia="方正仿宋_GBK"/>
          <w:bCs/>
          <w:sz w:val="32"/>
          <w:szCs w:val="32"/>
        </w:rPr>
        <w:t xml:space="preserve"> 2020年度国有资本经营预算财政拨本年支出0.00万元，基本支出0.00万元，项目支出0.00万元。</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本部门2020年度无国有资本经营预算财政拨款支出。</w:t>
      </w:r>
    </w:p>
    <w:p>
      <w:pPr>
        <w:pStyle w:val="3"/>
        <w:shd w:val="clear" w:color="auto" w:fill="FFFFFF"/>
        <w:rPr>
          <w:rFonts w:ascii="Times New Roman" w:hAnsi="Times New Roman" w:eastAsia="方正黑体_GBK" w:cs="Times New Roman"/>
          <w:kern w:val="2"/>
          <w:sz w:val="32"/>
          <w:szCs w:val="32"/>
        </w:rPr>
      </w:pPr>
      <w:r>
        <w:rPr>
          <w:rFonts w:hint="eastAsia" w:ascii="Times New Roman" w:hAnsi="Times New Roman" w:eastAsia="方正黑体_GBK" w:cs="Times New Roman"/>
          <w:bCs/>
          <w:kern w:val="2"/>
          <w:sz w:val="32"/>
          <w:szCs w:val="32"/>
        </w:rPr>
        <w:t>三、“三公”经费情况说明</w:t>
      </w:r>
    </w:p>
    <w:p>
      <w:pPr>
        <w:pStyle w:val="3"/>
        <w:shd w:val="clear" w:color="auto" w:fill="FFFFFF"/>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bCs/>
          <w:color w:val="333333"/>
          <w:kern w:val="2"/>
          <w:sz w:val="32"/>
          <w:szCs w:val="32"/>
        </w:rPr>
        <w:t>（一）“三公”经费支出总体情况说明</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2020年度“三公”经费支出共计0.00万元，较年初预算数增加0.00万元，增长0.0%。 较上年支出数减少1.40万 元，下降100%，主要原因是严格执行中央</w:t>
      </w:r>
      <w:r>
        <w:rPr>
          <w:rFonts w:hint="eastAsia" w:ascii="Times New Roman" w:hAnsi="Times New Roman" w:eastAsia="方正仿宋_GBK"/>
          <w:bCs/>
          <w:sz w:val="32"/>
          <w:szCs w:val="32"/>
          <w:lang w:eastAsia="zh-CN"/>
        </w:rPr>
        <w:t>八</w:t>
      </w:r>
      <w:r>
        <w:rPr>
          <w:rFonts w:hint="eastAsia" w:ascii="Times New Roman" w:hAnsi="Times New Roman" w:eastAsia="方正仿宋_GBK"/>
          <w:bCs/>
          <w:sz w:val="32"/>
          <w:szCs w:val="32"/>
        </w:rPr>
        <w:t>项规定，减少接待人次。</w:t>
      </w:r>
    </w:p>
    <w:p>
      <w:pPr>
        <w:pStyle w:val="3"/>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color w:val="333333"/>
          <w:kern w:val="2"/>
          <w:sz w:val="32"/>
          <w:szCs w:val="32"/>
        </w:rPr>
        <w:t>（二）“三公”经费分项支出情况</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2020年度本部门因公出国（境）费用0.00万元。费用支出较年初预算数增加0.00万元，增长0.0%。较上年支出数增加0.00万元，增长0.0%，主要原因是无因公出国（境）人员。</w:t>
      </w:r>
      <w:r>
        <w:rPr>
          <w:rFonts w:hint="eastAsia" w:ascii="Times New Roman" w:hAnsi="Times New Roman" w:eastAsia="方正仿宋_GBK"/>
          <w:sz w:val="32"/>
          <w:szCs w:val="32"/>
        </w:rPr>
        <w:t>本单位2020年度未发生因公出国（境）支出。</w:t>
      </w:r>
    </w:p>
    <w:p>
      <w:pPr>
        <w:pStyle w:val="3"/>
        <w:shd w:val="clear" w:color="auto" w:fill="FFFFFF"/>
      </w:pPr>
      <w:r>
        <w:rPr>
          <w:rFonts w:hint="eastAsia" w:ascii="Times New Roman" w:hAnsi="Times New Roman" w:eastAsia="方正仿宋_GBK"/>
          <w:bCs/>
          <w:sz w:val="32"/>
          <w:szCs w:val="32"/>
        </w:rPr>
        <w:t>公务车购置费0.00万元。费用支出较年初预算数增加0.00万元，增长0.0%。较上年支出数增加0.00万元，增长0.0%，主要原因是无公务车。</w:t>
      </w:r>
      <w:r>
        <w:rPr>
          <w:rFonts w:hint="eastAsia" w:ascii="Times New Roman" w:hAnsi="Times New Roman" w:eastAsia="方正仿宋_GBK"/>
          <w:sz w:val="32"/>
          <w:szCs w:val="32"/>
        </w:rPr>
        <w:t>本单位2020年度未发生公务车购置费支出。</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公务车运行维护费0.00万元，费用支出较年初预算数增加0.00万元，增长0.0%。较上年支出数增加0.00万元，增长0.0%，主要原因是无公务车。</w:t>
      </w:r>
      <w:r>
        <w:rPr>
          <w:rFonts w:hint="eastAsia" w:ascii="Times New Roman" w:hAnsi="Times New Roman" w:eastAsia="方正仿宋_GBK"/>
          <w:sz w:val="32"/>
          <w:szCs w:val="32"/>
        </w:rPr>
        <w:t>本单位2020年度未发生公务车运行维护费支出。</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公务接待费0.00万元。费用支出较年初预算数增加0.00万元，增长0.0%。较上年支出数减少1.40万元，下降100%，主要原因是严格执行中央</w:t>
      </w:r>
      <w:r>
        <w:rPr>
          <w:rFonts w:hint="eastAsia" w:ascii="Times New Roman" w:hAnsi="Times New Roman" w:eastAsia="方正仿宋_GBK"/>
          <w:bCs/>
          <w:sz w:val="32"/>
          <w:szCs w:val="32"/>
          <w:lang w:eastAsia="zh-CN"/>
        </w:rPr>
        <w:t>八</w:t>
      </w:r>
      <w:bookmarkStart w:id="0" w:name="_GoBack"/>
      <w:bookmarkEnd w:id="0"/>
      <w:r>
        <w:rPr>
          <w:rFonts w:hint="eastAsia" w:ascii="Times New Roman" w:hAnsi="Times New Roman" w:eastAsia="方正仿宋_GBK"/>
          <w:bCs/>
          <w:sz w:val="32"/>
          <w:szCs w:val="32"/>
        </w:rPr>
        <w:t>项规定，减少接待人次。</w:t>
      </w:r>
    </w:p>
    <w:p>
      <w:pPr>
        <w:pStyle w:val="3"/>
        <w:shd w:val="clear" w:color="auto" w:fill="FFFFFF"/>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bCs/>
          <w:color w:val="333333"/>
          <w:kern w:val="2"/>
          <w:sz w:val="32"/>
          <w:szCs w:val="32"/>
        </w:rPr>
        <w:t>（三）“三公”经费实物量情况</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3"/>
        <w:shd w:val="clear" w:color="auto" w:fill="FFFFFF"/>
        <w:rPr>
          <w:rFonts w:ascii="Times New Roman" w:hAnsi="Times New Roman" w:eastAsia="方正黑体_GBK" w:cs="Times New Roman"/>
          <w:bCs/>
          <w:kern w:val="2"/>
          <w:sz w:val="32"/>
          <w:szCs w:val="32"/>
        </w:rPr>
      </w:pPr>
      <w:r>
        <w:rPr>
          <w:rFonts w:hint="eastAsia" w:ascii="Times New Roman" w:hAnsi="Times New Roman" w:eastAsia="方正黑体_GBK" w:cs="Times New Roman"/>
          <w:kern w:val="2"/>
          <w:sz w:val="32"/>
          <w:szCs w:val="32"/>
        </w:rPr>
        <w:t>四、其他需要说明的事项</w:t>
      </w:r>
    </w:p>
    <w:p>
      <w:pPr>
        <w:pStyle w:val="3"/>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color w:val="333333"/>
          <w:kern w:val="2"/>
          <w:sz w:val="32"/>
          <w:szCs w:val="32"/>
        </w:rPr>
        <w:t>（一）机关运行经费情况说明</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2020年度本部门机关运行经费支出0.00万元。 机关运行经费较上年决算数增加0.00万元，增长0.0%。</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本年度会议费支出0.94万元，较上年决算数减少2.06万元，下降68.7%，主要原因是会议次数减少。本年度培训费支出 17.86万元，较上年决算数减少20.43万元，下降53.4%，主要原因是因疫情培训教师人数及培训次数减少。</w:t>
      </w:r>
    </w:p>
    <w:p>
      <w:pPr>
        <w:pStyle w:val="3"/>
        <w:shd w:val="clear" w:color="auto" w:fill="FFFFFF"/>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bCs/>
          <w:color w:val="333333"/>
          <w:kern w:val="2"/>
          <w:sz w:val="32"/>
          <w:szCs w:val="32"/>
        </w:rPr>
        <w:t>（二）国有资产占用情况说明</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单价50万元（含）以上通用设备0台（套），单价100万元（含）以上专用设备0台（套）。</w:t>
      </w:r>
    </w:p>
    <w:p>
      <w:pPr>
        <w:pStyle w:val="3"/>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color w:val="333333"/>
          <w:kern w:val="2"/>
          <w:sz w:val="32"/>
          <w:szCs w:val="32"/>
        </w:rPr>
        <w:t>（三）政府采购支出情况说明</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2020年度本部门政府采购支出总额29.96万元，其中：政府采购货物支出29.96万元、政府采购工程支出0.00万元、政府采购服务支出0.00万元。授予中小企业合同金额29.96万元，占政府采购支出总额的100%，其中：授予小微企业合同金额 29.96万元，占政府采购支出总额的100%。主要用于采购云教室。</w:t>
      </w:r>
    </w:p>
    <w:p>
      <w:pPr>
        <w:pStyle w:val="3"/>
        <w:shd w:val="clear" w:color="auto" w:fill="FFFFFF"/>
        <w:rPr>
          <w:rFonts w:ascii="Times New Roman" w:hAnsi="Times New Roman" w:eastAsia="方正黑体_GBK" w:cs="Times New Roman"/>
          <w:kern w:val="2"/>
          <w:sz w:val="32"/>
          <w:szCs w:val="32"/>
        </w:rPr>
      </w:pPr>
      <w:r>
        <w:rPr>
          <w:rFonts w:hint="eastAsia" w:ascii="Times New Roman" w:hAnsi="Times New Roman" w:eastAsia="方正黑体_GBK" w:cs="Times New Roman"/>
          <w:bCs/>
          <w:kern w:val="2"/>
          <w:sz w:val="32"/>
          <w:szCs w:val="32"/>
        </w:rPr>
        <w:t>五、预算绩效管理情况说明</w:t>
      </w:r>
    </w:p>
    <w:p>
      <w:pPr>
        <w:pStyle w:val="3"/>
        <w:shd w:val="clear" w:color="auto" w:fill="FFFFFF"/>
        <w:rPr>
          <w:rFonts w:ascii="Times New Roman" w:hAnsi="Times New Roman" w:eastAsia="方正楷体_GBK" w:cs="Times New Roman"/>
          <w:color w:val="333333"/>
          <w:kern w:val="2"/>
          <w:sz w:val="32"/>
          <w:szCs w:val="32"/>
        </w:rPr>
      </w:pPr>
      <w:r>
        <w:rPr>
          <w:rFonts w:hint="eastAsia" w:ascii="Times New Roman" w:hAnsi="Times New Roman" w:eastAsia="方正楷体_GBK" w:cs="Times New Roman"/>
          <w:bCs/>
          <w:color w:val="333333"/>
          <w:kern w:val="2"/>
          <w:sz w:val="32"/>
          <w:szCs w:val="32"/>
        </w:rPr>
        <w:t>（一）预算绩效管理工作开展情况</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bCs/>
          <w:sz w:val="32"/>
          <w:szCs w:val="32"/>
        </w:rPr>
        <w:t>根据预算绩效管理要求，本部门对10个项目开展了绩效自评，其中，以填报目标自评表形式开展自评10项，涉及资金582.9万元。每个项目均完成绩效目标，自评等级为优。</w:t>
      </w:r>
    </w:p>
    <w:p>
      <w:pPr>
        <w:pStyle w:val="3"/>
        <w:shd w:val="clear" w:color="auto" w:fill="FFFFFF"/>
        <w:rPr>
          <w:rFonts w:ascii="Times New Roman" w:hAnsi="Times New Roman" w:eastAsia="方正楷体_GBK" w:cs="Times New Roman"/>
          <w:bCs/>
          <w:color w:val="333333"/>
          <w:kern w:val="2"/>
          <w:sz w:val="32"/>
          <w:szCs w:val="32"/>
        </w:rPr>
      </w:pPr>
      <w:r>
        <w:rPr>
          <w:rFonts w:hint="eastAsia" w:ascii="Times New Roman" w:hAnsi="Times New Roman" w:eastAsia="方正楷体_GBK" w:cs="Times New Roman"/>
          <w:color w:val="333333"/>
          <w:kern w:val="2"/>
          <w:sz w:val="32"/>
          <w:szCs w:val="32"/>
        </w:rPr>
        <w:t>（二）绩效自评结果</w:t>
      </w:r>
    </w:p>
    <w:tbl>
      <w:tblPr>
        <w:tblStyle w:val="6"/>
        <w:tblW w:w="9980" w:type="dxa"/>
        <w:tblInd w:w="96" w:type="dxa"/>
        <w:tblLayout w:type="fixed"/>
        <w:tblCellMar>
          <w:top w:w="0" w:type="dxa"/>
          <w:left w:w="108" w:type="dxa"/>
          <w:bottom w:w="0" w:type="dxa"/>
          <w:right w:w="108" w:type="dxa"/>
        </w:tblCellMar>
      </w:tblPr>
      <w:tblGrid>
        <w:gridCol w:w="1023"/>
        <w:gridCol w:w="1428"/>
        <w:gridCol w:w="2090"/>
        <w:gridCol w:w="222"/>
        <w:gridCol w:w="222"/>
        <w:gridCol w:w="1189"/>
        <w:gridCol w:w="824"/>
        <w:gridCol w:w="1108"/>
        <w:gridCol w:w="1045"/>
        <w:gridCol w:w="829"/>
      </w:tblGrid>
      <w:tr>
        <w:tblPrEx>
          <w:tblLayout w:type="fixed"/>
          <w:tblCellMar>
            <w:top w:w="0" w:type="dxa"/>
            <w:left w:w="108" w:type="dxa"/>
            <w:bottom w:w="0" w:type="dxa"/>
            <w:right w:w="108" w:type="dxa"/>
          </w:tblCellMar>
        </w:tblPrEx>
        <w:trPr>
          <w:trHeight w:val="408" w:hRule="atLeast"/>
        </w:trPr>
        <w:tc>
          <w:tcPr>
            <w:tcW w:w="9980" w:type="dxa"/>
            <w:gridSpan w:val="10"/>
            <w:tcBorders>
              <w:top w:val="nil"/>
              <w:left w:val="nil"/>
              <w:bottom w:val="nil"/>
              <w:right w:val="nil"/>
            </w:tcBorders>
            <w:shd w:val="clear" w:color="auto" w:fill="auto"/>
            <w:vAlign w:val="center"/>
          </w:tcPr>
          <w:p>
            <w:pPr>
              <w:jc w:val="center"/>
              <w:rPr>
                <w:bCs/>
                <w:color w:val="000000"/>
                <w:sz w:val="32"/>
                <w:szCs w:val="32"/>
              </w:rPr>
            </w:pPr>
            <w:r>
              <w:rPr>
                <w:rFonts w:hint="eastAsia" w:ascii="方正小标宋_GBK" w:hAnsi="方正小标宋_GBK" w:eastAsia="方正小标宋_GBK" w:cs="方正小标宋_GBK"/>
                <w:bCs/>
                <w:color w:val="000000"/>
                <w:sz w:val="32"/>
                <w:szCs w:val="32"/>
              </w:rPr>
              <w:t>2020年度部门（单位）项目支出绩效自评表</w:t>
            </w:r>
          </w:p>
        </w:tc>
      </w:tr>
      <w:tr>
        <w:tblPrEx>
          <w:tblLayout w:type="fixed"/>
          <w:tblCellMar>
            <w:top w:w="0" w:type="dxa"/>
            <w:left w:w="108" w:type="dxa"/>
            <w:bottom w:w="0" w:type="dxa"/>
            <w:right w:w="108" w:type="dxa"/>
          </w:tblCellMar>
        </w:tblPrEx>
        <w:trPr>
          <w:trHeight w:val="408" w:hRule="atLeast"/>
        </w:trPr>
        <w:tc>
          <w:tcPr>
            <w:tcW w:w="6174" w:type="dxa"/>
            <w:gridSpan w:val="6"/>
            <w:tcBorders>
              <w:top w:val="nil"/>
              <w:left w:val="nil"/>
              <w:bottom w:val="single" w:color="auto" w:sz="4" w:space="0"/>
              <w:right w:val="nil"/>
            </w:tcBorders>
            <w:shd w:val="clear" w:color="auto" w:fill="auto"/>
            <w:vAlign w:val="center"/>
          </w:tcPr>
          <w:p>
            <w:pPr>
              <w:rPr>
                <w:bCs/>
                <w:color w:val="000000"/>
                <w:sz w:val="20"/>
                <w:szCs w:val="20"/>
              </w:rPr>
            </w:pPr>
            <w:r>
              <w:rPr>
                <w:rFonts w:hint="eastAsia"/>
                <w:bCs/>
                <w:color w:val="000000"/>
                <w:sz w:val="20"/>
                <w:szCs w:val="20"/>
              </w:rPr>
              <w:t>填表单位（盖章）：重庆市綦江区三江中学</w:t>
            </w:r>
          </w:p>
        </w:tc>
        <w:tc>
          <w:tcPr>
            <w:tcW w:w="824" w:type="dxa"/>
            <w:tcBorders>
              <w:top w:val="nil"/>
              <w:left w:val="nil"/>
              <w:bottom w:val="nil"/>
              <w:right w:val="nil"/>
            </w:tcBorders>
            <w:shd w:val="clear" w:color="auto" w:fill="auto"/>
            <w:vAlign w:val="center"/>
          </w:tcPr>
          <w:p>
            <w:pPr>
              <w:jc w:val="center"/>
              <w:rPr>
                <w:bCs/>
                <w:color w:val="000000"/>
                <w:sz w:val="32"/>
                <w:szCs w:val="32"/>
              </w:rPr>
            </w:pPr>
          </w:p>
        </w:tc>
        <w:tc>
          <w:tcPr>
            <w:tcW w:w="1108" w:type="dxa"/>
            <w:tcBorders>
              <w:top w:val="nil"/>
              <w:left w:val="nil"/>
              <w:bottom w:val="nil"/>
              <w:right w:val="nil"/>
            </w:tcBorders>
            <w:shd w:val="clear" w:color="auto" w:fill="auto"/>
            <w:vAlign w:val="center"/>
          </w:tcPr>
          <w:p>
            <w:pPr>
              <w:jc w:val="center"/>
              <w:rPr>
                <w:bCs/>
                <w:color w:val="000000"/>
                <w:sz w:val="32"/>
                <w:szCs w:val="32"/>
              </w:rPr>
            </w:pPr>
          </w:p>
        </w:tc>
        <w:tc>
          <w:tcPr>
            <w:tcW w:w="1045" w:type="dxa"/>
            <w:tcBorders>
              <w:top w:val="nil"/>
              <w:left w:val="nil"/>
              <w:bottom w:val="nil"/>
              <w:right w:val="nil"/>
            </w:tcBorders>
            <w:shd w:val="clear" w:color="auto" w:fill="auto"/>
            <w:vAlign w:val="center"/>
          </w:tcPr>
          <w:p>
            <w:pPr>
              <w:jc w:val="center"/>
              <w:rPr>
                <w:bCs/>
                <w:color w:val="000000"/>
                <w:sz w:val="32"/>
                <w:szCs w:val="32"/>
              </w:rPr>
            </w:pPr>
          </w:p>
        </w:tc>
        <w:tc>
          <w:tcPr>
            <w:tcW w:w="829" w:type="dxa"/>
            <w:tcBorders>
              <w:top w:val="nil"/>
              <w:left w:val="nil"/>
              <w:bottom w:val="nil"/>
              <w:right w:val="nil"/>
            </w:tcBorders>
            <w:shd w:val="clear" w:color="auto" w:fill="auto"/>
            <w:vAlign w:val="center"/>
          </w:tcPr>
          <w:p>
            <w:pPr>
              <w:jc w:val="center"/>
              <w:rPr>
                <w:bCs/>
                <w:color w:val="000000"/>
                <w:sz w:val="32"/>
                <w:szCs w:val="32"/>
              </w:rPr>
            </w:pPr>
          </w:p>
        </w:tc>
      </w:tr>
      <w:tr>
        <w:tblPrEx>
          <w:tblLayout w:type="fixed"/>
          <w:tblCellMar>
            <w:top w:w="0" w:type="dxa"/>
            <w:left w:w="108" w:type="dxa"/>
            <w:bottom w:w="0" w:type="dxa"/>
            <w:right w:w="108" w:type="dxa"/>
          </w:tblCellMar>
        </w:tblPrEx>
        <w:trPr>
          <w:trHeight w:val="421" w:hRule="atLeast"/>
        </w:trPr>
        <w:tc>
          <w:tcPr>
            <w:tcW w:w="1023"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项目名称</w:t>
            </w:r>
          </w:p>
        </w:tc>
        <w:tc>
          <w:tcPr>
            <w:tcW w:w="3962"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爱心午餐生活费</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自评总分</w:t>
            </w:r>
            <w:r>
              <w:rPr>
                <w:rFonts w:hint="eastAsia"/>
                <w:color w:val="000000"/>
                <w:sz w:val="20"/>
                <w:szCs w:val="20"/>
              </w:rPr>
              <w:br w:type="textWrapping"/>
            </w:r>
            <w:r>
              <w:rPr>
                <w:rFonts w:hint="eastAsia"/>
                <w:color w:val="000000"/>
                <w:sz w:val="20"/>
                <w:szCs w:val="20"/>
              </w:rPr>
              <w:t>（分)</w:t>
            </w:r>
          </w:p>
        </w:tc>
        <w:tc>
          <w:tcPr>
            <w:tcW w:w="3806"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r>
      <w:tr>
        <w:tblPrEx>
          <w:tblLayout w:type="fixed"/>
          <w:tblCellMar>
            <w:top w:w="0" w:type="dxa"/>
            <w:left w:w="108" w:type="dxa"/>
            <w:bottom w:w="0" w:type="dxa"/>
            <w:right w:w="108" w:type="dxa"/>
          </w:tblCellMar>
        </w:tblPrEx>
        <w:trPr>
          <w:trHeight w:val="480" w:hRule="atLeast"/>
        </w:trPr>
        <w:tc>
          <w:tcPr>
            <w:tcW w:w="1023"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业务主管部门</w:t>
            </w:r>
          </w:p>
        </w:tc>
        <w:tc>
          <w:tcPr>
            <w:tcW w:w="3962"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重庆市綦江区教育委员会</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联系人</w:t>
            </w:r>
            <w:r>
              <w:rPr>
                <w:rFonts w:hint="eastAsia"/>
                <w:color w:val="000000"/>
                <w:sz w:val="20"/>
                <w:szCs w:val="20"/>
              </w:rPr>
              <w:br w:type="textWrapping"/>
            </w:r>
            <w:r>
              <w:rPr>
                <w:rFonts w:hint="eastAsia"/>
                <w:color w:val="000000"/>
                <w:sz w:val="20"/>
                <w:szCs w:val="20"/>
              </w:rPr>
              <w:t>及电话</w:t>
            </w:r>
          </w:p>
        </w:tc>
        <w:tc>
          <w:tcPr>
            <w:tcW w:w="3806"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48207396</w:t>
            </w:r>
          </w:p>
        </w:tc>
      </w:tr>
      <w:tr>
        <w:tblPrEx>
          <w:tblLayout w:type="fixed"/>
          <w:tblCellMar>
            <w:top w:w="0" w:type="dxa"/>
            <w:left w:w="108" w:type="dxa"/>
            <w:bottom w:w="0" w:type="dxa"/>
            <w:right w:w="108" w:type="dxa"/>
          </w:tblCellMar>
        </w:tblPrEx>
        <w:trPr>
          <w:trHeight w:val="480" w:hRule="atLeast"/>
        </w:trPr>
        <w:tc>
          <w:tcPr>
            <w:tcW w:w="1023"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项目资金（万元）</w:t>
            </w:r>
          </w:p>
        </w:tc>
        <w:tc>
          <w:tcPr>
            <w:tcW w:w="1428" w:type="dxa"/>
            <w:tcBorders>
              <w:top w:val="nil"/>
              <w:left w:val="nil"/>
              <w:bottom w:val="single" w:color="auto" w:sz="4" w:space="0"/>
              <w:right w:val="nil"/>
            </w:tcBorders>
            <w:shd w:val="clear" w:color="auto" w:fill="auto"/>
            <w:vAlign w:val="center"/>
          </w:tcPr>
          <w:p>
            <w:pPr>
              <w:rPr>
                <w:color w:val="000000"/>
                <w:sz w:val="20"/>
                <w:szCs w:val="20"/>
              </w:rPr>
            </w:pPr>
            <w:r>
              <w:rPr>
                <w:rFonts w:hint="eastAsia"/>
                <w:color w:val="000000"/>
                <w:sz w:val="20"/>
                <w:szCs w:val="20"/>
              </w:rPr>
              <w:t>　</w:t>
            </w:r>
          </w:p>
        </w:tc>
        <w:tc>
          <w:tcPr>
            <w:tcW w:w="253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全年预算数（A）</w:t>
            </w:r>
          </w:p>
        </w:tc>
        <w:tc>
          <w:tcPr>
            <w:tcW w:w="2013"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全年执行数（B）</w:t>
            </w:r>
          </w:p>
        </w:tc>
        <w:tc>
          <w:tcPr>
            <w:tcW w:w="110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执行率%（B/A）</w:t>
            </w:r>
          </w:p>
        </w:tc>
        <w:tc>
          <w:tcPr>
            <w:tcW w:w="1874"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执行率得分（分）</w:t>
            </w:r>
          </w:p>
        </w:tc>
      </w:tr>
      <w:tr>
        <w:tblPrEx>
          <w:tblLayout w:type="fixed"/>
          <w:tblCellMar>
            <w:top w:w="0" w:type="dxa"/>
            <w:left w:w="108" w:type="dxa"/>
            <w:bottom w:w="0" w:type="dxa"/>
            <w:right w:w="108" w:type="dxa"/>
          </w:tblCellMar>
        </w:tblPrEx>
        <w:trPr>
          <w:trHeight w:val="480" w:hRule="atLeast"/>
        </w:trPr>
        <w:tc>
          <w:tcPr>
            <w:tcW w:w="1023"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28" w:type="dxa"/>
            <w:tcBorders>
              <w:top w:val="nil"/>
              <w:left w:val="nil"/>
              <w:bottom w:val="single" w:color="auto" w:sz="4" w:space="0"/>
              <w:right w:val="single" w:color="auto" w:sz="4" w:space="0"/>
            </w:tcBorders>
            <w:shd w:val="clear" w:color="auto" w:fill="auto"/>
            <w:vAlign w:val="center"/>
          </w:tcPr>
          <w:p>
            <w:pPr>
              <w:rPr>
                <w:color w:val="000000"/>
                <w:sz w:val="20"/>
                <w:szCs w:val="20"/>
              </w:rPr>
            </w:pPr>
            <w:r>
              <w:rPr>
                <w:rFonts w:hint="eastAsia"/>
                <w:color w:val="000000"/>
                <w:sz w:val="20"/>
                <w:szCs w:val="20"/>
              </w:rPr>
              <w:t>年度资金总额：</w:t>
            </w:r>
          </w:p>
        </w:tc>
        <w:tc>
          <w:tcPr>
            <w:tcW w:w="2534" w:type="dxa"/>
            <w:gridSpan w:val="3"/>
            <w:tcBorders>
              <w:top w:val="single" w:color="auto" w:sz="4" w:space="0"/>
              <w:left w:val="nil"/>
              <w:bottom w:val="single" w:color="auto"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5.09</w:t>
            </w:r>
          </w:p>
        </w:tc>
        <w:tc>
          <w:tcPr>
            <w:tcW w:w="2013"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5.09</w:t>
            </w:r>
          </w:p>
        </w:tc>
        <w:tc>
          <w:tcPr>
            <w:tcW w:w="110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874"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10 </w:t>
            </w:r>
          </w:p>
        </w:tc>
      </w:tr>
      <w:tr>
        <w:tblPrEx>
          <w:tblLayout w:type="fixed"/>
          <w:tblCellMar>
            <w:top w:w="0" w:type="dxa"/>
            <w:left w:w="108" w:type="dxa"/>
            <w:bottom w:w="0" w:type="dxa"/>
            <w:right w:w="108" w:type="dxa"/>
          </w:tblCellMar>
        </w:tblPrEx>
        <w:trPr>
          <w:trHeight w:val="480" w:hRule="atLeast"/>
        </w:trPr>
        <w:tc>
          <w:tcPr>
            <w:tcW w:w="1023"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其中：中央补助</w:t>
            </w:r>
          </w:p>
        </w:tc>
        <w:tc>
          <w:tcPr>
            <w:tcW w:w="2534" w:type="dxa"/>
            <w:gridSpan w:val="3"/>
            <w:tcBorders>
              <w:top w:val="single" w:color="auto" w:sz="4" w:space="0"/>
              <w:left w:val="nil"/>
              <w:bottom w:val="single" w:color="auto"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　</w:t>
            </w:r>
          </w:p>
        </w:tc>
        <w:tc>
          <w:tcPr>
            <w:tcW w:w="2013"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874"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Layout w:type="fixed"/>
          <w:tblCellMar>
            <w:top w:w="0" w:type="dxa"/>
            <w:left w:w="108" w:type="dxa"/>
            <w:bottom w:w="0" w:type="dxa"/>
            <w:right w:w="108" w:type="dxa"/>
          </w:tblCellMar>
        </w:tblPrEx>
        <w:trPr>
          <w:trHeight w:val="480" w:hRule="atLeast"/>
        </w:trPr>
        <w:tc>
          <w:tcPr>
            <w:tcW w:w="1023"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市级补助</w:t>
            </w:r>
          </w:p>
        </w:tc>
        <w:tc>
          <w:tcPr>
            <w:tcW w:w="2534" w:type="dxa"/>
            <w:gridSpan w:val="3"/>
            <w:tcBorders>
              <w:top w:val="single" w:color="auto" w:sz="4" w:space="0"/>
              <w:left w:val="nil"/>
              <w:bottom w:val="single" w:color="auto"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　</w:t>
            </w:r>
          </w:p>
        </w:tc>
        <w:tc>
          <w:tcPr>
            <w:tcW w:w="2013"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874"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Layout w:type="fixed"/>
          <w:tblCellMar>
            <w:top w:w="0" w:type="dxa"/>
            <w:left w:w="108" w:type="dxa"/>
            <w:bottom w:w="0" w:type="dxa"/>
            <w:right w:w="108" w:type="dxa"/>
          </w:tblCellMar>
        </w:tblPrEx>
        <w:trPr>
          <w:trHeight w:val="480" w:hRule="atLeast"/>
        </w:trPr>
        <w:tc>
          <w:tcPr>
            <w:tcW w:w="1023"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区级资金</w:t>
            </w:r>
          </w:p>
        </w:tc>
        <w:tc>
          <w:tcPr>
            <w:tcW w:w="2534" w:type="dxa"/>
            <w:gridSpan w:val="3"/>
            <w:tcBorders>
              <w:top w:val="single" w:color="auto" w:sz="4" w:space="0"/>
              <w:left w:val="nil"/>
              <w:bottom w:val="single" w:color="auto"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5.09</w:t>
            </w:r>
          </w:p>
        </w:tc>
        <w:tc>
          <w:tcPr>
            <w:tcW w:w="2013"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5.09</w:t>
            </w:r>
          </w:p>
        </w:tc>
        <w:tc>
          <w:tcPr>
            <w:tcW w:w="110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100</w:t>
            </w:r>
          </w:p>
        </w:tc>
        <w:tc>
          <w:tcPr>
            <w:tcW w:w="1874"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Layout w:type="fixed"/>
          <w:tblCellMar>
            <w:top w:w="0" w:type="dxa"/>
            <w:left w:w="108" w:type="dxa"/>
            <w:bottom w:w="0" w:type="dxa"/>
            <w:right w:w="108" w:type="dxa"/>
          </w:tblCellMar>
        </w:tblPrEx>
        <w:trPr>
          <w:trHeight w:val="480" w:hRule="atLeast"/>
        </w:trPr>
        <w:tc>
          <w:tcPr>
            <w:tcW w:w="1023" w:type="dxa"/>
            <w:vMerge w:val="continue"/>
            <w:tcBorders>
              <w:top w:val="nil"/>
              <w:left w:val="single" w:color="auto" w:sz="4" w:space="0"/>
              <w:bottom w:val="single" w:color="000000" w:sz="4" w:space="0"/>
              <w:right w:val="single" w:color="auto" w:sz="4" w:space="0"/>
            </w:tcBorders>
            <w:vAlign w:val="center"/>
          </w:tcPr>
          <w:p>
            <w:pPr>
              <w:rPr>
                <w:color w:val="000000"/>
                <w:sz w:val="20"/>
                <w:szCs w:val="20"/>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xml:space="preserve">     其他资金</w:t>
            </w:r>
          </w:p>
        </w:tc>
        <w:tc>
          <w:tcPr>
            <w:tcW w:w="2534" w:type="dxa"/>
            <w:gridSpan w:val="3"/>
            <w:tcBorders>
              <w:top w:val="single" w:color="auto" w:sz="4" w:space="0"/>
              <w:left w:val="nil"/>
              <w:bottom w:val="single" w:color="auto" w:sz="4" w:space="0"/>
              <w:right w:val="single" w:color="000000" w:sz="4" w:space="0"/>
            </w:tcBorders>
            <w:shd w:val="clear" w:color="auto" w:fill="auto"/>
            <w:vAlign w:val="center"/>
          </w:tcPr>
          <w:p>
            <w:pPr>
              <w:jc w:val="center"/>
              <w:rPr>
                <w:color w:val="000000"/>
                <w:sz w:val="20"/>
                <w:szCs w:val="20"/>
              </w:rPr>
            </w:pPr>
            <w:r>
              <w:rPr>
                <w:rFonts w:hint="eastAsia"/>
                <w:color w:val="000000"/>
                <w:sz w:val="20"/>
                <w:szCs w:val="20"/>
              </w:rPr>
              <w:t>　</w:t>
            </w:r>
          </w:p>
        </w:tc>
        <w:tc>
          <w:tcPr>
            <w:tcW w:w="2013"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108" w:type="dxa"/>
            <w:tcBorders>
              <w:top w:val="nil"/>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c>
          <w:tcPr>
            <w:tcW w:w="1874"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w:t>
            </w:r>
          </w:p>
        </w:tc>
      </w:tr>
      <w:tr>
        <w:tblPrEx>
          <w:tblLayout w:type="fixed"/>
          <w:tblCellMar>
            <w:top w:w="0" w:type="dxa"/>
            <w:left w:w="108" w:type="dxa"/>
            <w:bottom w:w="0" w:type="dxa"/>
            <w:right w:w="108" w:type="dxa"/>
          </w:tblCellMar>
        </w:tblPrEx>
        <w:trPr>
          <w:trHeight w:val="312" w:hRule="atLeast"/>
        </w:trPr>
        <w:tc>
          <w:tcPr>
            <w:tcW w:w="1023" w:type="dxa"/>
            <w:vMerge w:val="restart"/>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年度总体目标</w:t>
            </w:r>
          </w:p>
        </w:tc>
        <w:tc>
          <w:tcPr>
            <w:tcW w:w="3962" w:type="dxa"/>
            <w:gridSpan w:val="4"/>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年初设定目标</w:t>
            </w:r>
          </w:p>
        </w:tc>
        <w:tc>
          <w:tcPr>
            <w:tcW w:w="4995" w:type="dxa"/>
            <w:gridSpan w:val="5"/>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全年目标实际完成情况</w:t>
            </w:r>
          </w:p>
        </w:tc>
      </w:tr>
      <w:tr>
        <w:tblPrEx>
          <w:tblLayout w:type="fixed"/>
          <w:tblCellMar>
            <w:top w:w="0" w:type="dxa"/>
            <w:left w:w="108" w:type="dxa"/>
            <w:bottom w:w="0" w:type="dxa"/>
            <w:right w:w="108" w:type="dxa"/>
          </w:tblCellMar>
        </w:tblPrEx>
        <w:trPr>
          <w:trHeight w:val="1676" w:hRule="atLeast"/>
        </w:trPr>
        <w:tc>
          <w:tcPr>
            <w:tcW w:w="1023" w:type="dxa"/>
            <w:vMerge w:val="continue"/>
            <w:tcBorders>
              <w:top w:val="nil"/>
              <w:left w:val="single" w:color="auto" w:sz="4" w:space="0"/>
              <w:bottom w:val="single" w:color="auto" w:sz="4" w:space="0"/>
              <w:right w:val="single" w:color="auto" w:sz="4" w:space="0"/>
            </w:tcBorders>
            <w:vAlign w:val="center"/>
          </w:tcPr>
          <w:p>
            <w:pPr>
              <w:rPr>
                <w:color w:val="000000"/>
                <w:sz w:val="20"/>
                <w:szCs w:val="20"/>
              </w:rPr>
            </w:pPr>
          </w:p>
        </w:tc>
        <w:tc>
          <w:tcPr>
            <w:tcW w:w="3962" w:type="dxa"/>
            <w:gridSpan w:val="4"/>
            <w:tcBorders>
              <w:top w:val="single" w:color="auto" w:sz="4" w:space="0"/>
              <w:left w:val="nil"/>
              <w:bottom w:val="single" w:color="auto" w:sz="4" w:space="0"/>
              <w:right w:val="single" w:color="auto" w:sz="4" w:space="0"/>
            </w:tcBorders>
            <w:shd w:val="clear" w:color="auto" w:fill="auto"/>
            <w:vAlign w:val="center"/>
          </w:tcPr>
          <w:p>
            <w:pPr>
              <w:rPr>
                <w:color w:val="000000"/>
                <w:sz w:val="16"/>
                <w:szCs w:val="16"/>
              </w:rPr>
            </w:pPr>
            <w:r>
              <w:rPr>
                <w:rFonts w:hint="eastAsia"/>
                <w:color w:val="000000"/>
                <w:sz w:val="16"/>
                <w:szCs w:val="16"/>
              </w:rPr>
              <w:t>2020春享受营养资金共88人，其中非寄建卡15人，每天7元/顿，共计5047元；寄宿生中“六类生”营养午餐12人，每人4元/顿，共计2520元；爱心午餐61人，每人4元/顿，共计12164元。2020秋享受营养资金共99人，其中非寄建卡17人，每天7元/顿，共计11662元；其中营养改善计划人数82人，寄宿生中“六类生”营养午餐14人，爱心午餐68人，每人4元/顿，共计32144元。</w:t>
            </w:r>
          </w:p>
        </w:tc>
        <w:tc>
          <w:tcPr>
            <w:tcW w:w="4995" w:type="dxa"/>
            <w:gridSpan w:val="5"/>
            <w:tcBorders>
              <w:top w:val="single" w:color="auto" w:sz="4" w:space="0"/>
              <w:left w:val="nil"/>
              <w:bottom w:val="single" w:color="auto" w:sz="4" w:space="0"/>
              <w:right w:val="single" w:color="auto" w:sz="4" w:space="0"/>
            </w:tcBorders>
            <w:shd w:val="clear" w:color="auto" w:fill="auto"/>
            <w:vAlign w:val="center"/>
          </w:tcPr>
          <w:p>
            <w:pPr>
              <w:rPr>
                <w:color w:val="000000"/>
                <w:sz w:val="16"/>
                <w:szCs w:val="16"/>
              </w:rPr>
            </w:pPr>
            <w:r>
              <w:rPr>
                <w:rFonts w:hint="eastAsia"/>
                <w:color w:val="000000"/>
                <w:sz w:val="16"/>
                <w:szCs w:val="16"/>
              </w:rPr>
              <w:t>2020春享受营养资金共88人，其中非寄建卡15人，每天7元/顿，共计5047元；寄宿生中“六类生”营养午餐12人，每人4元/顿，共计2520元；爱心午餐61人，每人4元/顿，共计12164元。2020秋享受营养资金共99人，其中非寄建卡17人，每天7元/顿，共计11662元；其中营养改善计划人数82人，寄宿生中“六类生”营养午餐14人，爱心午餐68人，每人4元/顿，共计32144元。</w:t>
            </w:r>
          </w:p>
        </w:tc>
      </w:tr>
      <w:tr>
        <w:tblPrEx>
          <w:tblLayout w:type="fixed"/>
          <w:tblCellMar>
            <w:top w:w="0" w:type="dxa"/>
            <w:left w:w="108" w:type="dxa"/>
            <w:bottom w:w="0" w:type="dxa"/>
            <w:right w:w="108" w:type="dxa"/>
          </w:tblCellMar>
        </w:tblPrEx>
        <w:trPr>
          <w:trHeight w:val="720" w:hRule="atLeast"/>
        </w:trPr>
        <w:tc>
          <w:tcPr>
            <w:tcW w:w="1023"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jc w:val="center"/>
              <w:rPr>
                <w:color w:val="000000"/>
                <w:sz w:val="18"/>
                <w:szCs w:val="18"/>
              </w:rPr>
            </w:pPr>
            <w:r>
              <w:rPr>
                <w:rFonts w:hint="eastAsia"/>
                <w:color w:val="000000"/>
                <w:sz w:val="18"/>
                <w:szCs w:val="18"/>
              </w:rPr>
              <w:t>绩效指标</w:t>
            </w: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指标名称</w:t>
            </w:r>
            <w:r>
              <w:rPr>
                <w:rFonts w:hint="eastAsia"/>
                <w:color w:val="000000"/>
                <w:sz w:val="18"/>
                <w:szCs w:val="18"/>
              </w:rPr>
              <w:br w:type="textWrapping"/>
            </w:r>
            <w:r>
              <w:rPr>
                <w:rFonts w:hint="eastAsia"/>
                <w:color w:val="000000"/>
                <w:sz w:val="18"/>
                <w:szCs w:val="18"/>
              </w:rPr>
              <w:t>（三级指标）</w:t>
            </w:r>
          </w:p>
        </w:tc>
        <w:tc>
          <w:tcPr>
            <w:tcW w:w="2090"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计量单位</w:t>
            </w:r>
          </w:p>
        </w:tc>
        <w:tc>
          <w:tcPr>
            <w:tcW w:w="444"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指标权重</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指标值</w:t>
            </w:r>
          </w:p>
        </w:tc>
        <w:tc>
          <w:tcPr>
            <w:tcW w:w="1932"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全年完成值</w:t>
            </w:r>
          </w:p>
        </w:tc>
        <w:tc>
          <w:tcPr>
            <w:tcW w:w="104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得分系数（%）</w:t>
            </w:r>
          </w:p>
        </w:tc>
        <w:tc>
          <w:tcPr>
            <w:tcW w:w="82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指标得分</w:t>
            </w:r>
            <w:r>
              <w:rPr>
                <w:rFonts w:hint="eastAsia"/>
                <w:color w:val="000000"/>
                <w:sz w:val="18"/>
                <w:szCs w:val="18"/>
              </w:rPr>
              <w:br w:type="textWrapping"/>
            </w:r>
            <w:r>
              <w:rPr>
                <w:rFonts w:hint="eastAsia"/>
                <w:color w:val="000000"/>
                <w:sz w:val="18"/>
                <w:szCs w:val="18"/>
              </w:rPr>
              <w:t>（分)</w:t>
            </w:r>
          </w:p>
        </w:tc>
      </w:tr>
      <w:tr>
        <w:tblPrEx>
          <w:tblLayout w:type="fixed"/>
          <w:tblCellMar>
            <w:top w:w="0" w:type="dxa"/>
            <w:left w:w="108" w:type="dxa"/>
            <w:bottom w:w="0" w:type="dxa"/>
            <w:right w:w="108" w:type="dxa"/>
          </w:tblCellMar>
        </w:tblPrEx>
        <w:trPr>
          <w:trHeight w:val="480" w:hRule="atLeast"/>
        </w:trPr>
        <w:tc>
          <w:tcPr>
            <w:tcW w:w="1023" w:type="dxa"/>
            <w:vMerge w:val="continue"/>
            <w:tcBorders>
              <w:top w:val="nil"/>
              <w:left w:val="single" w:color="auto" w:sz="4" w:space="0"/>
              <w:bottom w:val="single" w:color="auto" w:sz="4" w:space="0"/>
              <w:right w:val="single" w:color="auto" w:sz="4" w:space="0"/>
            </w:tcBorders>
            <w:vAlign w:val="center"/>
          </w:tcPr>
          <w:p>
            <w:pPr>
              <w:rPr>
                <w:color w:val="000000"/>
                <w:sz w:val="18"/>
                <w:szCs w:val="18"/>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营养午餐享受人数</w:t>
            </w:r>
          </w:p>
        </w:tc>
        <w:tc>
          <w:tcPr>
            <w:tcW w:w="2090"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人</w:t>
            </w:r>
          </w:p>
        </w:tc>
        <w:tc>
          <w:tcPr>
            <w:tcW w:w="444"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20</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110</w:t>
            </w:r>
          </w:p>
        </w:tc>
        <w:tc>
          <w:tcPr>
            <w:tcW w:w="1932"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110</w:t>
            </w:r>
          </w:p>
        </w:tc>
        <w:tc>
          <w:tcPr>
            <w:tcW w:w="104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82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20</w:t>
            </w:r>
          </w:p>
        </w:tc>
      </w:tr>
      <w:tr>
        <w:tblPrEx>
          <w:tblLayout w:type="fixed"/>
          <w:tblCellMar>
            <w:top w:w="0" w:type="dxa"/>
            <w:left w:w="108" w:type="dxa"/>
            <w:bottom w:w="0" w:type="dxa"/>
            <w:right w:w="108" w:type="dxa"/>
          </w:tblCellMar>
        </w:tblPrEx>
        <w:trPr>
          <w:trHeight w:val="545" w:hRule="atLeast"/>
        </w:trPr>
        <w:tc>
          <w:tcPr>
            <w:tcW w:w="1023" w:type="dxa"/>
            <w:vMerge w:val="continue"/>
            <w:tcBorders>
              <w:top w:val="nil"/>
              <w:left w:val="single" w:color="auto" w:sz="4" w:space="0"/>
              <w:bottom w:val="single" w:color="auto" w:sz="4" w:space="0"/>
              <w:right w:val="single" w:color="auto" w:sz="4" w:space="0"/>
            </w:tcBorders>
            <w:vAlign w:val="center"/>
          </w:tcPr>
          <w:p>
            <w:pPr>
              <w:rPr>
                <w:color w:val="000000"/>
                <w:sz w:val="18"/>
                <w:szCs w:val="18"/>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应享受营养午餐覆盖率</w:t>
            </w:r>
          </w:p>
        </w:tc>
        <w:tc>
          <w:tcPr>
            <w:tcW w:w="2090"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w:t>
            </w:r>
          </w:p>
        </w:tc>
        <w:tc>
          <w:tcPr>
            <w:tcW w:w="444"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20</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1932"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104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82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20</w:t>
            </w:r>
          </w:p>
        </w:tc>
      </w:tr>
      <w:tr>
        <w:tblPrEx>
          <w:tblLayout w:type="fixed"/>
          <w:tblCellMar>
            <w:top w:w="0" w:type="dxa"/>
            <w:left w:w="108" w:type="dxa"/>
            <w:bottom w:w="0" w:type="dxa"/>
            <w:right w:w="108" w:type="dxa"/>
          </w:tblCellMar>
        </w:tblPrEx>
        <w:trPr>
          <w:trHeight w:val="480" w:hRule="atLeast"/>
        </w:trPr>
        <w:tc>
          <w:tcPr>
            <w:tcW w:w="1023" w:type="dxa"/>
            <w:vMerge w:val="continue"/>
            <w:tcBorders>
              <w:top w:val="nil"/>
              <w:left w:val="single" w:color="auto" w:sz="4" w:space="0"/>
              <w:bottom w:val="single" w:color="auto" w:sz="4" w:space="0"/>
              <w:right w:val="single" w:color="auto" w:sz="4" w:space="0"/>
            </w:tcBorders>
            <w:vAlign w:val="center"/>
          </w:tcPr>
          <w:p>
            <w:pPr>
              <w:rPr>
                <w:color w:val="000000"/>
                <w:sz w:val="18"/>
                <w:szCs w:val="18"/>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营养午餐标准</w:t>
            </w:r>
          </w:p>
        </w:tc>
        <w:tc>
          <w:tcPr>
            <w:tcW w:w="2090"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元/天</w:t>
            </w:r>
          </w:p>
        </w:tc>
        <w:tc>
          <w:tcPr>
            <w:tcW w:w="444"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10</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7或4</w:t>
            </w:r>
          </w:p>
        </w:tc>
        <w:tc>
          <w:tcPr>
            <w:tcW w:w="1932" w:type="dxa"/>
            <w:gridSpan w:val="2"/>
            <w:tcBorders>
              <w:top w:val="single" w:color="auto" w:sz="4" w:space="0"/>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7或4</w:t>
            </w:r>
          </w:p>
        </w:tc>
        <w:tc>
          <w:tcPr>
            <w:tcW w:w="104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82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w:t>
            </w:r>
          </w:p>
        </w:tc>
      </w:tr>
      <w:tr>
        <w:tblPrEx>
          <w:tblLayout w:type="fixed"/>
          <w:tblCellMar>
            <w:top w:w="0" w:type="dxa"/>
            <w:left w:w="108" w:type="dxa"/>
            <w:bottom w:w="0" w:type="dxa"/>
            <w:right w:w="108" w:type="dxa"/>
          </w:tblCellMar>
        </w:tblPrEx>
        <w:trPr>
          <w:trHeight w:val="590" w:hRule="atLeast"/>
        </w:trPr>
        <w:tc>
          <w:tcPr>
            <w:tcW w:w="1023" w:type="dxa"/>
            <w:vMerge w:val="continue"/>
            <w:tcBorders>
              <w:top w:val="nil"/>
              <w:left w:val="single" w:color="auto" w:sz="4" w:space="0"/>
              <w:bottom w:val="single" w:color="auto" w:sz="4" w:space="0"/>
              <w:right w:val="single" w:color="auto" w:sz="4" w:space="0"/>
            </w:tcBorders>
            <w:vAlign w:val="center"/>
          </w:tcPr>
          <w:p>
            <w:pPr>
              <w:rPr>
                <w:color w:val="000000"/>
                <w:sz w:val="18"/>
                <w:szCs w:val="18"/>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营养不良检出率比上年降低</w:t>
            </w:r>
          </w:p>
        </w:tc>
        <w:tc>
          <w:tcPr>
            <w:tcW w:w="2090"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百分点</w:t>
            </w:r>
          </w:p>
        </w:tc>
        <w:tc>
          <w:tcPr>
            <w:tcW w:w="444"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30</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w:t>
            </w:r>
          </w:p>
        </w:tc>
        <w:tc>
          <w:tcPr>
            <w:tcW w:w="1932"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1.46</w:t>
            </w:r>
          </w:p>
        </w:tc>
        <w:tc>
          <w:tcPr>
            <w:tcW w:w="104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82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30</w:t>
            </w:r>
          </w:p>
        </w:tc>
      </w:tr>
      <w:tr>
        <w:tblPrEx>
          <w:tblLayout w:type="fixed"/>
          <w:tblCellMar>
            <w:top w:w="0" w:type="dxa"/>
            <w:left w:w="108" w:type="dxa"/>
            <w:bottom w:w="0" w:type="dxa"/>
            <w:right w:w="108" w:type="dxa"/>
          </w:tblCellMar>
        </w:tblPrEx>
        <w:trPr>
          <w:trHeight w:val="430" w:hRule="atLeast"/>
        </w:trPr>
        <w:tc>
          <w:tcPr>
            <w:tcW w:w="1023" w:type="dxa"/>
            <w:vMerge w:val="continue"/>
            <w:tcBorders>
              <w:top w:val="nil"/>
              <w:left w:val="single" w:color="auto" w:sz="4" w:space="0"/>
              <w:bottom w:val="single" w:color="auto" w:sz="4" w:space="0"/>
              <w:right w:val="single" w:color="auto" w:sz="4" w:space="0"/>
            </w:tcBorders>
            <w:vAlign w:val="center"/>
          </w:tcPr>
          <w:p>
            <w:pPr>
              <w:rPr>
                <w:color w:val="000000"/>
                <w:sz w:val="18"/>
                <w:szCs w:val="18"/>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家长学生满意率</w:t>
            </w:r>
          </w:p>
        </w:tc>
        <w:tc>
          <w:tcPr>
            <w:tcW w:w="2090"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w:t>
            </w:r>
          </w:p>
        </w:tc>
        <w:tc>
          <w:tcPr>
            <w:tcW w:w="444"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5</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1932"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100</w:t>
            </w:r>
          </w:p>
        </w:tc>
        <w:tc>
          <w:tcPr>
            <w:tcW w:w="104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82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5</w:t>
            </w:r>
          </w:p>
        </w:tc>
      </w:tr>
      <w:tr>
        <w:tblPrEx>
          <w:tblLayout w:type="fixed"/>
          <w:tblCellMar>
            <w:top w:w="0" w:type="dxa"/>
            <w:left w:w="108" w:type="dxa"/>
            <w:bottom w:w="0" w:type="dxa"/>
            <w:right w:w="108" w:type="dxa"/>
          </w:tblCellMar>
        </w:tblPrEx>
        <w:trPr>
          <w:trHeight w:val="367" w:hRule="atLeast"/>
        </w:trPr>
        <w:tc>
          <w:tcPr>
            <w:tcW w:w="1023" w:type="dxa"/>
            <w:vMerge w:val="continue"/>
            <w:tcBorders>
              <w:top w:val="nil"/>
              <w:left w:val="single" w:color="auto" w:sz="4" w:space="0"/>
              <w:bottom w:val="single" w:color="auto" w:sz="4" w:space="0"/>
              <w:right w:val="single" w:color="auto" w:sz="4" w:space="0"/>
            </w:tcBorders>
            <w:vAlign w:val="center"/>
          </w:tcPr>
          <w:p>
            <w:pPr>
              <w:rPr>
                <w:color w:val="000000"/>
                <w:sz w:val="18"/>
                <w:szCs w:val="18"/>
              </w:rPr>
            </w:pPr>
          </w:p>
        </w:tc>
        <w:tc>
          <w:tcPr>
            <w:tcW w:w="1428"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社会满意率</w:t>
            </w:r>
          </w:p>
        </w:tc>
        <w:tc>
          <w:tcPr>
            <w:tcW w:w="2090"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w:t>
            </w:r>
          </w:p>
        </w:tc>
        <w:tc>
          <w:tcPr>
            <w:tcW w:w="444"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5</w:t>
            </w:r>
          </w:p>
        </w:tc>
        <w:tc>
          <w:tcPr>
            <w:tcW w:w="118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1932" w:type="dxa"/>
            <w:gridSpan w:val="2"/>
            <w:tcBorders>
              <w:top w:val="single" w:color="auto" w:sz="4" w:space="0"/>
              <w:left w:val="nil"/>
              <w:bottom w:val="single" w:color="auto" w:sz="4" w:space="0"/>
              <w:right w:val="single" w:color="000000" w:sz="4" w:space="0"/>
            </w:tcBorders>
            <w:shd w:val="clear" w:color="auto" w:fill="auto"/>
            <w:vAlign w:val="center"/>
          </w:tcPr>
          <w:p>
            <w:pPr>
              <w:jc w:val="center"/>
              <w:rPr>
                <w:color w:val="000000"/>
                <w:sz w:val="18"/>
                <w:szCs w:val="18"/>
              </w:rPr>
            </w:pPr>
            <w:r>
              <w:rPr>
                <w:rFonts w:hint="eastAsia"/>
                <w:color w:val="000000"/>
                <w:sz w:val="18"/>
                <w:szCs w:val="18"/>
              </w:rPr>
              <w:t>100</w:t>
            </w:r>
          </w:p>
        </w:tc>
        <w:tc>
          <w:tcPr>
            <w:tcW w:w="1045"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100%</w:t>
            </w:r>
          </w:p>
        </w:tc>
        <w:tc>
          <w:tcPr>
            <w:tcW w:w="829" w:type="dxa"/>
            <w:tcBorders>
              <w:top w:val="nil"/>
              <w:left w:val="nil"/>
              <w:bottom w:val="single" w:color="auto" w:sz="4" w:space="0"/>
              <w:right w:val="single" w:color="auto" w:sz="4" w:space="0"/>
            </w:tcBorders>
            <w:shd w:val="clear" w:color="auto" w:fill="auto"/>
            <w:vAlign w:val="center"/>
          </w:tcPr>
          <w:p>
            <w:pPr>
              <w:jc w:val="center"/>
              <w:rPr>
                <w:color w:val="000000"/>
                <w:sz w:val="18"/>
                <w:szCs w:val="18"/>
              </w:rPr>
            </w:pPr>
            <w:r>
              <w:rPr>
                <w:rFonts w:hint="eastAsia"/>
                <w:color w:val="000000"/>
                <w:sz w:val="18"/>
                <w:szCs w:val="18"/>
              </w:rPr>
              <w:t>5</w:t>
            </w:r>
          </w:p>
        </w:tc>
      </w:tr>
      <w:tr>
        <w:tblPrEx>
          <w:tblLayout w:type="fixed"/>
          <w:tblCellMar>
            <w:top w:w="0" w:type="dxa"/>
            <w:left w:w="108" w:type="dxa"/>
            <w:bottom w:w="0" w:type="dxa"/>
            <w:right w:w="108" w:type="dxa"/>
          </w:tblCellMar>
        </w:tblPrEx>
        <w:trPr>
          <w:trHeight w:val="1668" w:hRule="atLeast"/>
        </w:trPr>
        <w:tc>
          <w:tcPr>
            <w:tcW w:w="1023"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18"/>
                <w:szCs w:val="18"/>
              </w:rPr>
              <w:t>未完成绩效目标或偏离较多的原因、改进措施及其他说</w:t>
            </w:r>
            <w:r>
              <w:rPr>
                <w:rFonts w:hint="eastAsia"/>
                <w:color w:val="000000"/>
                <w:sz w:val="20"/>
                <w:szCs w:val="20"/>
              </w:rPr>
              <w:t>明</w:t>
            </w:r>
          </w:p>
        </w:tc>
        <w:tc>
          <w:tcPr>
            <w:tcW w:w="8957" w:type="dxa"/>
            <w:gridSpan w:val="9"/>
            <w:tcBorders>
              <w:top w:val="single" w:color="auto" w:sz="4" w:space="0"/>
              <w:left w:val="nil"/>
              <w:bottom w:val="single" w:color="auto" w:sz="4" w:space="0"/>
              <w:right w:val="single" w:color="auto" w:sz="4" w:space="0"/>
            </w:tcBorders>
            <w:shd w:val="clear" w:color="auto" w:fill="auto"/>
            <w:vAlign w:val="center"/>
          </w:tcPr>
          <w:p>
            <w:pPr>
              <w:jc w:val="center"/>
              <w:rPr>
                <w:color w:val="000000"/>
                <w:sz w:val="20"/>
                <w:szCs w:val="20"/>
              </w:rPr>
            </w:pPr>
            <w:r>
              <w:rPr>
                <w:rFonts w:hint="eastAsia"/>
                <w:color w:val="000000"/>
                <w:sz w:val="20"/>
                <w:szCs w:val="20"/>
              </w:rPr>
              <w:t>　</w:t>
            </w:r>
          </w:p>
        </w:tc>
      </w:tr>
      <w:tr>
        <w:tblPrEx>
          <w:tblLayout w:type="fixed"/>
          <w:tblCellMar>
            <w:top w:w="0" w:type="dxa"/>
            <w:left w:w="108" w:type="dxa"/>
            <w:bottom w:w="0" w:type="dxa"/>
            <w:right w:w="108" w:type="dxa"/>
          </w:tblCellMar>
        </w:tblPrEx>
        <w:trPr>
          <w:trHeight w:val="312" w:hRule="atLeast"/>
        </w:trPr>
        <w:tc>
          <w:tcPr>
            <w:tcW w:w="1023" w:type="dxa"/>
            <w:tcBorders>
              <w:top w:val="nil"/>
              <w:left w:val="nil"/>
              <w:bottom w:val="nil"/>
              <w:right w:val="nil"/>
            </w:tcBorders>
            <w:shd w:val="clear" w:color="auto" w:fill="auto"/>
            <w:vAlign w:val="center"/>
          </w:tcPr>
          <w:p/>
        </w:tc>
        <w:tc>
          <w:tcPr>
            <w:tcW w:w="1428" w:type="dxa"/>
            <w:tcBorders>
              <w:top w:val="nil"/>
              <w:left w:val="nil"/>
              <w:bottom w:val="nil"/>
              <w:right w:val="nil"/>
            </w:tcBorders>
            <w:shd w:val="clear" w:color="auto" w:fill="auto"/>
            <w:vAlign w:val="center"/>
          </w:tcPr>
          <w:p/>
        </w:tc>
        <w:tc>
          <w:tcPr>
            <w:tcW w:w="2090" w:type="dxa"/>
            <w:tcBorders>
              <w:top w:val="nil"/>
              <w:left w:val="nil"/>
              <w:bottom w:val="nil"/>
              <w:right w:val="nil"/>
            </w:tcBorders>
            <w:shd w:val="clear" w:color="auto" w:fill="auto"/>
            <w:vAlign w:val="center"/>
          </w:tcPr>
          <w:p/>
        </w:tc>
        <w:tc>
          <w:tcPr>
            <w:tcW w:w="222" w:type="dxa"/>
            <w:tcBorders>
              <w:top w:val="nil"/>
              <w:left w:val="nil"/>
              <w:bottom w:val="nil"/>
              <w:right w:val="nil"/>
            </w:tcBorders>
            <w:shd w:val="clear" w:color="auto" w:fill="auto"/>
            <w:vAlign w:val="center"/>
          </w:tcPr>
          <w:p/>
        </w:tc>
        <w:tc>
          <w:tcPr>
            <w:tcW w:w="222" w:type="dxa"/>
            <w:tcBorders>
              <w:top w:val="nil"/>
              <w:left w:val="nil"/>
              <w:bottom w:val="nil"/>
              <w:right w:val="nil"/>
            </w:tcBorders>
            <w:shd w:val="clear" w:color="auto" w:fill="auto"/>
            <w:vAlign w:val="center"/>
          </w:tcPr>
          <w:p/>
        </w:tc>
        <w:tc>
          <w:tcPr>
            <w:tcW w:w="1189" w:type="dxa"/>
            <w:tcBorders>
              <w:top w:val="nil"/>
              <w:left w:val="nil"/>
              <w:bottom w:val="nil"/>
              <w:right w:val="nil"/>
            </w:tcBorders>
            <w:shd w:val="clear" w:color="auto" w:fill="auto"/>
            <w:vAlign w:val="center"/>
          </w:tcPr>
          <w:p/>
        </w:tc>
        <w:tc>
          <w:tcPr>
            <w:tcW w:w="824" w:type="dxa"/>
            <w:tcBorders>
              <w:top w:val="nil"/>
              <w:left w:val="nil"/>
              <w:bottom w:val="nil"/>
              <w:right w:val="nil"/>
            </w:tcBorders>
            <w:shd w:val="clear" w:color="auto" w:fill="auto"/>
            <w:vAlign w:val="center"/>
          </w:tcPr>
          <w:p/>
        </w:tc>
        <w:tc>
          <w:tcPr>
            <w:tcW w:w="1108" w:type="dxa"/>
            <w:tcBorders>
              <w:top w:val="nil"/>
              <w:left w:val="nil"/>
              <w:bottom w:val="nil"/>
              <w:right w:val="nil"/>
            </w:tcBorders>
            <w:shd w:val="clear" w:color="auto" w:fill="auto"/>
            <w:vAlign w:val="center"/>
          </w:tcPr>
          <w:p/>
        </w:tc>
        <w:tc>
          <w:tcPr>
            <w:tcW w:w="1045" w:type="dxa"/>
            <w:tcBorders>
              <w:top w:val="nil"/>
              <w:left w:val="nil"/>
              <w:bottom w:val="nil"/>
              <w:right w:val="nil"/>
            </w:tcBorders>
            <w:shd w:val="clear" w:color="auto" w:fill="auto"/>
            <w:vAlign w:val="center"/>
          </w:tcPr>
          <w:p/>
        </w:tc>
        <w:tc>
          <w:tcPr>
            <w:tcW w:w="829" w:type="dxa"/>
            <w:tcBorders>
              <w:top w:val="nil"/>
              <w:left w:val="nil"/>
              <w:bottom w:val="nil"/>
              <w:right w:val="nil"/>
            </w:tcBorders>
            <w:shd w:val="clear" w:color="auto" w:fill="auto"/>
            <w:vAlign w:val="center"/>
          </w:tcPr>
          <w:p/>
        </w:tc>
      </w:tr>
      <w:tr>
        <w:tblPrEx>
          <w:tblLayout w:type="fixed"/>
          <w:tblCellMar>
            <w:top w:w="0" w:type="dxa"/>
            <w:left w:w="108" w:type="dxa"/>
            <w:bottom w:w="0" w:type="dxa"/>
            <w:right w:w="108" w:type="dxa"/>
          </w:tblCellMar>
        </w:tblPrEx>
        <w:trPr>
          <w:trHeight w:val="270" w:hRule="atLeast"/>
        </w:trPr>
        <w:tc>
          <w:tcPr>
            <w:tcW w:w="9980" w:type="dxa"/>
            <w:gridSpan w:val="10"/>
            <w:tcBorders>
              <w:top w:val="nil"/>
              <w:left w:val="nil"/>
              <w:bottom w:val="nil"/>
              <w:right w:val="nil"/>
            </w:tcBorders>
            <w:shd w:val="clear" w:color="auto" w:fill="auto"/>
            <w:vAlign w:val="center"/>
          </w:tcPr>
          <w:p>
            <w:pPr>
              <w:jc w:val="center"/>
              <w:rPr>
                <w:sz w:val="20"/>
                <w:szCs w:val="20"/>
              </w:rPr>
            </w:pPr>
            <w:r>
              <w:rPr>
                <w:rFonts w:hint="eastAsia"/>
                <w:sz w:val="20"/>
                <w:szCs w:val="20"/>
              </w:rPr>
              <w:t xml:space="preserve"> 预算单位主要领导： 张勇                绩效评价负责人：易忠麟           经办人：成济兵</w:t>
            </w:r>
          </w:p>
        </w:tc>
      </w:tr>
    </w:tbl>
    <w:p>
      <w:pPr>
        <w:pStyle w:val="3"/>
        <w:shd w:val="clear" w:color="auto" w:fill="FFFFFF"/>
        <w:rPr>
          <w:rFonts w:ascii="Times New Roman" w:hAnsi="Times New Roman" w:eastAsia="方正黑体_GBK" w:cs="Times New Roman"/>
          <w:bCs/>
          <w:kern w:val="2"/>
          <w:sz w:val="32"/>
          <w:szCs w:val="32"/>
        </w:rPr>
      </w:pPr>
      <w:r>
        <w:rPr>
          <w:rFonts w:hint="eastAsia" w:ascii="Times New Roman" w:hAnsi="Times New Roman" w:eastAsia="方正黑体_GBK" w:cs="Times New Roman"/>
          <w:kern w:val="2"/>
          <w:sz w:val="32"/>
          <w:szCs w:val="32"/>
        </w:rPr>
        <w:t>六、专业名词解释</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（一）财政拨款收入</w:t>
      </w:r>
      <w:r>
        <w:rPr>
          <w:rFonts w:hint="eastAsia" w:ascii="Times New Roman" w:hAnsi="Times New Roman" w:eastAsia="方正仿宋_GBK"/>
          <w:bCs/>
          <w:sz w:val="32"/>
          <w:szCs w:val="32"/>
        </w:rPr>
        <w:t>：指本年度从本级财政部门取得的财政拨款，包括一般公共预算财政拨款和政府性基金预算财政拨款。</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（二）事业收入</w:t>
      </w:r>
      <w:r>
        <w:rPr>
          <w:rFonts w:hint="eastAsia" w:ascii="Times New Roman" w:hAnsi="Times New Roman" w:eastAsia="方正仿宋_GBK"/>
          <w:bCs/>
          <w:sz w:val="32"/>
          <w:szCs w:val="32"/>
        </w:rPr>
        <w:t>：指事业单位开展专业业务活动及其辅助活动取得的现金流入；事业单位收到的财政专户实际核拨的教育收费等资金在此反映。</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（三）经营收入</w:t>
      </w:r>
      <w:r>
        <w:rPr>
          <w:rFonts w:hint="eastAsia" w:ascii="Times New Roman" w:hAnsi="Times New Roman" w:eastAsia="方正仿宋_GBK"/>
          <w:bCs/>
          <w:sz w:val="32"/>
          <w:szCs w:val="32"/>
        </w:rPr>
        <w:t>：指事业单位在专业业务活动及其辅助活动之外开展非独立核算经营活动取得的现金流入。</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（四）其他收入</w:t>
      </w:r>
      <w:r>
        <w:rPr>
          <w:rFonts w:hint="eastAsia" w:ascii="Times New Roman" w:hAnsi="Times New Roman" w:eastAsia="方正仿宋_GBK"/>
          <w:bCs/>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（五）使用非财政拨款结余</w:t>
      </w:r>
      <w:r>
        <w:rPr>
          <w:rFonts w:hint="eastAsia" w:ascii="Times New Roman" w:hAnsi="Times New Roman" w:eastAsia="方正仿宋_GBK"/>
          <w:bCs/>
          <w:sz w:val="32"/>
          <w:szCs w:val="32"/>
        </w:rPr>
        <w:t>：指单位在当年的“财政拨款收入”、“事业收入”、“经营收入”、“其他收入”等不足以安排当年支出的情况下，使用以前年度积累的非财政拨款结余弥补本年度收支缺口的资金。</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（六）年初结转和结余</w:t>
      </w:r>
      <w:r>
        <w:rPr>
          <w:rFonts w:hint="eastAsia" w:ascii="Times New Roman" w:hAnsi="Times New Roman" w:eastAsia="方正仿宋_GBK"/>
          <w:bCs/>
          <w:sz w:val="32"/>
          <w:szCs w:val="32"/>
        </w:rPr>
        <w:t>：指单位上年结转本年使用的基本支出结转、项目支出结转和结余、经营结余。</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（七）结余分配</w:t>
      </w:r>
      <w:r>
        <w:rPr>
          <w:rFonts w:hint="eastAsia" w:ascii="Times New Roman" w:hAnsi="Times New Roman" w:eastAsia="方正仿宋_GBK"/>
          <w:bCs/>
          <w:sz w:val="32"/>
          <w:szCs w:val="32"/>
        </w:rPr>
        <w:t>：指单位按照国家有关规定，缴纳所得税、提取专用基金、转入非财政拨款结余等当年结余的分配情况。</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（八）年末结转和结余</w:t>
      </w:r>
      <w:r>
        <w:rPr>
          <w:rFonts w:hint="eastAsia" w:ascii="Times New Roman" w:hAnsi="Times New Roman" w:eastAsia="方正仿宋_GBK"/>
          <w:bCs/>
          <w:sz w:val="32"/>
          <w:szCs w:val="32"/>
        </w:rPr>
        <w:t>：指单位结转下年的基本支出结转、项目支出结转和结余、经营结余。</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（九）基本支出</w:t>
      </w:r>
      <w:r>
        <w:rPr>
          <w:rFonts w:hint="eastAsia" w:ascii="Times New Roman" w:hAnsi="Times New Roman" w:eastAsia="方正仿宋_GBK"/>
          <w:bCs/>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（十）项目支出</w:t>
      </w:r>
      <w:r>
        <w:rPr>
          <w:rFonts w:hint="eastAsia" w:ascii="Times New Roman" w:hAnsi="Times New Roman" w:eastAsia="方正仿宋_GBK"/>
          <w:bCs/>
          <w:sz w:val="32"/>
          <w:szCs w:val="32"/>
        </w:rPr>
        <w:t>：指在基本支出之外为完成特定行政任务和事业发展目标所发生的支出。</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（十一）经营支出</w:t>
      </w:r>
      <w:r>
        <w:rPr>
          <w:rFonts w:hint="eastAsia" w:ascii="Times New Roman" w:hAnsi="Times New Roman" w:eastAsia="方正仿宋_GBK"/>
          <w:bCs/>
          <w:sz w:val="32"/>
          <w:szCs w:val="32"/>
        </w:rPr>
        <w:t>：指事业单位在专业业务活动及其辅助活动之外开展非独立核算经营活动发生的支出。</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（十二）“三公”经费</w:t>
      </w:r>
      <w:r>
        <w:rPr>
          <w:rFonts w:hint="eastAsia" w:ascii="Times New Roman" w:hAnsi="Times New Roman" w:eastAsia="方正仿宋_GBK"/>
          <w:bCs/>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（十三）机关运行经费</w:t>
      </w:r>
      <w:r>
        <w:rPr>
          <w:rFonts w:hint="eastAsia" w:ascii="Times New Roman" w:hAnsi="Times New Roman" w:eastAsia="方正仿宋_GBK"/>
          <w:bCs/>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（十四）工资福利支出（支出经济分类科目类级）</w:t>
      </w:r>
      <w:r>
        <w:rPr>
          <w:rFonts w:hint="eastAsia" w:ascii="Times New Roman" w:hAnsi="Times New Roman" w:eastAsia="方正仿宋_GBK"/>
          <w:bCs/>
          <w:sz w:val="32"/>
          <w:szCs w:val="32"/>
        </w:rPr>
        <w:t>：反映单位开支的在职职工和编制外长期聘用人员的各类劳动报酬，以及为上述人员缴纳的各项社会保险费等。</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（十五）商品和服务支出（支出经济分类科目类级）</w:t>
      </w:r>
      <w:r>
        <w:rPr>
          <w:rFonts w:hint="eastAsia" w:ascii="Times New Roman" w:hAnsi="Times New Roman" w:eastAsia="方正仿宋_GBK"/>
          <w:bCs/>
          <w:sz w:val="32"/>
          <w:szCs w:val="32"/>
        </w:rPr>
        <w:t>：反映单位购买商品和服务的支出（不包括用于购置固定资产的支出、战略性和应急储备支出）。</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（十六）对个人和家庭的补助（支出经济分类科目类级）</w:t>
      </w:r>
      <w:r>
        <w:rPr>
          <w:rFonts w:hint="eastAsia" w:ascii="Times New Roman" w:hAnsi="Times New Roman" w:eastAsia="方正仿宋_GBK"/>
          <w:bCs/>
          <w:sz w:val="32"/>
          <w:szCs w:val="32"/>
        </w:rPr>
        <w:t>：反映用于对个人和家庭的补助支出。</w:t>
      </w:r>
    </w:p>
    <w:p>
      <w:pPr>
        <w:pStyle w:val="3"/>
        <w:shd w:val="clear" w:color="auto" w:fill="FFFFFF"/>
        <w:rPr>
          <w:rFonts w:ascii="Times New Roman" w:hAnsi="Times New Roman" w:eastAsia="方正仿宋_GBK"/>
          <w:bCs/>
          <w:sz w:val="32"/>
          <w:szCs w:val="32"/>
        </w:rPr>
      </w:pPr>
      <w:r>
        <w:rPr>
          <w:rFonts w:hint="eastAsia" w:ascii="Times New Roman" w:hAnsi="Times New Roman" w:eastAsia="方正仿宋_GBK"/>
          <w:sz w:val="32"/>
          <w:szCs w:val="32"/>
        </w:rPr>
        <w:t>（十七）其他资本性支出（支出经济分类科目类级）</w:t>
      </w:r>
      <w:r>
        <w:rPr>
          <w:rFonts w:hint="eastAsia" w:ascii="Times New Roman" w:hAnsi="Times New Roman" w:eastAsia="方正仿宋_GBK"/>
          <w:bCs/>
          <w:sz w:val="32"/>
          <w:szCs w:val="32"/>
        </w:rPr>
        <w:t>：反映非各级发展与改革部门集中安排的用于购置固定资产、战略性和应急性储备、土地和无形资产，以及构建基础设施、大型修缮和财政支持企业更新改造所发生的支出。</w:t>
      </w:r>
    </w:p>
    <w:p>
      <w:pPr>
        <w:pStyle w:val="3"/>
        <w:shd w:val="clear" w:color="auto" w:fill="FFFFFF"/>
        <w:rPr>
          <w:rFonts w:ascii="Times New Roman" w:hAnsi="Times New Roman" w:eastAsia="方正黑体_GBK" w:cs="Times New Roman"/>
          <w:kern w:val="2"/>
          <w:sz w:val="32"/>
          <w:szCs w:val="32"/>
        </w:rPr>
      </w:pPr>
      <w:r>
        <w:rPr>
          <w:rFonts w:hint="eastAsia" w:ascii="Times New Roman" w:hAnsi="Times New Roman" w:eastAsia="方正黑体_GBK" w:cs="Times New Roman"/>
          <w:bCs/>
          <w:kern w:val="2"/>
          <w:sz w:val="32"/>
          <w:szCs w:val="32"/>
        </w:rPr>
        <w:t>七、决算公开联系方式及信息反馈渠道</w:t>
      </w:r>
    </w:p>
    <w:p>
      <w:pPr>
        <w:pStyle w:val="3"/>
        <w:shd w:val="clear" w:color="auto" w:fill="FFFFFF"/>
        <w:rPr>
          <w:rFonts w:ascii="Times New Roman" w:hAnsi="Times New Roman" w:eastAsia="方正仿宋_GBK"/>
          <w:sz w:val="32"/>
          <w:szCs w:val="32"/>
        </w:rPr>
      </w:pPr>
      <w:r>
        <w:rPr>
          <w:rFonts w:hint="eastAsia" w:ascii="Times New Roman" w:hAnsi="Times New Roman" w:eastAsia="方正仿宋_GBK"/>
          <w:sz w:val="32"/>
          <w:szCs w:val="32"/>
        </w:rPr>
        <w:t>本单位决算公开信息反馈和联系方式：023-48207396</w:t>
      </w:r>
    </w:p>
    <w:p>
      <w:pPr>
        <w:pStyle w:val="3"/>
        <w:shd w:val="clear" w:color="auto" w:fill="FFFFFF"/>
      </w:pP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2"/>
  </w:compat>
  <w:rsids>
    <w:rsidRoot w:val="00656489"/>
    <w:rsid w:val="00044296"/>
    <w:rsid w:val="0006044C"/>
    <w:rsid w:val="0008633D"/>
    <w:rsid w:val="000A5F5E"/>
    <w:rsid w:val="000A7D6F"/>
    <w:rsid w:val="000E245D"/>
    <w:rsid w:val="00130243"/>
    <w:rsid w:val="00150FB9"/>
    <w:rsid w:val="0019594F"/>
    <w:rsid w:val="001F5B30"/>
    <w:rsid w:val="001F7C7A"/>
    <w:rsid w:val="00227DC5"/>
    <w:rsid w:val="00281DF4"/>
    <w:rsid w:val="00290385"/>
    <w:rsid w:val="002C2074"/>
    <w:rsid w:val="00316A15"/>
    <w:rsid w:val="0037282A"/>
    <w:rsid w:val="003A0254"/>
    <w:rsid w:val="00415184"/>
    <w:rsid w:val="00482547"/>
    <w:rsid w:val="00495E83"/>
    <w:rsid w:val="004D4EAA"/>
    <w:rsid w:val="004E6C80"/>
    <w:rsid w:val="00567D46"/>
    <w:rsid w:val="00574A92"/>
    <w:rsid w:val="005C3CB9"/>
    <w:rsid w:val="005E1D3B"/>
    <w:rsid w:val="005E77F0"/>
    <w:rsid w:val="00617E72"/>
    <w:rsid w:val="006301E6"/>
    <w:rsid w:val="0064127A"/>
    <w:rsid w:val="00656489"/>
    <w:rsid w:val="0066656C"/>
    <w:rsid w:val="00733496"/>
    <w:rsid w:val="007573CB"/>
    <w:rsid w:val="007D5245"/>
    <w:rsid w:val="007E5E09"/>
    <w:rsid w:val="00885C46"/>
    <w:rsid w:val="008A4F2D"/>
    <w:rsid w:val="008B6378"/>
    <w:rsid w:val="008C5E8D"/>
    <w:rsid w:val="008E79A1"/>
    <w:rsid w:val="00903533"/>
    <w:rsid w:val="00953769"/>
    <w:rsid w:val="00973A09"/>
    <w:rsid w:val="00A46915"/>
    <w:rsid w:val="00A512D2"/>
    <w:rsid w:val="00A60928"/>
    <w:rsid w:val="00A827AD"/>
    <w:rsid w:val="00AA6872"/>
    <w:rsid w:val="00C05380"/>
    <w:rsid w:val="00C272EC"/>
    <w:rsid w:val="00C33CA9"/>
    <w:rsid w:val="00C76F8A"/>
    <w:rsid w:val="00C97921"/>
    <w:rsid w:val="00E07CE8"/>
    <w:rsid w:val="00E23457"/>
    <w:rsid w:val="00E9766C"/>
    <w:rsid w:val="00EA3155"/>
    <w:rsid w:val="00EC7D12"/>
    <w:rsid w:val="00EF4C0B"/>
    <w:rsid w:val="00F1342F"/>
    <w:rsid w:val="00F81014"/>
    <w:rsid w:val="00F81514"/>
    <w:rsid w:val="00F833A6"/>
    <w:rsid w:val="00FD6E96"/>
    <w:rsid w:val="1AF82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uiPriority w:val="0"/>
    <w:pPr>
      <w:widowControl w:val="0"/>
      <w:jc w:val="both"/>
    </w:pPr>
    <w:rPr>
      <w:rFonts w:ascii="Calibri" w:hAnsi="Calibri" w:cs="Times New Roman"/>
      <w:kern w:val="2"/>
      <w:sz w:val="18"/>
      <w:szCs w:val="18"/>
    </w:rPr>
  </w:style>
  <w:style w:type="paragraph" w:styleId="3">
    <w:name w:val="Normal (Web)"/>
    <w:basedOn w:val="1"/>
    <w:unhideWhenUsed/>
    <w:uiPriority w:val="99"/>
    <w:pPr>
      <w:spacing w:before="100" w:beforeAutospacing="1" w:after="100" w:afterAutospacing="1"/>
    </w:pPr>
  </w:style>
  <w:style w:type="character" w:styleId="5">
    <w:name w:val="Strong"/>
    <w:basedOn w:val="4"/>
    <w:qFormat/>
    <w:uiPriority w:val="22"/>
    <w:rPr>
      <w:b/>
      <w:bCs/>
    </w:rPr>
  </w:style>
  <w:style w:type="character" w:customStyle="1" w:styleId="7">
    <w:name w:val="批注框文本 Char"/>
    <w:basedOn w:val="4"/>
    <w:link w:val="2"/>
    <w:uiPriority w:val="0"/>
    <w:rPr>
      <w:rFonts w:ascii="Calibri" w:hAnsi="Calibri"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249DCB-DC65-4DF9-9D50-80933FE967D6}">
  <ds:schemaRefs/>
</ds:datastoreItem>
</file>

<file path=docProps/app.xml><?xml version="1.0" encoding="utf-8"?>
<Properties xmlns="http://schemas.openxmlformats.org/officeDocument/2006/extended-properties" xmlns:vt="http://schemas.openxmlformats.org/officeDocument/2006/docPropsVTypes">
  <Template>Normal</Template>
  <Pages>13</Pages>
  <Words>908</Words>
  <Characters>5181</Characters>
  <Lines>43</Lines>
  <Paragraphs>12</Paragraphs>
  <TotalTime>203</TotalTime>
  <ScaleCrop>false</ScaleCrop>
  <LinksUpToDate>false</LinksUpToDate>
  <CharactersWithSpaces>6077</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2022-08-27T08:07:00Z</dcterms:created>
  <dc:creator>Administrator</dc:creator>
  <cp:lastModifiedBy>Administrator</cp:lastModifiedBy>
  <dcterms:modified xsi:type="dcterms:W3CDTF">2024-09-12T02:34:02Z</dcterms:modified>
  <dc:title>公开报告模板</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ies>
</file>