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eastAsia" w:ascii="Times New Roman" w:hAnsi="方正小标宋_GBK" w:eastAsia="方正小标宋_GBK" w:cs="方正小标宋_GBK"/>
          <w:b w:val="0"/>
          <w:bCs w:val="0"/>
          <w:sz w:val="44"/>
          <w:szCs w:val="44"/>
          <w:shd w:val="clear" w:color="auto" w:fill="FFFFFF"/>
        </w:rPr>
      </w:pPr>
      <w:r>
        <w:rPr>
          <w:rFonts w:hint="eastAsia" w:ascii="Times New Roman" w:hAnsi="方正小标宋_GBK" w:eastAsia="方正小标宋_GBK" w:cs="方正小标宋_GBK"/>
          <w:b w:val="0"/>
          <w:bCs w:val="0"/>
          <w:sz w:val="44"/>
          <w:szCs w:val="44"/>
          <w:shd w:val="clear" w:color="auto" w:fill="FFFFFF"/>
        </w:rPr>
        <w:t>重庆市綦江区杨地湾学校</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center"/>
        <w:textAlignment w:val="auto"/>
        <w:rPr>
          <w:rFonts w:hint="eastAsia" w:ascii="Times New Roman"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eastAsia" w:ascii="Times New Roman" w:hAnsi="方正小标宋_GBK" w:eastAsia="方正小标宋_GBK" w:cs="方正小标宋_GBK"/>
          <w:b w:val="0"/>
          <w:bCs w:val="0"/>
          <w:sz w:val="44"/>
          <w:szCs w:val="44"/>
          <w:shd w:val="clear" w:color="auto" w:fill="FFFFFF"/>
        </w:rPr>
        <w:t>年度</w:t>
      </w:r>
      <w:r>
        <w:rPr>
          <w:rFonts w:hint="eastAsia" w:ascii="Times New Roman" w:hAnsi="方正小标宋_GBK" w:eastAsia="方正小标宋_GBK" w:cs="方正小标宋_GBK"/>
          <w:b w:val="0"/>
          <w:bCs w:val="0"/>
          <w:sz w:val="44"/>
          <w:szCs w:val="44"/>
          <w:shd w:val="clear" w:color="auto" w:fill="FFFFFF"/>
          <w:lang w:eastAsia="zh-CN"/>
        </w:rPr>
        <w:t>部门</w:t>
      </w:r>
      <w:r>
        <w:rPr>
          <w:rFonts w:hint="eastAsia" w:ascii="Times New Roman" w:hAnsi="方正小标宋_GBK" w:eastAsia="方正小标宋_GBK" w:cs="方正小标宋_GBK"/>
          <w:b w:val="0"/>
          <w:bCs w:val="0"/>
          <w:sz w:val="44"/>
          <w:szCs w:val="44"/>
          <w:shd w:val="clear" w:color="auto" w:fill="FFFFFF"/>
        </w:rPr>
        <w:t>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jc w:val="both"/>
        <w:textAlignment w:val="auto"/>
        <w:rPr>
          <w:rFonts w:hint="eastAsia" w:ascii="Times New Roman" w:hAnsi="方正小标宋_GBK" w:eastAsia="方正小标宋_GBK" w:cs="方正小标宋_GBK"/>
          <w:b w:val="0"/>
          <w:bCs w:val="0"/>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eastAsia" w:ascii="Times New Roman" w:hAnsi="方正黑体_GBK" w:eastAsia="方正黑体_GBK" w:cs="方正黑体_GBK"/>
          <w:b w:val="0"/>
          <w:bCs w:val="0"/>
          <w:sz w:val="32"/>
          <w:szCs w:val="32"/>
          <w:shd w:val="clear" w:color="auto" w:fill="FFFFFF"/>
        </w:rPr>
        <w:t>一、</w:t>
      </w:r>
      <w:r>
        <w:rPr>
          <w:rStyle w:val="13"/>
          <w:rFonts w:hint="eastAsia" w:ascii="Times New Roman" w:hAnsi="方正黑体_GBK" w:eastAsia="方正黑体_GBK" w:cs="方正黑体_GBK"/>
          <w:b w:val="0"/>
          <w:bCs w:val="0"/>
          <w:sz w:val="32"/>
          <w:szCs w:val="32"/>
          <w:shd w:val="clear" w:color="auto" w:fill="FFFFFF"/>
          <w:lang w:eastAsia="zh-CN"/>
        </w:rPr>
        <w:t>单位</w:t>
      </w:r>
      <w:r>
        <w:rPr>
          <w:rStyle w:val="13"/>
          <w:rFonts w:hint="eastAsia" w:ascii="Times New Roman" w:hAnsi="方正黑体_GBK" w:eastAsia="方正黑体_GBK" w:cs="方正黑体_GBK"/>
          <w:b w:val="0"/>
          <w:bCs w:val="0"/>
          <w:sz w:val="32"/>
          <w:szCs w:val="32"/>
          <w:shd w:val="clear" w:color="auto" w:fill="FFFFFF"/>
        </w:rPr>
        <w:t>基本情况</w:t>
      </w:r>
    </w:p>
    <w:p>
      <w:pPr>
        <w:pStyle w:val="9"/>
        <w:keepNext w:val="0"/>
        <w:keepLines w:val="0"/>
        <w:pageBreakBefore w:val="0"/>
        <w:shd w:val="clear" w:color="auto" w:fill="FFFFFF"/>
        <w:kinsoku/>
        <w:wordWrap/>
        <w:overflowPunct/>
        <w:topLinePunct w:val="0"/>
        <w:autoSpaceDN/>
        <w:bidi w:val="0"/>
        <w:spacing w:beforeAutospacing="0" w:afterAutospacing="0" w:line="576" w:lineRule="exact"/>
        <w:ind w:firstLine="420"/>
        <w:jc w:val="both"/>
        <w:textAlignment w:val="auto"/>
        <w:rPr>
          <w:rFonts w:hint="eastAsia" w:ascii="Times New Roman" w:hAnsi="方正楷体_GBK" w:eastAsia="方正楷体_GBK" w:cs="方正楷体_GBK"/>
          <w:b w:val="0"/>
          <w:bCs w:val="0"/>
          <w:sz w:val="32"/>
          <w:szCs w:val="32"/>
        </w:rPr>
      </w:pPr>
      <w:r>
        <w:rPr>
          <w:rStyle w:val="13"/>
          <w:rFonts w:hint="eastAsia" w:ascii="Times New Roman" w:hAnsi="方正楷体_GBK" w:eastAsia="方正楷体_GBK" w:cs="方正楷体_GBK"/>
          <w:b w:val="0"/>
          <w:bCs w:val="0"/>
          <w:sz w:val="32"/>
          <w:szCs w:val="32"/>
          <w:shd w:val="clear" w:color="auto" w:fill="FFFFFF"/>
        </w:rPr>
        <w:t>（一）职能职责</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76" w:lineRule="exact"/>
        <w:ind w:left="0" w:firstLine="652"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本单位是全额拨款事业单位。属于义务教育的全日制公办教育机构，具有法人资格，独立承担民事责任。学校面向教育行政部门规定的区域范围进行招生，招生对象为辖区内健康适龄儿童，主要职责是实施小学义务教育，促进基础教育发展， 教育人，培养人，使其个性全面发展，为祖国培养好下一代。</w:t>
      </w:r>
    </w:p>
    <w:p>
      <w:pPr>
        <w:pStyle w:val="9"/>
        <w:keepNext w:val="0"/>
        <w:keepLines w:val="0"/>
        <w:pageBreakBefore w:val="0"/>
        <w:shd w:val="clear" w:color="auto" w:fill="FFFFFF"/>
        <w:kinsoku/>
        <w:wordWrap/>
        <w:overflowPunct/>
        <w:topLinePunct w:val="0"/>
        <w:autoSpaceDN/>
        <w:bidi w:val="0"/>
        <w:spacing w:beforeAutospacing="0" w:afterAutospacing="0" w:line="576" w:lineRule="exact"/>
        <w:ind w:firstLine="420"/>
        <w:jc w:val="both"/>
        <w:textAlignment w:val="auto"/>
        <w:rPr>
          <w:rStyle w:val="13"/>
          <w:rFonts w:hint="default" w:ascii="Times New Roman" w:hAnsi="方正楷体_GBK" w:eastAsia="方正楷体_GBK" w:cs="方正楷体_GBK"/>
          <w:b w:val="0"/>
          <w:bCs w:val="0"/>
          <w:sz w:val="32"/>
          <w:szCs w:val="32"/>
          <w:shd w:val="clear" w:color="auto" w:fill="FFFFFF"/>
        </w:rPr>
      </w:pPr>
      <w:r>
        <w:rPr>
          <w:rStyle w:val="13"/>
          <w:rFonts w:hint="default" w:ascii="Times New Roman" w:hAnsi="方正楷体_GBK" w:eastAsia="方正楷体_GBK" w:cs="方正楷体_GBK"/>
          <w:b w:val="0"/>
          <w:bCs w:val="0"/>
          <w:sz w:val="32"/>
          <w:szCs w:val="32"/>
          <w:shd w:val="clear" w:color="auto" w:fill="FFFFFF"/>
        </w:rPr>
        <w:t>（二）机构设置</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76" w:lineRule="exact"/>
        <w:ind w:left="0" w:firstLine="652"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当年本单位编制人数为 1</w:t>
      </w:r>
      <w:r>
        <w:rPr>
          <w:rFonts w:hint="default" w:ascii="Times New Roman" w:hAnsi="Times New Roman" w:eastAsia="方正仿宋_GBK" w:cs="Times New Roman"/>
          <w:b w:val="0"/>
          <w:bCs w:val="0"/>
          <w:color w:val="000000"/>
          <w:kern w:val="0"/>
          <w:sz w:val="32"/>
          <w:szCs w:val="32"/>
          <w:lang w:val="en-US" w:eastAsia="zh-CN"/>
        </w:rPr>
        <w:t>7</w:t>
      </w:r>
      <w:r>
        <w:rPr>
          <w:rFonts w:hint="default" w:ascii="Times New Roman" w:hAnsi="Times New Roman" w:eastAsia="方正仿宋_GBK" w:cs="Times New Roman"/>
          <w:b w:val="0"/>
          <w:bCs w:val="0"/>
          <w:color w:val="000000"/>
          <w:kern w:val="0"/>
          <w:sz w:val="32"/>
          <w:szCs w:val="32"/>
        </w:rPr>
        <w:t xml:space="preserve"> 人，在职教职工</w:t>
      </w:r>
      <w:r>
        <w:rPr>
          <w:rFonts w:hint="default" w:ascii="Times New Roman" w:hAnsi="Times New Roman" w:eastAsia="方正仿宋_GBK" w:cs="Times New Roman"/>
          <w:b w:val="0"/>
          <w:bCs w:val="0"/>
          <w:color w:val="000000"/>
          <w:kern w:val="0"/>
          <w:sz w:val="32"/>
          <w:szCs w:val="32"/>
          <w:lang w:val="en-US" w:eastAsia="zh-CN"/>
        </w:rPr>
        <w:t>16</w:t>
      </w:r>
      <w:r>
        <w:rPr>
          <w:rFonts w:hint="default" w:ascii="Times New Roman" w:hAnsi="Times New Roman" w:eastAsia="方正仿宋_GBK" w:cs="Times New Roman"/>
          <w:b w:val="0"/>
          <w:bCs w:val="0"/>
          <w:color w:val="000000"/>
          <w:kern w:val="0"/>
          <w:sz w:val="32"/>
          <w:szCs w:val="32"/>
        </w:rPr>
        <w:t xml:space="preserve"> 人，均与编办统计数一致，退休教职工</w:t>
      </w:r>
      <w:r>
        <w:rPr>
          <w:rFonts w:hint="default" w:ascii="Times New Roman" w:hAnsi="Times New Roman" w:eastAsia="方正仿宋_GBK" w:cs="Times New Roman"/>
          <w:b w:val="0"/>
          <w:bCs w:val="0"/>
          <w:color w:val="000000"/>
          <w:kern w:val="0"/>
          <w:sz w:val="32"/>
          <w:szCs w:val="32"/>
          <w:lang w:val="en-US" w:eastAsia="zh-CN"/>
        </w:rPr>
        <w:t>31</w:t>
      </w:r>
      <w:r>
        <w:rPr>
          <w:rFonts w:hint="default" w:ascii="Times New Roman" w:hAnsi="Times New Roman" w:eastAsia="方正仿宋_GBK" w:cs="Times New Roman"/>
          <w:b w:val="0"/>
          <w:bCs w:val="0"/>
          <w:color w:val="000000"/>
          <w:kern w:val="0"/>
          <w:sz w:val="32"/>
          <w:szCs w:val="32"/>
        </w:rPr>
        <w:t xml:space="preserve"> 人。本年在校学生 </w:t>
      </w:r>
      <w:r>
        <w:rPr>
          <w:rFonts w:hint="default" w:ascii="Times New Roman" w:hAnsi="Times New Roman" w:eastAsia="方正仿宋_GBK" w:cs="Times New Roman"/>
          <w:b w:val="0"/>
          <w:bCs w:val="0"/>
          <w:color w:val="000000"/>
          <w:kern w:val="0"/>
          <w:sz w:val="32"/>
          <w:szCs w:val="32"/>
          <w:lang w:val="en-US" w:eastAsia="zh-CN"/>
        </w:rPr>
        <w:t>55</w:t>
      </w:r>
      <w:r>
        <w:rPr>
          <w:rFonts w:hint="default" w:ascii="Times New Roman" w:hAnsi="Times New Roman" w:eastAsia="方正仿宋_GBK" w:cs="Times New Roman"/>
          <w:b w:val="0"/>
          <w:bCs w:val="0"/>
          <w:color w:val="000000"/>
          <w:kern w:val="0"/>
          <w:sz w:val="32"/>
          <w:szCs w:val="32"/>
        </w:rPr>
        <w:t xml:space="preserve"> 人。本单位无下级预算单位。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方正黑体_GBK" w:eastAsia="方正黑体_GBK" w:cs="方正黑体_GBK"/>
          <w:b w:val="0"/>
          <w:bCs w:val="0"/>
          <w:sz w:val="32"/>
          <w:szCs w:val="32"/>
          <w:shd w:val="clear" w:color="auto" w:fill="FFFFFF"/>
        </w:rPr>
      </w:pPr>
      <w:r>
        <w:rPr>
          <w:rStyle w:val="13"/>
          <w:rFonts w:hint="default" w:ascii="Times New Roman" w:hAnsi="方正黑体_GBK" w:eastAsia="方正黑体_GBK" w:cs="方正黑体_GBK"/>
          <w:b w:val="0"/>
          <w:bCs w:val="0"/>
          <w:sz w:val="32"/>
          <w:szCs w:val="32"/>
          <w:shd w:val="clear" w:color="auto" w:fill="FFFFFF"/>
        </w:rPr>
        <w:t>二、</w:t>
      </w:r>
      <w:r>
        <w:rPr>
          <w:rStyle w:val="13"/>
          <w:rFonts w:hint="default" w:ascii="Times New Roman" w:hAnsi="方正黑体_GBK" w:eastAsia="方正黑体_GBK" w:cs="方正黑体_GBK"/>
          <w:b w:val="0"/>
          <w:bCs w:val="0"/>
          <w:sz w:val="32"/>
          <w:szCs w:val="32"/>
          <w:shd w:val="clear" w:color="auto" w:fill="FFFFFF"/>
          <w:lang w:eastAsia="zh-CN"/>
        </w:rPr>
        <w:t>单位</w:t>
      </w:r>
      <w:r>
        <w:rPr>
          <w:rStyle w:val="13"/>
          <w:rFonts w:hint="default" w:ascii="Times New Roman" w:hAnsi="方正黑体_GBK" w:eastAsia="方正黑体_GBK" w:cs="方正黑体_GBK"/>
          <w:b w:val="0"/>
          <w:bCs w:val="0"/>
          <w:sz w:val="32"/>
          <w:szCs w:val="32"/>
          <w:shd w:val="clear" w:color="auto" w:fill="FFFFFF"/>
        </w:rPr>
        <w:t>决算</w:t>
      </w:r>
      <w:r>
        <w:rPr>
          <w:rStyle w:val="13"/>
          <w:rFonts w:hint="default" w:ascii="Times New Roman" w:hAnsi="方正黑体_GBK" w:eastAsia="方正黑体_GBK" w:cs="方正黑体_GBK"/>
          <w:b w:val="0"/>
          <w:bCs w:val="0"/>
          <w:sz w:val="32"/>
          <w:szCs w:val="32"/>
          <w:shd w:val="clear" w:color="auto" w:fill="FFFFFF"/>
          <w:lang w:eastAsia="zh-CN"/>
        </w:rPr>
        <w:t>收支</w:t>
      </w:r>
      <w:r>
        <w:rPr>
          <w:rStyle w:val="13"/>
          <w:rFonts w:hint="default" w:ascii="Times New Roman" w:hAnsi="方正黑体_GBK" w:eastAsia="方正黑体_GBK" w:cs="方正黑体_GBK"/>
          <w:b w:val="0"/>
          <w:bCs w:val="0"/>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13"/>
          <w:rFonts w:hint="default" w:ascii="Times New Roman" w:hAnsi="方正楷体_GBK" w:eastAsia="方正楷体_GBK" w:cs="方正楷体_GBK"/>
          <w:b w:val="0"/>
          <w:bCs w:val="0"/>
          <w:sz w:val="32"/>
          <w:szCs w:val="32"/>
          <w:shd w:val="clear" w:color="auto" w:fill="FFFFFF"/>
          <w:lang w:val="en-US" w:eastAsia="zh-CN" w:bidi="ar-SA"/>
        </w:rPr>
        <w:t>（一）收入支出决算总体情况说明</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color w:val="000000"/>
          <w:kern w:val="0"/>
          <w:sz w:val="32"/>
          <w:szCs w:val="32"/>
          <w:lang w:val="en-US" w:eastAsia="zh-CN" w:bidi="ar-SA"/>
        </w:rPr>
        <w:t>2024</w:t>
      </w:r>
      <w:r>
        <w:rPr>
          <w:rFonts w:hint="default" w:ascii="Times New Roman" w:hAnsi="Times New Roman" w:eastAsia="方正仿宋_GBK" w:cs="Times New Roman"/>
          <w:b w:val="0"/>
          <w:bCs w:val="0"/>
          <w:sz w:val="32"/>
          <w:szCs w:val="32"/>
          <w:shd w:val="clear" w:color="auto" w:fill="FFFFFF"/>
        </w:rPr>
        <w:t>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color w:val="000000"/>
          <w:kern w:val="0"/>
          <w:sz w:val="32"/>
          <w:szCs w:val="32"/>
          <w:lang w:val="en-US" w:eastAsia="zh-CN" w:bidi="ar-SA"/>
        </w:rPr>
        <w:t>493.97</w:t>
      </w:r>
      <w:r>
        <w:rPr>
          <w:rFonts w:hint="default" w:ascii="Times New Roman" w:hAnsi="Times New Roman" w:eastAsia="方正仿宋_GBK" w:cs="Times New Roman"/>
          <w:b w:val="0"/>
          <w:bCs w:val="0"/>
          <w:sz w:val="32"/>
          <w:szCs w:val="32"/>
          <w:shd w:val="clear" w:color="auto" w:fill="FFFFFF"/>
        </w:rPr>
        <w:t>万元。收、支与</w:t>
      </w:r>
      <w:r>
        <w:rPr>
          <w:rFonts w:hint="default" w:ascii="Times New Roman" w:hAnsi="Times New Roman" w:eastAsia="方正仿宋_GBK" w:cs="Times New Roman"/>
          <w:b w:val="0"/>
          <w:bCs w:val="0"/>
          <w:color w:val="000000"/>
          <w:kern w:val="0"/>
          <w:sz w:val="32"/>
          <w:szCs w:val="32"/>
          <w:lang w:val="en-US" w:eastAsia="zh-CN" w:bidi="ar-SA"/>
        </w:rPr>
        <w:t>2023</w:t>
      </w:r>
      <w:r>
        <w:rPr>
          <w:rFonts w:hint="default" w:ascii="Times New Roman" w:hAnsi="Times New Roman" w:eastAsia="方正仿宋_GBK" w:cs="Times New Roman"/>
          <w:b w:val="0"/>
          <w:bCs w:val="0"/>
          <w:sz w:val="32"/>
          <w:szCs w:val="32"/>
          <w:shd w:val="clear" w:color="auto" w:fill="FFFFFF"/>
        </w:rPr>
        <w:t>年度相比，增加</w:t>
      </w:r>
      <w:r>
        <w:rPr>
          <w:rFonts w:hint="default" w:ascii="Times New Roman" w:hAnsi="Times New Roman" w:eastAsia="方正仿宋_GBK" w:cs="Times New Roman"/>
          <w:b w:val="0"/>
          <w:bCs w:val="0"/>
          <w:color w:val="000000"/>
          <w:kern w:val="0"/>
          <w:sz w:val="32"/>
          <w:szCs w:val="32"/>
          <w:lang w:val="en-US" w:eastAsia="zh-CN" w:bidi="ar-SA"/>
        </w:rPr>
        <w:t>17.85</w:t>
      </w:r>
      <w:r>
        <w:rPr>
          <w:rFonts w:hint="default" w:ascii="Times New Roman" w:hAnsi="Times New Roman" w:eastAsia="方正仿宋_GBK" w:cs="Times New Roman"/>
          <w:b w:val="0"/>
          <w:bCs w:val="0"/>
          <w:sz w:val="32"/>
          <w:szCs w:val="32"/>
          <w:shd w:val="clear" w:color="auto" w:fill="FFFFFF"/>
        </w:rPr>
        <w:t>万元，增长</w:t>
      </w:r>
      <w:r>
        <w:rPr>
          <w:rFonts w:hint="default" w:ascii="Times New Roman" w:hAnsi="Times New Roman" w:eastAsia="方正仿宋_GBK" w:cs="Times New Roman"/>
          <w:b w:val="0"/>
          <w:bCs w:val="0"/>
          <w:color w:val="000000"/>
          <w:kern w:val="0"/>
          <w:sz w:val="32"/>
          <w:szCs w:val="32"/>
          <w:lang w:val="en-US" w:eastAsia="zh-CN" w:bidi="ar-SA"/>
        </w:rPr>
        <w:t>3.8%</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eastAsia="zh-CN"/>
        </w:rPr>
        <w:t>人员经费增加。如基本工资、绩效工资、养老保险、职业等因为调标及职务晋升有所增加，补发以前年度超额绩效及增加了退休人员的健康休养费和一次性补贴等</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.收入情况。</w:t>
      </w:r>
      <w:r>
        <w:rPr>
          <w:rFonts w:hint="default" w:ascii="Times New Roman" w:hAnsi="Times New Roman" w:eastAsia="方正仿宋_GBK" w:cs="Times New Roman"/>
          <w:b w:val="0"/>
          <w:bCs w:val="0"/>
          <w:color w:val="000000"/>
          <w:kern w:val="0"/>
          <w:sz w:val="32"/>
          <w:szCs w:val="32"/>
          <w:lang w:val="en-US" w:eastAsia="zh-CN" w:bidi="ar-SA"/>
        </w:rPr>
        <w:t>2024</w:t>
      </w:r>
      <w:r>
        <w:rPr>
          <w:rFonts w:hint="default" w:ascii="Times New Roman" w:hAnsi="Times New Roman" w:eastAsia="方正仿宋_GBK" w:cs="Times New Roman"/>
          <w:b w:val="0"/>
          <w:bCs w:val="0"/>
          <w:sz w:val="32"/>
          <w:szCs w:val="32"/>
          <w:shd w:val="clear" w:color="auto" w:fill="FFFFFF"/>
          <w:lang w:eastAsia="zh-CN"/>
        </w:rPr>
        <w:t>年度收入合计</w:t>
      </w:r>
      <w:r>
        <w:rPr>
          <w:rFonts w:hint="default" w:ascii="Times New Roman" w:hAnsi="Times New Roman" w:eastAsia="方正仿宋_GBK" w:cs="Times New Roman"/>
          <w:b w:val="0"/>
          <w:bCs w:val="0"/>
          <w:color w:val="000000"/>
          <w:kern w:val="0"/>
          <w:sz w:val="32"/>
          <w:szCs w:val="32"/>
          <w:lang w:val="en-US" w:eastAsia="zh-CN" w:bidi="ar-SA"/>
        </w:rPr>
        <w:t>493.97</w:t>
      </w:r>
      <w:r>
        <w:rPr>
          <w:rFonts w:hint="default" w:ascii="Times New Roman" w:hAnsi="Times New Roman" w:eastAsia="方正仿宋_GBK" w:cs="Times New Roman"/>
          <w:b w:val="0"/>
          <w:bCs w:val="0"/>
          <w:sz w:val="32"/>
          <w:szCs w:val="32"/>
          <w:shd w:val="clear" w:color="auto" w:fill="FFFFFF"/>
          <w:lang w:eastAsia="zh-CN"/>
        </w:rPr>
        <w:t>万元，与</w:t>
      </w:r>
      <w:r>
        <w:rPr>
          <w:rFonts w:hint="default" w:ascii="Times New Roman" w:hAnsi="Times New Roman" w:eastAsia="方正仿宋_GBK" w:cs="Times New Roman"/>
          <w:b w:val="0"/>
          <w:bCs w:val="0"/>
          <w:color w:val="000000"/>
          <w:kern w:val="0"/>
          <w:sz w:val="32"/>
          <w:szCs w:val="32"/>
          <w:lang w:val="en-US" w:eastAsia="zh-CN" w:bidi="ar-SA"/>
        </w:rPr>
        <w:t>2023</w:t>
      </w:r>
      <w:r>
        <w:rPr>
          <w:rFonts w:hint="default" w:ascii="Times New Roman" w:hAnsi="Times New Roman" w:eastAsia="方正仿宋_GBK" w:cs="Times New Roman"/>
          <w:b w:val="0"/>
          <w:bCs w:val="0"/>
          <w:sz w:val="32"/>
          <w:szCs w:val="32"/>
          <w:shd w:val="clear" w:color="auto" w:fill="FFFFFF"/>
          <w:lang w:eastAsia="zh-CN"/>
        </w:rPr>
        <w:t>年度相比，增加</w:t>
      </w:r>
      <w:r>
        <w:rPr>
          <w:rFonts w:hint="default" w:ascii="Times New Roman" w:hAnsi="Times New Roman" w:eastAsia="方正仿宋_GBK" w:cs="Times New Roman"/>
          <w:b w:val="0"/>
          <w:bCs w:val="0"/>
          <w:color w:val="000000"/>
          <w:kern w:val="0"/>
          <w:sz w:val="32"/>
          <w:szCs w:val="32"/>
          <w:lang w:val="en-US" w:eastAsia="zh-CN" w:bidi="ar-SA"/>
        </w:rPr>
        <w:t>17.85</w:t>
      </w:r>
      <w:r>
        <w:rPr>
          <w:rFonts w:hint="default" w:ascii="Times New Roman" w:hAnsi="Times New Roman" w:eastAsia="方正仿宋_GBK" w:cs="Times New Roman"/>
          <w:b w:val="0"/>
          <w:bCs w:val="0"/>
          <w:sz w:val="32"/>
          <w:szCs w:val="32"/>
          <w:shd w:val="clear" w:color="auto" w:fill="FFFFFF"/>
          <w:lang w:eastAsia="zh-CN"/>
        </w:rPr>
        <w:t>万元，增长</w:t>
      </w:r>
      <w:r>
        <w:rPr>
          <w:rFonts w:hint="default" w:ascii="Times New Roman" w:hAnsi="Times New Roman" w:eastAsia="方正仿宋_GBK" w:cs="Times New Roman"/>
          <w:b w:val="0"/>
          <w:bCs w:val="0"/>
          <w:color w:val="000000"/>
          <w:kern w:val="0"/>
          <w:sz w:val="32"/>
          <w:szCs w:val="32"/>
          <w:lang w:val="en-US" w:eastAsia="zh-CN" w:bidi="ar-SA"/>
        </w:rPr>
        <w:t>3.8%</w:t>
      </w:r>
      <w:r>
        <w:rPr>
          <w:rFonts w:hint="default" w:ascii="Times New Roman" w:hAnsi="Times New Roman" w:eastAsia="方正仿宋_GBK" w:cs="Times New Roman"/>
          <w:b w:val="0"/>
          <w:bCs w:val="0"/>
          <w:sz w:val="32"/>
          <w:szCs w:val="32"/>
          <w:shd w:val="clear" w:color="auto" w:fill="FFFFFF"/>
          <w:lang w:eastAsia="zh-CN"/>
        </w:rPr>
        <w:t>，主要原因是人员经费增加。如基本工资、绩效工资、养老保险、职业等因为调标及职务晋升有所增加，补发以前年度超额绩效及增加了退休人员的健康休养费和一次性补贴等。其中：财政拨款收入</w:t>
      </w:r>
      <w:r>
        <w:rPr>
          <w:rFonts w:hint="default" w:ascii="Times New Roman" w:hAnsi="Times New Roman" w:eastAsia="方正仿宋_GBK" w:cs="Times New Roman"/>
          <w:b w:val="0"/>
          <w:bCs w:val="0"/>
          <w:color w:val="000000"/>
          <w:kern w:val="0"/>
          <w:sz w:val="32"/>
          <w:szCs w:val="32"/>
          <w:lang w:val="en-US" w:eastAsia="zh-CN" w:bidi="ar-SA"/>
        </w:rPr>
        <w:t>484.27万元，占98.0%；事业收入9.71万元，占2.0%；经营收入0万元；其他收入0万元。此外，使用非财政拨款结余（含专用结余）0万元，年初结转和结余0万元</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2.支出情况。2024年度支出合计493.97万元，与2023年度相比，增加17.85万元，增长3.8%，主要原因是人员经费增加。如基本工资、绩效工资、养老保险、职业等因为调标及职务晋升有所增加，补发以前年度超额绩效及增加了退休人员的健康休养费和一次性补贴等。其中：基本支出458.15万元，占92.8%；项目支出35.82万元，占7.3%；经营支出0万元。此外，结余分配0万元。</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3.结转结余情况。2024年度年末结转和结余0万元，与上年数持平，主要原因是2024年末资金全部收回财政，无结转结余。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firstLine="652"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方正楷体_GBK" w:eastAsia="方正楷体_GBK" w:cs="方正楷体_GBK"/>
          <w:b w:val="0"/>
          <w:bCs w:val="0"/>
          <w:sz w:val="32"/>
          <w:szCs w:val="32"/>
          <w:shd w:val="clear" w:color="auto" w:fill="FFFFFF"/>
          <w:lang w:val="en-US" w:eastAsia="zh-CN" w:bidi="ar-SA"/>
        </w:rPr>
        <w:t>（二）财政拨款收入支出决算总体情况说明</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2024年度财政拨款收、支总计均为484.27万元。与2023年度相比，财政拨款收、支总计各增加17.03万元，增长3.6%。主要原因是人员经费增加。如基本工资、绩效工资、养老保险、职业等因为调标及职务晋升有所增加，补发以前年</w:t>
      </w:r>
      <w:r>
        <w:rPr>
          <w:rFonts w:hint="default" w:ascii="Times New Roman" w:hAnsi="Times New Roman" w:eastAsia="方正仿宋_GBK" w:cs="Times New Roman"/>
          <w:b w:val="0"/>
          <w:bCs w:val="0"/>
          <w:color w:val="000000"/>
          <w:spacing w:val="12"/>
          <w:kern w:val="0"/>
          <w:sz w:val="32"/>
          <w:szCs w:val="32"/>
          <w:lang w:val="en-US" w:eastAsia="zh-CN" w:bidi="ar-SA"/>
        </w:rPr>
        <w:t>度超额绩效及增加了退休人员的健康休养费和一次性</w:t>
      </w:r>
      <w:r>
        <w:rPr>
          <w:rFonts w:hint="default" w:ascii="Times New Roman" w:hAnsi="Times New Roman" w:eastAsia="方正仿宋_GBK" w:cs="Times New Roman"/>
          <w:b w:val="0"/>
          <w:bCs w:val="0"/>
          <w:color w:val="000000"/>
          <w:spacing w:val="2"/>
          <w:kern w:val="0"/>
          <w:sz w:val="32"/>
          <w:szCs w:val="32"/>
          <w:lang w:val="en-US" w:eastAsia="zh-CN" w:bidi="ar-SA"/>
        </w:rPr>
        <w:t>补</w:t>
      </w:r>
      <w:r>
        <w:rPr>
          <w:rFonts w:hint="default" w:ascii="Times New Roman" w:hAnsi="Times New Roman" w:eastAsia="方正仿宋_GBK" w:cs="Times New Roman"/>
          <w:b w:val="0"/>
          <w:bCs w:val="0"/>
          <w:color w:val="000000"/>
          <w:kern w:val="0"/>
          <w:sz w:val="32"/>
          <w:szCs w:val="32"/>
          <w:lang w:val="en-US" w:eastAsia="zh-CN" w:bidi="ar-SA"/>
        </w:rPr>
        <w:t>贴等。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firstLine="652"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1.收入情况。2024年度一般公共预算财政拨款收入484.27万元，与2023年度相比，增加17.03万元，增长3.6%。主要原因是人员经费增加。如基本工资、绩效工资、养老保险、职业等因为调标及职务晋升有所增加，补发以前年度超额绩效及增加了退休人员的健康休养费和一次性补贴等。较年初预算数增加19.4万元，增长4.2%。主要是因为綦江财发〔</w:t>
      </w:r>
      <w:r>
        <w:rPr>
          <w:rFonts w:hint="eastAsia" w:ascii="Times New Roman" w:hAnsi="Times New Roman" w:eastAsia="方正仿宋_GBK" w:cs="Times New Roman"/>
          <w:b w:val="0"/>
          <w:bCs w:val="0"/>
          <w:color w:val="000000"/>
          <w:kern w:val="0"/>
          <w:sz w:val="32"/>
          <w:szCs w:val="32"/>
          <w:lang w:val="en-US" w:eastAsia="zh-CN" w:bidi="ar-SA"/>
        </w:rPr>
        <w:t>2,024〕2</w:t>
      </w:r>
      <w:r>
        <w:rPr>
          <w:rFonts w:hint="default" w:ascii="Times New Roman" w:hAnsi="Times New Roman" w:eastAsia="方正仿宋_GBK" w:cs="Times New Roman"/>
          <w:b w:val="0"/>
          <w:bCs w:val="0"/>
          <w:color w:val="000000"/>
          <w:kern w:val="0"/>
          <w:sz w:val="32"/>
          <w:szCs w:val="32"/>
          <w:lang w:val="en-US" w:eastAsia="zh-CN" w:bidi="ar-SA"/>
        </w:rPr>
        <w:t>号调整了奖励性绩效（非统发）-小学；綦江财发〔</w:t>
      </w:r>
      <w:r>
        <w:rPr>
          <w:rFonts w:hint="eastAsia" w:ascii="Times New Roman" w:hAnsi="Times New Roman" w:eastAsia="方正仿宋_GBK" w:cs="Times New Roman"/>
          <w:b w:val="0"/>
          <w:bCs w:val="0"/>
          <w:color w:val="000000"/>
          <w:kern w:val="0"/>
          <w:sz w:val="32"/>
          <w:szCs w:val="32"/>
          <w:lang w:val="en-US" w:eastAsia="zh-CN" w:bidi="ar-SA"/>
        </w:rPr>
        <w:t>2,024〕7</w:t>
      </w:r>
      <w:r>
        <w:rPr>
          <w:rFonts w:hint="default" w:ascii="Times New Roman" w:hAnsi="Times New Roman" w:eastAsia="方正仿宋_GBK" w:cs="Times New Roman"/>
          <w:b w:val="0"/>
          <w:bCs w:val="0"/>
          <w:color w:val="000000"/>
          <w:kern w:val="0"/>
          <w:sz w:val="32"/>
          <w:szCs w:val="32"/>
          <w:lang w:val="en-US" w:eastAsia="zh-CN" w:bidi="ar-SA"/>
        </w:rPr>
        <w:t>7号2022年清算以前年度待遇（统发）；綦江财发〔</w:t>
      </w:r>
      <w:r>
        <w:rPr>
          <w:rFonts w:hint="eastAsia" w:ascii="Times New Roman" w:hAnsi="Times New Roman" w:eastAsia="方正仿宋_GBK" w:cs="Times New Roman"/>
          <w:b w:val="0"/>
          <w:bCs w:val="0"/>
          <w:color w:val="000000"/>
          <w:kern w:val="0"/>
          <w:sz w:val="32"/>
          <w:szCs w:val="32"/>
          <w:lang w:val="en-US" w:eastAsia="zh-CN" w:bidi="ar-SA"/>
        </w:rPr>
        <w:t>2,024〕2</w:t>
      </w:r>
      <w:r>
        <w:rPr>
          <w:rFonts w:hint="default" w:ascii="Times New Roman" w:hAnsi="Times New Roman" w:eastAsia="方正仿宋_GBK" w:cs="Times New Roman"/>
          <w:b w:val="0"/>
          <w:bCs w:val="0"/>
          <w:color w:val="000000"/>
          <w:kern w:val="0"/>
          <w:sz w:val="32"/>
          <w:szCs w:val="32"/>
          <w:lang w:val="en-US" w:eastAsia="zh-CN" w:bidi="ar-SA"/>
        </w:rPr>
        <w:t>7号2022年清算以前年度待遇（非统发）；綦江财发〔</w:t>
      </w:r>
      <w:r>
        <w:rPr>
          <w:rFonts w:hint="eastAsia" w:ascii="Times New Roman" w:hAnsi="Times New Roman" w:eastAsia="方正仿宋_GBK" w:cs="Times New Roman"/>
          <w:b w:val="0"/>
          <w:bCs w:val="0"/>
          <w:color w:val="000000"/>
          <w:kern w:val="0"/>
          <w:sz w:val="32"/>
          <w:szCs w:val="32"/>
          <w:lang w:val="en-US" w:eastAsia="zh-CN" w:bidi="ar-SA"/>
        </w:rPr>
        <w:t>2,023〕1</w:t>
      </w:r>
      <w:r>
        <w:rPr>
          <w:rFonts w:hint="default" w:ascii="Times New Roman" w:hAnsi="Times New Roman" w:eastAsia="方正仿宋_GBK" w:cs="Times New Roman"/>
          <w:b w:val="0"/>
          <w:bCs w:val="0"/>
          <w:color w:val="000000"/>
          <w:kern w:val="0"/>
          <w:sz w:val="32"/>
          <w:szCs w:val="32"/>
          <w:lang w:val="en-US" w:eastAsia="zh-CN" w:bidi="ar-SA"/>
        </w:rPr>
        <w:t>54号（渝财教〔</w:t>
      </w:r>
      <w:r>
        <w:rPr>
          <w:rFonts w:hint="eastAsia" w:ascii="Times New Roman" w:hAnsi="Times New Roman" w:eastAsia="方正仿宋_GBK" w:cs="Times New Roman"/>
          <w:b w:val="0"/>
          <w:bCs w:val="0"/>
          <w:color w:val="000000"/>
          <w:kern w:val="0"/>
          <w:sz w:val="32"/>
          <w:szCs w:val="32"/>
          <w:lang w:val="en-US" w:eastAsia="zh-CN" w:bidi="ar-SA"/>
        </w:rPr>
        <w:t>2,023〕3</w:t>
      </w:r>
      <w:r>
        <w:rPr>
          <w:rFonts w:hint="default" w:ascii="Times New Roman" w:hAnsi="Times New Roman" w:eastAsia="方正仿宋_GBK" w:cs="Times New Roman"/>
          <w:b w:val="0"/>
          <w:bCs w:val="0"/>
          <w:color w:val="000000"/>
          <w:kern w:val="0"/>
          <w:sz w:val="32"/>
          <w:szCs w:val="32"/>
          <w:lang w:val="en-US" w:eastAsia="zh-CN" w:bidi="ar-SA"/>
        </w:rPr>
        <w:t>8号）调剂乡村教师岗位补助；綦江财发〔</w:t>
      </w:r>
      <w:r>
        <w:rPr>
          <w:rFonts w:hint="eastAsia" w:ascii="Times New Roman" w:hAnsi="Times New Roman" w:eastAsia="方正仿宋_GBK" w:cs="Times New Roman"/>
          <w:b w:val="0"/>
          <w:bCs w:val="0"/>
          <w:color w:val="000000"/>
          <w:kern w:val="0"/>
          <w:sz w:val="32"/>
          <w:szCs w:val="32"/>
          <w:lang w:val="en-US" w:eastAsia="zh-CN" w:bidi="ar-SA"/>
        </w:rPr>
        <w:t>2,023〕1</w:t>
      </w:r>
      <w:r>
        <w:rPr>
          <w:rFonts w:hint="default" w:ascii="Times New Roman" w:hAnsi="Times New Roman" w:eastAsia="方正仿宋_GBK" w:cs="Times New Roman"/>
          <w:b w:val="0"/>
          <w:bCs w:val="0"/>
          <w:color w:val="000000"/>
          <w:kern w:val="0"/>
          <w:sz w:val="32"/>
          <w:szCs w:val="32"/>
          <w:lang w:val="en-US" w:eastAsia="zh-CN" w:bidi="ar-SA"/>
        </w:rPr>
        <w:t>号（渝财教〔</w:t>
      </w:r>
      <w:r>
        <w:rPr>
          <w:rFonts w:hint="eastAsia" w:ascii="Times New Roman" w:hAnsi="Times New Roman" w:eastAsia="方正仿宋_GBK" w:cs="Times New Roman"/>
          <w:b w:val="0"/>
          <w:bCs w:val="0"/>
          <w:color w:val="000000"/>
          <w:kern w:val="0"/>
          <w:sz w:val="32"/>
          <w:szCs w:val="32"/>
          <w:lang w:val="en-US" w:eastAsia="zh-CN" w:bidi="ar-SA"/>
        </w:rPr>
        <w:t>2,022〕1</w:t>
      </w:r>
      <w:r>
        <w:rPr>
          <w:rFonts w:hint="default" w:ascii="Times New Roman" w:hAnsi="Times New Roman" w:eastAsia="方正仿宋_GBK" w:cs="Times New Roman"/>
          <w:b w:val="0"/>
          <w:bCs w:val="0"/>
          <w:color w:val="000000"/>
          <w:kern w:val="0"/>
          <w:sz w:val="32"/>
          <w:szCs w:val="32"/>
          <w:lang w:val="en-US" w:eastAsia="zh-CN" w:bidi="ar-SA"/>
        </w:rPr>
        <w:t>92号）调增了非寄宿生生活补助；綦江财发〔</w:t>
      </w:r>
      <w:r>
        <w:rPr>
          <w:rFonts w:hint="eastAsia" w:ascii="Times New Roman" w:hAnsi="Times New Roman" w:eastAsia="方正仿宋_GBK" w:cs="Times New Roman"/>
          <w:b w:val="0"/>
          <w:bCs w:val="0"/>
          <w:color w:val="000000"/>
          <w:kern w:val="0"/>
          <w:sz w:val="32"/>
          <w:szCs w:val="32"/>
          <w:lang w:val="en-US" w:eastAsia="zh-CN" w:bidi="ar-SA"/>
        </w:rPr>
        <w:t>2,024〕1</w:t>
      </w:r>
      <w:r>
        <w:rPr>
          <w:rFonts w:hint="default" w:ascii="Times New Roman" w:hAnsi="Times New Roman" w:eastAsia="方正仿宋_GBK" w:cs="Times New Roman"/>
          <w:b w:val="0"/>
          <w:bCs w:val="0"/>
          <w:color w:val="000000"/>
          <w:kern w:val="0"/>
          <w:sz w:val="32"/>
          <w:szCs w:val="32"/>
          <w:lang w:val="en-US" w:eastAsia="zh-CN" w:bidi="ar-SA"/>
        </w:rPr>
        <w:t>号(渝财教〔</w:t>
      </w:r>
      <w:r>
        <w:rPr>
          <w:rFonts w:hint="eastAsia" w:ascii="Times New Roman" w:hAnsi="Times New Roman" w:eastAsia="方正仿宋_GBK" w:cs="Times New Roman"/>
          <w:b w:val="0"/>
          <w:bCs w:val="0"/>
          <w:color w:val="000000"/>
          <w:kern w:val="0"/>
          <w:sz w:val="32"/>
          <w:szCs w:val="32"/>
          <w:lang w:val="en-US" w:eastAsia="zh-CN" w:bidi="ar-SA"/>
        </w:rPr>
        <w:t>2,023〕1</w:t>
      </w:r>
      <w:r>
        <w:rPr>
          <w:rFonts w:hint="default" w:ascii="Times New Roman" w:hAnsi="Times New Roman" w:eastAsia="方正仿宋_GBK" w:cs="Times New Roman"/>
          <w:b w:val="0"/>
          <w:bCs w:val="0"/>
          <w:color w:val="000000"/>
          <w:kern w:val="0"/>
          <w:sz w:val="32"/>
          <w:szCs w:val="32"/>
          <w:lang w:val="en-US" w:eastAsia="zh-CN" w:bidi="ar-SA"/>
        </w:rPr>
        <w:t>82号)调增了非寄宿已脱贫学生生活补助等;綦江财发〔</w:t>
      </w:r>
      <w:r>
        <w:rPr>
          <w:rFonts w:hint="eastAsia" w:ascii="Times New Roman" w:hAnsi="Times New Roman" w:eastAsia="方正仿宋_GBK" w:cs="Times New Roman"/>
          <w:b w:val="0"/>
          <w:bCs w:val="0"/>
          <w:color w:val="000000"/>
          <w:kern w:val="0"/>
          <w:sz w:val="32"/>
          <w:szCs w:val="32"/>
          <w:lang w:val="en-US" w:eastAsia="zh-CN" w:bidi="ar-SA"/>
        </w:rPr>
        <w:t>2,024〕2</w:t>
      </w:r>
      <w:r>
        <w:rPr>
          <w:rFonts w:hint="default" w:ascii="Times New Roman" w:hAnsi="Times New Roman" w:eastAsia="方正仿宋_GBK" w:cs="Times New Roman"/>
          <w:b w:val="0"/>
          <w:bCs w:val="0"/>
          <w:color w:val="000000"/>
          <w:kern w:val="0"/>
          <w:sz w:val="32"/>
          <w:szCs w:val="32"/>
          <w:lang w:val="en-US" w:eastAsia="zh-CN" w:bidi="ar-SA"/>
        </w:rPr>
        <w:t>号调剂了综合目标考核奖励-（离退休）和养老保险；綦江财发〔</w:t>
      </w:r>
      <w:r>
        <w:rPr>
          <w:rFonts w:hint="eastAsia" w:ascii="Times New Roman" w:hAnsi="Times New Roman" w:eastAsia="方正仿宋_GBK" w:cs="Times New Roman"/>
          <w:b w:val="0"/>
          <w:bCs w:val="0"/>
          <w:color w:val="000000"/>
          <w:kern w:val="0"/>
          <w:sz w:val="32"/>
          <w:szCs w:val="32"/>
          <w:lang w:val="en-US" w:eastAsia="zh-CN" w:bidi="ar-SA"/>
        </w:rPr>
        <w:t>2,024〕3</w:t>
      </w:r>
      <w:r>
        <w:rPr>
          <w:rFonts w:hint="default" w:ascii="Times New Roman" w:hAnsi="Times New Roman" w:eastAsia="方正仿宋_GBK" w:cs="Times New Roman"/>
          <w:b w:val="0"/>
          <w:bCs w:val="0"/>
          <w:color w:val="000000"/>
          <w:kern w:val="0"/>
          <w:sz w:val="32"/>
          <w:szCs w:val="32"/>
          <w:lang w:val="en-US" w:eastAsia="zh-CN" w:bidi="ar-SA"/>
        </w:rPr>
        <w:t>21号调剂了退休人员补缴的养老保险；綦江财发〔</w:t>
      </w:r>
      <w:r>
        <w:rPr>
          <w:rFonts w:hint="eastAsia" w:ascii="Times New Roman" w:hAnsi="Times New Roman" w:eastAsia="方正仿宋_GBK" w:cs="Times New Roman"/>
          <w:b w:val="0"/>
          <w:bCs w:val="0"/>
          <w:color w:val="000000"/>
          <w:kern w:val="0"/>
          <w:sz w:val="32"/>
          <w:szCs w:val="32"/>
          <w:lang w:val="en-US" w:eastAsia="zh-CN" w:bidi="ar-SA"/>
        </w:rPr>
        <w:t>2,024〕2</w:t>
      </w:r>
      <w:r>
        <w:rPr>
          <w:rFonts w:hint="default" w:ascii="Times New Roman" w:hAnsi="Times New Roman" w:eastAsia="方正仿宋_GBK" w:cs="Times New Roman"/>
          <w:b w:val="0"/>
          <w:bCs w:val="0"/>
          <w:color w:val="000000"/>
          <w:kern w:val="0"/>
          <w:sz w:val="32"/>
          <w:szCs w:val="32"/>
          <w:lang w:val="en-US" w:eastAsia="zh-CN" w:bidi="ar-SA"/>
        </w:rPr>
        <w:t>号调整了职业年金（事业）-小学；綦江财发〔</w:t>
      </w:r>
      <w:r>
        <w:rPr>
          <w:rFonts w:hint="eastAsia" w:ascii="Times New Roman" w:hAnsi="Times New Roman" w:eastAsia="方正仿宋_GBK" w:cs="Times New Roman"/>
          <w:b w:val="0"/>
          <w:bCs w:val="0"/>
          <w:color w:val="000000"/>
          <w:kern w:val="0"/>
          <w:sz w:val="32"/>
          <w:szCs w:val="32"/>
          <w:lang w:val="en-US" w:eastAsia="zh-CN" w:bidi="ar-SA"/>
        </w:rPr>
        <w:t>2,024〕3</w:t>
      </w:r>
      <w:r>
        <w:rPr>
          <w:rFonts w:hint="default" w:ascii="Times New Roman" w:hAnsi="Times New Roman" w:eastAsia="方正仿宋_GBK" w:cs="Times New Roman"/>
          <w:b w:val="0"/>
          <w:bCs w:val="0"/>
          <w:color w:val="000000"/>
          <w:kern w:val="0"/>
          <w:sz w:val="32"/>
          <w:szCs w:val="32"/>
          <w:lang w:val="en-US" w:eastAsia="zh-CN" w:bidi="ar-SA"/>
        </w:rPr>
        <w:t>21号补缴事业人员职业年金；綦江财发〔</w:t>
      </w:r>
      <w:r>
        <w:rPr>
          <w:rFonts w:hint="eastAsia" w:ascii="Times New Roman" w:hAnsi="Times New Roman" w:eastAsia="方正仿宋_GBK" w:cs="Times New Roman"/>
          <w:b w:val="0"/>
          <w:bCs w:val="0"/>
          <w:color w:val="000000"/>
          <w:kern w:val="0"/>
          <w:sz w:val="32"/>
          <w:szCs w:val="32"/>
          <w:lang w:val="en-US" w:eastAsia="zh-CN" w:bidi="ar-SA"/>
        </w:rPr>
        <w:t>2,024〕3</w:t>
      </w:r>
      <w:r>
        <w:rPr>
          <w:rFonts w:hint="default" w:ascii="Times New Roman" w:hAnsi="Times New Roman" w:eastAsia="方正仿宋_GBK" w:cs="Times New Roman"/>
          <w:b w:val="0"/>
          <w:bCs w:val="0"/>
          <w:color w:val="000000"/>
          <w:kern w:val="0"/>
          <w:sz w:val="32"/>
          <w:szCs w:val="32"/>
          <w:lang w:val="en-US" w:eastAsia="zh-CN" w:bidi="ar-SA"/>
        </w:rPr>
        <w:t>号增加“中人”一次性补贴等。此外，年初财政拨款结转和结余0万元。</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2.支出情况。2024年度一般公共预算财政拨款支出484.27万元，与2023年度相比，增加17.03万元，增长3.6%。主要原因是人员经费增加。如基本工资、绩效工资、养老保险、职业等因为调标及职务晋升有所增加，补发以前年度超额绩效及补发退休人员以前年度养老保险、职业及增加了退休人员的健康休养费和一次性补贴等。</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一般公共预算财政拨款支出主要用途如下：</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color w:val="000000"/>
          <w:kern w:val="0"/>
          <w:sz w:val="32"/>
          <w:szCs w:val="32"/>
          <w:lang w:val="en-US" w:eastAsia="zh-CN" w:bidi="ar-SA"/>
        </w:rPr>
        <w:t>教育支出309.52万元，占63.9%，较年初预算数增加3.81万元，增长1.3%，主要原因是人员经费增加。如基本工资、绩效工资等因为调标及职务晋升有所增加，补发以前年度超额绩效等。</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2）社会保障和就业支出139.13万元，占28.7%，较年初预算数增加23.36万元，增长20.2%，主要原因是养老保险、职业等因为调标及职务晋升有所增加，补发退休人员以前年度养老保险、职业等及增加了退休人员的健康休养费和中人一次性补贴等。</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（3）卫生健康支出18.5万元，占3.8%，较年初预算数减少3.88万元，下降17.3%，主要原因是教师调出及退休，医疗保险等支出相应减少。</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（4）住房保障支出17.11万元，占3.5%，较年初预算数减少3.91万元，下降18.6%，主要原因是教师调出及退休，住房公积金支出相应减少。</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3.结转结余情况。2024年度年末结转和结余0万元，与上年数持平，主要原因是2024年末资金全部收回财政，无结转结余。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firstLine="652" w:firstLineChars="2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default" w:ascii="Times New Roman"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9"/>
        <w:keepNext w:val="0"/>
        <w:keepLines w:val="0"/>
        <w:pageBreakBefore w:val="0"/>
        <w:shd w:val="clear" w:color="auto" w:fill="FFFFFF"/>
        <w:kinsoku/>
        <w:wordWrap/>
        <w:overflowPunct/>
        <w:topLinePunct w:val="0"/>
        <w:autoSpaceDN/>
        <w:bidi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2024年度一般公共财政拨款基本支出458.15万元。其中：人员经费439.72万元，与2023年度相比，增加29.72万元，增长7.3%，主要原因是基本工资调标及教师职务晋升等增加了基本工资、绩效工资、养老保险和职业年金、补发了退休教师的健康休养费、补发了退休人员以前年度养老保险和职业年金和因为退休人员增加一次性补贴增加等。人员经费用途主要包括基本工资、基础性绩效工资、奖励性绩效、养老保险、职业年金等工资福利支出及退休人员生活补助等。公用经费18.43万元，与2023年度相比，减少2.29万元，下降11.1%，主要原因是学生及教职工人数减少，生均公用经费及培训费、差旅费等相应减少。公用经费用途主要包括办公费、差旅费、培训费、水电费、维修费、福利费、劳务费等。</w:t>
      </w:r>
    </w:p>
    <w:p>
      <w:pPr>
        <w:pStyle w:val="9"/>
        <w:keepNext w:val="0"/>
        <w:keepLines w:val="0"/>
        <w:pageBreakBefore w:val="0"/>
        <w:shd w:val="clear" w:color="auto" w:fill="FFFFFF"/>
        <w:kinsoku/>
        <w:wordWrap/>
        <w:overflowPunct/>
        <w:topLinePunct w:val="0"/>
        <w:autoSpaceDN/>
        <w:bidi w:val="0"/>
        <w:spacing w:beforeAutospacing="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方正楷体_GBK" w:eastAsia="方正楷体_GBK" w:cs="方正楷体_GBK"/>
          <w:b w:val="0"/>
          <w:bCs w:val="0"/>
          <w:sz w:val="32"/>
          <w:szCs w:val="32"/>
          <w:shd w:val="clear" w:color="auto" w:fill="FFFFFF"/>
          <w:lang w:val="en-US" w:eastAsia="zh-CN" w:bidi="ar-SA"/>
        </w:rPr>
        <w:t>（五）政府性基金预算收支决算情况说明</w:t>
      </w:r>
    </w:p>
    <w:p>
      <w:pPr>
        <w:pStyle w:val="9"/>
        <w:keepNext w:val="0"/>
        <w:keepLines w:val="0"/>
        <w:pageBreakBefore w:val="0"/>
        <w:shd w:val="clear" w:color="auto" w:fill="FFFFFF"/>
        <w:kinsoku/>
        <w:wordWrap/>
        <w:overflowPunct/>
        <w:topLinePunct w:val="0"/>
        <w:autoSpaceDN/>
        <w:bidi w:val="0"/>
        <w:spacing w:beforeAutospacing="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本</w:t>
      </w:r>
      <w:r>
        <w:rPr>
          <w:rFonts w:hint="default" w:ascii="Times New Roman" w:hAnsi="Times New Roman" w:eastAsia="方正仿宋_GBK" w:cs="Times New Roman"/>
          <w:b w:val="0"/>
          <w:bCs w:val="0"/>
          <w:color w:val="000000"/>
          <w:kern w:val="0"/>
          <w:sz w:val="32"/>
          <w:szCs w:val="32"/>
          <w:lang w:eastAsia="zh-CN"/>
        </w:rPr>
        <w:t>单位</w:t>
      </w:r>
      <w:r>
        <w:rPr>
          <w:rFonts w:hint="default" w:ascii="Times New Roman" w:hAnsi="Times New Roman" w:eastAsia="方正仿宋_GBK" w:cs="Times New Roman"/>
          <w:b w:val="0"/>
          <w:bCs w:val="0"/>
          <w:color w:val="000000"/>
          <w:kern w:val="0"/>
          <w:sz w:val="32"/>
          <w:szCs w:val="32"/>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52" w:firstLineChars="2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default" w:ascii="Times New Roman"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9"/>
        <w:keepNext w:val="0"/>
        <w:keepLines w:val="0"/>
        <w:pageBreakBefore w:val="0"/>
        <w:shd w:val="clear" w:color="auto" w:fill="FFFFFF"/>
        <w:kinsoku/>
        <w:wordWrap/>
        <w:overflowPunct/>
        <w:topLinePunct w:val="0"/>
        <w:autoSpaceDN/>
        <w:bidi w:val="0"/>
        <w:spacing w:beforeAutospacing="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本</w:t>
      </w:r>
      <w:r>
        <w:rPr>
          <w:rFonts w:hint="default" w:ascii="Times New Roman" w:hAnsi="Times New Roman" w:eastAsia="方正仿宋_GBK" w:cs="Times New Roman"/>
          <w:b w:val="0"/>
          <w:bCs w:val="0"/>
          <w:color w:val="000000"/>
          <w:kern w:val="0"/>
          <w:sz w:val="32"/>
          <w:szCs w:val="32"/>
          <w:lang w:eastAsia="zh-CN"/>
        </w:rPr>
        <w:t>单位</w:t>
      </w:r>
      <w:r>
        <w:rPr>
          <w:rFonts w:hint="default" w:ascii="Times New Roman" w:hAnsi="Times New Roman" w:eastAsia="方正仿宋_GBK" w:cs="Times New Roman"/>
          <w:b w:val="0"/>
          <w:bCs w:val="0"/>
          <w:color w:val="000000"/>
          <w:kern w:val="0"/>
          <w:sz w:val="32"/>
          <w:szCs w:val="32"/>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方正黑体_GBK" w:eastAsia="方正黑体_GBK" w:cs="方正黑体_GBK"/>
          <w:b w:val="0"/>
          <w:bCs w:val="0"/>
          <w:sz w:val="32"/>
          <w:szCs w:val="32"/>
          <w:shd w:val="clear" w:color="auto" w:fill="FFFFFF"/>
        </w:rPr>
        <w:t>三、</w:t>
      </w:r>
      <w:r>
        <w:rPr>
          <w:rStyle w:val="13"/>
          <w:rFonts w:hint="default" w:ascii="Times New Roman" w:hAnsi="方正黑体_GBK" w:eastAsia="方正黑体_GBK" w:cs="方正黑体_GBK"/>
          <w:b w:val="0"/>
          <w:bCs w:val="0"/>
          <w:sz w:val="32"/>
          <w:szCs w:val="32"/>
          <w:shd w:val="clear" w:color="auto" w:fill="FFFFFF"/>
          <w:lang w:eastAsia="zh-CN"/>
        </w:rPr>
        <w:t>财政拨款</w:t>
      </w:r>
      <w:r>
        <w:rPr>
          <w:rStyle w:val="13"/>
          <w:rFonts w:hint="default" w:ascii="Times New Roman" w:hAnsi="方正黑体_GBK" w:eastAsia="方正黑体_GBK" w:cs="方正黑体_GBK"/>
          <w:b w:val="0"/>
          <w:bCs w:val="0"/>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52" w:firstLineChars="2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default" w:ascii="Times New Roman" w:hAnsi="方正楷体_GBK" w:eastAsia="方正楷体_GBK" w:cs="方正楷体_GBK"/>
          <w:b w:val="0"/>
          <w:bCs w:val="0"/>
          <w:sz w:val="32"/>
          <w:szCs w:val="32"/>
          <w:shd w:val="clear" w:color="auto" w:fill="FFFFFF"/>
          <w:lang w:val="en-US" w:eastAsia="zh-CN" w:bidi="ar-SA"/>
        </w:rPr>
        <w:t>（一）“三公”经费支出总体情况说明</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SA"/>
        </w:rPr>
        <w:t xml:space="preserve">2024年度“三公”经费支出共计0万元，费用支出与年初预算数持平，均为0万元。与上年支出数持平，均为0万元。主要原因是本单位 </w:t>
      </w:r>
      <w:r>
        <w:rPr>
          <w:rFonts w:hint="eastAsia" w:ascii="Times New Roman" w:hAnsi="Times New Roman" w:eastAsia="方正仿宋_GBK" w:cs="Times New Roman"/>
          <w:b w:val="0"/>
          <w:bCs w:val="0"/>
          <w:color w:val="000000"/>
          <w:kern w:val="0"/>
          <w:sz w:val="32"/>
          <w:szCs w:val="32"/>
          <w:lang w:val="en-US" w:eastAsia="zh-CN" w:bidi="ar-SA"/>
        </w:rPr>
        <w:t>2,024 年</w:t>
      </w:r>
      <w:r>
        <w:rPr>
          <w:rFonts w:hint="default" w:ascii="Times New Roman" w:hAnsi="Times New Roman" w:eastAsia="方正仿宋_GBK" w:cs="Times New Roman"/>
          <w:b w:val="0"/>
          <w:bCs w:val="0"/>
          <w:color w:val="000000"/>
          <w:kern w:val="0"/>
          <w:sz w:val="32"/>
          <w:szCs w:val="32"/>
          <w:lang w:val="en-US" w:eastAsia="zh-CN" w:bidi="ar-SA"/>
        </w:rPr>
        <w:t>度未发生“三公”经费支出</w:t>
      </w:r>
      <w:r>
        <w:rPr>
          <w:rFonts w:hint="default" w:ascii="Times New Roman" w:hAnsi="Times New Roman" w:eastAsia="方正仿宋_GBK" w:cs="Times New Roman"/>
          <w:b w:val="0"/>
          <w:bCs w:val="0"/>
          <w:color w:val="000000"/>
          <w:kern w:val="0"/>
          <w:sz w:val="32"/>
          <w:szCs w:val="32"/>
          <w:lang w:val="en-US" w:eastAsia="zh-CN" w:bidi="ar"/>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52" w:firstLineChars="2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default" w:ascii="Times New Roman" w:hAnsi="方正楷体_GBK" w:eastAsia="方正楷体_GBK" w:cs="方正楷体_GBK"/>
          <w:b w:val="0"/>
          <w:bCs w:val="0"/>
          <w:sz w:val="32"/>
          <w:szCs w:val="32"/>
          <w:shd w:val="clear" w:color="auto" w:fill="FFFFFF"/>
          <w:lang w:val="en-US" w:eastAsia="zh-CN" w:bidi="ar-SA"/>
        </w:rPr>
        <w:t>（二）“三公”经费分项支出情况</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2024年度本部门因公出国（境）费用0万元，费用支出与年初预算数持平，均为0万元。与上年支出数持平，均为0万元。主要原因是本单位 2024年度未发生因公出国（境）费用。</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公务车购置费0万元，费用支出与年初预算数持平，均为0万元。与上年支出数持平，均为0万元。主要原因是本单位 2024年度未发生公务车购置费。</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公务车运行维护费0万元，费用支出与年初预算数持平，均为0万元。与上年支出数持平，均为0万元。主要原因是本单位 2024年度未发生公务车运行维护费。</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公务接待费0万元，费用支出与年初预算数持平，均为0万元。与上年支出数持平，均为0万元。主要原因是本单位 2024年度未发生公务接待费。</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52" w:firstLineChars="2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default" w:ascii="Times New Roman" w:hAnsi="方正楷体_GBK" w:eastAsia="方正楷体_GBK" w:cs="方正楷体_GBK"/>
          <w:b w:val="0"/>
          <w:bCs w:val="0"/>
          <w:sz w:val="32"/>
          <w:szCs w:val="32"/>
          <w:shd w:val="clear" w:color="auto" w:fill="FFFFFF"/>
          <w:lang w:val="en-US" w:eastAsia="zh-CN" w:bidi="ar-SA"/>
        </w:rPr>
        <w:t>（三）“三公”经费实物量情况</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 xml:space="preserve">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jc w:val="both"/>
        <w:textAlignment w:val="auto"/>
        <w:rPr>
          <w:rStyle w:val="13"/>
          <w:rFonts w:hint="default" w:ascii="Times New Roman" w:hAnsi="Times New Roman" w:eastAsia="方正仿宋_GBK" w:cs="Times New Roman"/>
          <w:b w:val="0"/>
          <w:bCs w:val="0"/>
          <w:sz w:val="32"/>
          <w:szCs w:val="32"/>
          <w:shd w:val="clear" w:color="auto" w:fill="FFFFFF"/>
        </w:rPr>
      </w:pPr>
      <w:r>
        <w:rPr>
          <w:rStyle w:val="13"/>
          <w:rFonts w:hint="default" w:ascii="Times New Roman" w:hAnsi="方正黑体_GBK" w:eastAsia="方正黑体_GBK" w:cs="方正黑体_GBK"/>
          <w:b w:val="0"/>
          <w:bCs w:val="0"/>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Style w:val="13"/>
          <w:rFonts w:hint="default" w:ascii="Times New Roman" w:hAnsi="方正楷体_GBK" w:eastAsia="方正楷体_GBK" w:cs="方正楷体_GBK"/>
          <w:b w:val="0"/>
          <w:bCs w:val="0"/>
          <w:sz w:val="32"/>
          <w:szCs w:val="32"/>
          <w:shd w:val="clear" w:color="auto" w:fill="FFFFFF"/>
          <w:lang w:val="en-US" w:eastAsia="zh-CN" w:bidi="ar-SA"/>
        </w:rPr>
        <w:t>（一）财政拨款会议费、培训费和差旅费情况说明</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 xml:space="preserve">本年度会议费支出与上年持平，均为0万元，主要原因是本单位 </w:t>
      </w:r>
      <w:r>
        <w:rPr>
          <w:rFonts w:hint="eastAsia" w:ascii="Times New Roman" w:hAnsi="Times New Roman" w:eastAsia="方正仿宋_GBK" w:cs="Times New Roman"/>
          <w:b w:val="0"/>
          <w:bCs w:val="0"/>
          <w:color w:val="000000"/>
          <w:kern w:val="0"/>
          <w:sz w:val="32"/>
          <w:szCs w:val="32"/>
          <w:lang w:val="en-US" w:eastAsia="zh-CN" w:bidi="ar-SA"/>
        </w:rPr>
        <w:t>2,024 年</w:t>
      </w:r>
      <w:r>
        <w:rPr>
          <w:rFonts w:hint="default" w:ascii="Times New Roman" w:hAnsi="Times New Roman" w:eastAsia="方正仿宋_GBK" w:cs="Times New Roman"/>
          <w:b w:val="0"/>
          <w:bCs w:val="0"/>
          <w:color w:val="000000"/>
          <w:kern w:val="0"/>
          <w:sz w:val="32"/>
          <w:szCs w:val="32"/>
          <w:lang w:val="en-US" w:eastAsia="zh-CN" w:bidi="ar-SA"/>
        </w:rPr>
        <w:t>度未发生会议费。本年度培训费支出3.08万元，与2023年度相比，增加0.66万元，增长27.3%，主要原因是上级单位对教师的各种培训相应增加，培训费增加。本年度差旅费支出1.59万元，与2023年度相比，减少0.38万元，下降19.3%，主要原因是教师减少，出差人员减少及各种出差打包，所以费用有所减少。</w:t>
      </w:r>
    </w:p>
    <w:p>
      <w:pPr>
        <w:pStyle w:val="14"/>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6" w:lineRule="exact"/>
        <w:ind w:left="240" w:leftChars="0" w:firstLine="326" w:firstLineChars="1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eastAsia" w:ascii="Times New Roman" w:hAnsi="方正楷体_GBK" w:eastAsia="方正楷体_GBK" w:cs="方正楷体_GBK"/>
          <w:b w:val="0"/>
          <w:bCs w:val="0"/>
          <w:sz w:val="32"/>
          <w:szCs w:val="32"/>
          <w:shd w:val="clear" w:color="auto" w:fill="FFFFFF"/>
          <w:lang w:val="en-US" w:eastAsia="zh-CN" w:bidi="ar-SA"/>
        </w:rPr>
        <w:t>（二）</w:t>
      </w:r>
      <w:r>
        <w:rPr>
          <w:rStyle w:val="13"/>
          <w:rFonts w:hint="default" w:ascii="Times New Roman" w:hAnsi="方正楷体_GBK" w:eastAsia="方正楷体_GBK" w:cs="方正楷体_GBK"/>
          <w:b w:val="0"/>
          <w:bCs w:val="0"/>
          <w:sz w:val="32"/>
          <w:szCs w:val="32"/>
          <w:shd w:val="clear" w:color="auto" w:fill="FFFFFF"/>
          <w:lang w:val="en-US" w:eastAsia="zh-CN" w:bidi="ar-SA"/>
        </w:rPr>
        <w:t>机关运行经费情况说明</w:t>
      </w:r>
    </w:p>
    <w:p>
      <w:pPr>
        <w:pStyle w:val="1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Autospacing="0" w:line="576" w:lineRule="exact"/>
        <w:ind w:left="0" w:firstLine="652"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按照部门决算列报口径，我单位不在机关运行经费统计范围之内。</w:t>
      </w:r>
    </w:p>
    <w:p>
      <w:pPr>
        <w:pStyle w:val="14"/>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6" w:lineRule="exact"/>
        <w:ind w:left="240" w:leftChars="0" w:firstLine="326" w:firstLineChars="1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eastAsia" w:ascii="Times New Roman" w:hAnsi="方正楷体_GBK" w:eastAsia="方正楷体_GBK" w:cs="方正楷体_GBK"/>
          <w:b w:val="0"/>
          <w:bCs w:val="0"/>
          <w:sz w:val="32"/>
          <w:szCs w:val="32"/>
          <w:shd w:val="clear" w:color="auto" w:fill="FFFFFF"/>
          <w:lang w:val="en-US" w:eastAsia="zh-CN" w:bidi="ar-SA"/>
        </w:rPr>
        <w:t>（三）</w:t>
      </w:r>
      <w:r>
        <w:rPr>
          <w:rStyle w:val="13"/>
          <w:rFonts w:hint="default" w:ascii="Times New Roman" w:hAnsi="方正楷体_GBK" w:eastAsia="方正楷体_GBK" w:cs="方正楷体_GBK"/>
          <w:b w:val="0"/>
          <w:bCs w:val="0"/>
          <w:sz w:val="32"/>
          <w:szCs w:val="32"/>
          <w:shd w:val="clear" w:color="auto" w:fill="FFFFFF"/>
          <w:lang w:val="en-US" w:eastAsia="zh-CN" w:bidi="ar-SA"/>
        </w:rPr>
        <w:t>国有资产占用情况说明</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截至</w:t>
      </w:r>
      <w:r>
        <w:rPr>
          <w:rFonts w:hint="eastAsia" w:ascii="Times New Roman" w:hAnsi="Times New Roman" w:eastAsia="方正仿宋_GBK" w:cs="Times New Roman"/>
          <w:b w:val="0"/>
          <w:bCs w:val="0"/>
          <w:color w:val="000000"/>
          <w:kern w:val="0"/>
          <w:sz w:val="32"/>
          <w:szCs w:val="32"/>
          <w:lang w:val="en-US" w:eastAsia="zh-CN" w:bidi="ar-SA"/>
        </w:rPr>
        <w:t>2,024年1</w:t>
      </w:r>
      <w:r>
        <w:rPr>
          <w:rFonts w:hint="default" w:ascii="Times New Roman" w:hAnsi="Times New Roman" w:eastAsia="方正仿宋_GBK" w:cs="Times New Roman"/>
          <w:b w:val="0"/>
          <w:bCs w:val="0"/>
          <w:color w:val="000000"/>
          <w:kern w:val="0"/>
          <w:sz w:val="32"/>
          <w:szCs w:val="32"/>
          <w:lang w:val="en-US" w:eastAsia="zh-CN" w:bidi="ar-SA"/>
        </w:rPr>
        <w:t>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6" w:lineRule="exact"/>
        <w:ind w:left="240" w:leftChars="0" w:firstLine="326" w:firstLineChars="1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eastAsia" w:ascii="Times New Roman" w:hAnsi="方正楷体_GBK" w:eastAsia="方正楷体_GBK" w:cs="方正楷体_GBK"/>
          <w:b w:val="0"/>
          <w:bCs w:val="0"/>
          <w:sz w:val="32"/>
          <w:szCs w:val="32"/>
          <w:shd w:val="clear" w:color="auto" w:fill="FFFFFF"/>
          <w:lang w:val="en-US" w:eastAsia="zh-CN" w:bidi="ar-SA"/>
        </w:rPr>
        <w:t>（四）</w:t>
      </w:r>
      <w:r>
        <w:rPr>
          <w:rStyle w:val="13"/>
          <w:rFonts w:hint="default" w:ascii="Times New Roman" w:hAnsi="方正楷体_GBK" w:eastAsia="方正楷体_GBK" w:cs="方正楷体_GBK"/>
          <w:b w:val="0"/>
          <w:bCs w:val="0"/>
          <w:sz w:val="32"/>
          <w:szCs w:val="32"/>
          <w:shd w:val="clear" w:color="auto" w:fill="FFFFFF"/>
          <w:lang w:val="en-US" w:eastAsia="zh-CN" w:bidi="ar-SA"/>
        </w:rPr>
        <w:t>政府采购支出情况说明</w:t>
      </w:r>
    </w:p>
    <w:p>
      <w:pPr>
        <w:pStyle w:val="9"/>
        <w:keepNext w:val="0"/>
        <w:keepLines w:val="0"/>
        <w:pageBreakBefore w:val="0"/>
        <w:kinsoku/>
        <w:wordWrap/>
        <w:overflowPunct/>
        <w:topLinePunct w:val="0"/>
        <w:autoSpaceDN/>
        <w:bidi w:val="0"/>
        <w:snapToGrid w:val="0"/>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2024年度我</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未发生政府采购事项，无相关经费支</w:t>
      </w:r>
      <w:r>
        <w:rPr>
          <w:rFonts w:hint="default" w:ascii="Times New Roman" w:hAnsi="Times New Roman" w:eastAsia="方正仿宋_GBK" w:cs="Times New Roman"/>
          <w:b w:val="0"/>
          <w:bCs w:val="0"/>
          <w:sz w:val="32"/>
          <w:szCs w:val="32"/>
          <w:shd w:val="clear" w:color="auto" w:fill="FFFFFF"/>
          <w:lang w:eastAsia="zh-CN"/>
        </w:rPr>
        <w:t>出。</w:t>
      </w:r>
    </w:p>
    <w:p>
      <w:pPr>
        <w:tabs>
          <w:tab w:val="left" w:pos="1045"/>
        </w:tabs>
        <w:bidi w:val="0"/>
        <w:ind w:firstLine="652" w:firstLineChars="200"/>
        <w:jc w:val="left"/>
        <w:rPr>
          <w:rStyle w:val="13"/>
          <w:rFonts w:hint="default" w:ascii="Times New Roman" w:hAnsi="Times New Roman" w:eastAsia="方正仿宋_GBK" w:cs="Times New Roman"/>
          <w:b w:val="0"/>
          <w:bCs w:val="0"/>
          <w:sz w:val="32"/>
          <w:szCs w:val="32"/>
          <w:shd w:val="clear" w:color="auto" w:fill="FFFFFF"/>
          <w:lang w:val="en-US" w:eastAsia="zh-CN" w:bidi="ar-SA"/>
        </w:rPr>
      </w:pPr>
      <w:r>
        <w:rPr>
          <w:rStyle w:val="13"/>
          <w:rFonts w:hint="eastAsia" w:ascii="Times New Roman" w:hAnsi="方正黑体_GBK" w:eastAsia="方正黑体_GBK" w:cs="方正黑体_GBK"/>
          <w:b w:val="0"/>
          <w:bCs w:val="0"/>
          <w:sz w:val="32"/>
          <w:szCs w:val="32"/>
          <w:shd w:val="clear" w:color="auto" w:fill="FFFFFF"/>
          <w:lang w:val="en-US" w:eastAsia="zh-CN" w:bidi="ar-SA"/>
        </w:rPr>
        <w:t>五、2024年度预算绩效管理情况说明</w:t>
      </w:r>
    </w:p>
    <w:p>
      <w:pPr>
        <w:pStyle w:val="14"/>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6" w:lineRule="exact"/>
        <w:ind w:left="240" w:leftChars="0" w:firstLine="326" w:firstLineChars="100"/>
        <w:jc w:val="both"/>
        <w:textAlignment w:val="auto"/>
        <w:rPr>
          <w:rStyle w:val="13"/>
          <w:rFonts w:hint="default" w:ascii="Times New Roman" w:hAnsi="方正楷体_GBK" w:eastAsia="方正楷体_GBK" w:cs="方正楷体_GBK"/>
          <w:b w:val="0"/>
          <w:bCs w:val="0"/>
          <w:sz w:val="32"/>
          <w:szCs w:val="32"/>
          <w:shd w:val="clear" w:color="auto" w:fill="FFFFFF"/>
          <w:lang w:val="en-US" w:eastAsia="zh-CN" w:bidi="ar-SA"/>
        </w:rPr>
      </w:pPr>
      <w:r>
        <w:rPr>
          <w:rStyle w:val="13"/>
          <w:rFonts w:hint="default" w:ascii="Times New Roman" w:hAnsi="方正楷体_GBK" w:eastAsia="方正楷体_GBK" w:cs="方正楷体_GBK"/>
          <w:b w:val="0"/>
          <w:bCs w:val="0"/>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Autospacing="0" w:line="576" w:lineRule="exact"/>
        <w:ind w:firstLine="652"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根据预算绩效管理要求，我单位对11个二级项目开展了绩效自评，涉及财政拨款项目支出资金26.11万元，均在优秀等级以上。</w:t>
      </w:r>
    </w:p>
    <w:p>
      <w:pPr>
        <w:pStyle w:val="15"/>
        <w:spacing w:before="0" w:beforeAutospacing="0" w:after="0" w:afterAutospacing="0" w:line="576" w:lineRule="exact"/>
        <w:ind w:firstLine="652" w:firstLineChars="200"/>
        <w:rPr>
          <w:rFonts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项目支出绩效自评表（详见附件）</w:t>
      </w:r>
    </w:p>
    <w:p>
      <w:pPr>
        <w:pStyle w:val="15"/>
        <w:autoSpaceDE w:val="0"/>
        <w:spacing w:before="0" w:beforeAutospacing="0" w:after="0" w:afterAutospacing="0" w:line="576" w:lineRule="exact"/>
        <w:ind w:firstLine="652" w:firstLineChars="200"/>
        <w:rPr>
          <w:rFonts w:ascii="Times New Roman" w:hAnsi="方正楷体_GBK" w:eastAsia="方正楷体_GBK" w:cs="方正楷体_GBK"/>
          <w:b w:val="0"/>
          <w:bCs w:val="0"/>
          <w:sz w:val="32"/>
          <w:szCs w:val="32"/>
          <w:shd w:val="clear" w:color="auto" w:fill="FFFFFF"/>
        </w:rPr>
      </w:pPr>
      <w:r>
        <w:rPr>
          <w:rFonts w:hint="eastAsia" w:ascii="Times New Roman" w:hAnsi="方正楷体_GBK" w:eastAsia="方正楷体_GBK" w:cs="方正楷体_GBK"/>
          <w:b w:val="0"/>
          <w:bCs w:val="0"/>
          <w:sz w:val="32"/>
          <w:szCs w:val="32"/>
          <w:shd w:val="clear" w:color="auto" w:fill="FFFFFF"/>
        </w:rPr>
        <w:t>（二）部门绩效评价情况</w:t>
      </w:r>
    </w:p>
    <w:p>
      <w:pPr>
        <w:pStyle w:val="20"/>
        <w:autoSpaceDE w:val="0"/>
        <w:spacing w:line="576" w:lineRule="exact"/>
        <w:ind w:firstLine="640"/>
        <w:rPr>
          <w:rFonts w:hint="default" w:ascii="Times New Roman" w:hAnsi="方正仿宋_GBK" w:eastAsia="方正仿宋_GBK" w:cs="方正仿宋_GBK"/>
          <w:b w:val="0"/>
          <w:bCs w:val="0"/>
          <w:sz w:val="32"/>
          <w:szCs w:val="32"/>
          <w:shd w:val="clear" w:color="auto" w:fill="FFFFFF"/>
        </w:rPr>
      </w:pPr>
      <w:r>
        <w:rPr>
          <w:rFonts w:hint="eastAsia" w:hAnsi="方正仿宋_GBK" w:eastAsia="方正仿宋_GBK" w:cs="方正仿宋_GBK"/>
          <w:b w:val="0"/>
          <w:bCs w:val="0"/>
          <w:sz w:val="32"/>
          <w:szCs w:val="32"/>
          <w:shd w:val="clear" w:color="auto" w:fill="FFFFFF"/>
          <w:lang w:eastAsia="zh-CN"/>
        </w:rPr>
        <w:t>区教委</w:t>
      </w:r>
      <w:r>
        <w:rPr>
          <w:rFonts w:ascii="Times New Roman" w:hAnsi="方正仿宋_GBK" w:eastAsia="方正仿宋_GBK" w:cs="方正仿宋_GBK"/>
          <w:b w:val="0"/>
          <w:bCs w:val="0"/>
          <w:sz w:val="32"/>
          <w:szCs w:val="32"/>
          <w:shd w:val="clear" w:color="auto" w:fill="FFFFFF"/>
        </w:rPr>
        <w:t>未委托第三方对</w:t>
      </w:r>
      <w:r>
        <w:rPr>
          <w:rFonts w:hint="eastAsia" w:hAnsi="方正仿宋_GBK" w:eastAsia="方正仿宋_GBK" w:cs="方正仿宋_GBK"/>
          <w:b w:val="0"/>
          <w:bCs w:val="0"/>
          <w:sz w:val="32"/>
          <w:szCs w:val="32"/>
          <w:shd w:val="clear" w:color="auto" w:fill="FFFFFF"/>
          <w:lang w:eastAsia="zh-CN"/>
        </w:rPr>
        <w:t>本单位</w:t>
      </w:r>
      <w:r>
        <w:rPr>
          <w:rFonts w:ascii="Times New Roman" w:hAnsi="方正仿宋_GBK" w:eastAsia="方正仿宋_GBK" w:cs="方正仿宋_GBK"/>
          <w:b w:val="0"/>
          <w:bCs w:val="0"/>
          <w:sz w:val="32"/>
          <w:szCs w:val="32"/>
          <w:shd w:val="clear" w:color="auto" w:fill="FFFFFF"/>
        </w:rPr>
        <w:t>项目开展绩效评价。</w:t>
      </w:r>
    </w:p>
    <w:p>
      <w:pPr>
        <w:pStyle w:val="20"/>
        <w:autoSpaceDE w:val="0"/>
        <w:spacing w:line="576" w:lineRule="exact"/>
        <w:ind w:firstLine="643"/>
        <w:rPr>
          <w:rFonts w:hint="default" w:ascii="Times New Roman" w:hAnsi="方正仿宋_GBK" w:eastAsia="方正仿宋_GBK" w:cs="方正仿宋_GBK"/>
          <w:b w:val="0"/>
          <w:bCs w:val="0"/>
          <w:sz w:val="32"/>
          <w:szCs w:val="32"/>
          <w:shd w:val="clear" w:color="auto" w:fill="FFFFFF"/>
        </w:rPr>
      </w:pPr>
      <w:r>
        <w:rPr>
          <w:rFonts w:ascii="Times New Roman" w:hAnsi="方正楷体_GBK" w:eastAsia="方正楷体_GBK" w:cs="方正楷体_GBK"/>
          <w:b w:val="0"/>
          <w:bCs w:val="0"/>
          <w:sz w:val="32"/>
          <w:szCs w:val="32"/>
          <w:shd w:val="clear" w:color="auto" w:fill="FFFFFF"/>
          <w:lang w:bidi="ar"/>
        </w:rPr>
        <w:t>（三）财政绩效评价情况</w:t>
      </w:r>
    </w:p>
    <w:p>
      <w:pPr>
        <w:pStyle w:val="20"/>
        <w:autoSpaceDE w:val="0"/>
        <w:spacing w:line="576" w:lineRule="exact"/>
        <w:ind w:firstLine="640"/>
        <w:rPr>
          <w:rFonts w:hint="default" w:ascii="Times New Roman" w:hAnsi="方正仿宋_GBK" w:eastAsia="方正仿宋_GBK" w:cs="方正仿宋_GBK"/>
          <w:b w:val="0"/>
          <w:bCs w:val="0"/>
          <w:sz w:val="32"/>
          <w:szCs w:val="32"/>
          <w:shd w:val="clear" w:color="auto" w:fill="FFFFFF"/>
        </w:rPr>
      </w:pPr>
      <w:r>
        <w:rPr>
          <w:rFonts w:ascii="Times New Roman" w:hAnsi="方正仿宋_GBK" w:eastAsia="方正仿宋_GBK" w:cs="方正仿宋_GBK"/>
          <w:b w:val="0"/>
          <w:bCs w:val="0"/>
          <w:sz w:val="32"/>
          <w:szCs w:val="32"/>
          <w:shd w:val="clear" w:color="auto" w:fill="FFFFFF"/>
        </w:rPr>
        <w:t>区财政局未委托第三方对</w:t>
      </w:r>
      <w:r>
        <w:rPr>
          <w:rFonts w:hint="eastAsia" w:hAnsi="方正仿宋_GBK" w:eastAsia="方正仿宋_GBK" w:cs="方正仿宋_GBK"/>
          <w:b w:val="0"/>
          <w:bCs w:val="0"/>
          <w:sz w:val="32"/>
          <w:szCs w:val="32"/>
          <w:shd w:val="clear" w:color="auto" w:fill="FFFFFF"/>
          <w:lang w:eastAsia="zh-CN"/>
        </w:rPr>
        <w:t>本单位</w:t>
      </w:r>
      <w:r>
        <w:rPr>
          <w:rFonts w:ascii="Times New Roman" w:hAnsi="方正仿宋_GBK" w:eastAsia="方正仿宋_GBK" w:cs="方正仿宋_GBK"/>
          <w:b w:val="0"/>
          <w:bCs w:val="0"/>
          <w:sz w:val="32"/>
          <w:szCs w:val="32"/>
          <w:shd w:val="clear" w:color="auto" w:fill="FFFFFF"/>
        </w:rPr>
        <w:t>项目开展绩效评价。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jc w:val="both"/>
        <w:textAlignment w:val="auto"/>
        <w:rPr>
          <w:rFonts w:hint="default" w:ascii="Times New Roman" w:hAnsi="Times New Roman" w:eastAsia="方正仿宋_GBK" w:cs="Times New Roman"/>
          <w:b w:val="0"/>
          <w:bCs w:val="0"/>
          <w:kern w:val="0"/>
          <w:sz w:val="32"/>
          <w:szCs w:val="32"/>
        </w:rPr>
      </w:pPr>
      <w:r>
        <w:rPr>
          <w:rStyle w:val="16"/>
          <w:rFonts w:hint="default" w:ascii="Times New Roman" w:hAnsi="Times New Roman" w:eastAsia="方正仿宋_GBK" w:cs="Times New Roman"/>
          <w:b w:val="0"/>
          <w:bCs w:val="0"/>
          <w:sz w:val="32"/>
          <w:szCs w:val="32"/>
          <w:shd w:val="clear" w:fill="FFFFFF"/>
        </w:rPr>
        <w:t xml:space="preserve"> </w:t>
      </w:r>
      <w:r>
        <w:rPr>
          <w:rStyle w:val="16"/>
          <w:rFonts w:hint="default" w:ascii="Times New Roman" w:hAnsi="Times New Roman" w:eastAsia="方正仿宋_GBK" w:cs="Times New Roman"/>
          <w:b w:val="0"/>
          <w:bCs w:val="0"/>
          <w:sz w:val="32"/>
          <w:szCs w:val="32"/>
          <w:shd w:val="clear" w:fill="FFFFFF"/>
          <w:lang w:val="en-US" w:eastAsia="zh-CN"/>
        </w:rPr>
        <w:t xml:space="preserve">  </w:t>
      </w:r>
      <w:r>
        <w:rPr>
          <w:rStyle w:val="13"/>
          <w:rFonts w:hint="default" w:ascii="Times New Roman" w:hAnsi="方正黑体_GBK" w:eastAsia="方正黑体_GBK" w:cs="方正黑体_GBK"/>
          <w:b w:val="0"/>
          <w:bCs w:val="0"/>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（五）使用非财政拨款结余（含专用结余）：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（十四）工资福利支出：</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（十五）商品和服务支出：</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eastAsia" w:ascii="Times New Roman" w:hAnsi="方正楷体_GBK" w:eastAsia="方正楷体_GBK" w:cs="方正楷体_GBK"/>
          <w:b w:val="0"/>
          <w:bCs w:val="0"/>
          <w:sz w:val="32"/>
          <w:szCs w:val="32"/>
          <w:shd w:val="clear" w:color="auto" w:fill="FFFFFF"/>
          <w:lang w:val="en-US" w:eastAsia="zh-CN" w:bidi="ar-SA"/>
        </w:rPr>
        <w:t>（十六）对个人和家庭的补助：</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楷体_GBK" w:eastAsia="方正楷体_GBK" w:cs="方正楷体_GBK"/>
          <w:b w:val="0"/>
          <w:bCs w:val="0"/>
          <w:sz w:val="32"/>
          <w:szCs w:val="32"/>
          <w:shd w:val="clear" w:color="auto" w:fill="FFFFFF"/>
          <w:lang w:val="en-US" w:eastAsia="zh-CN" w:bidi="ar-SA"/>
        </w:rPr>
        <w:t>（十七）其他资本性支出：</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方正黑体_GBK" w:eastAsia="方正黑体_GBK" w:cs="方正黑体_GBK"/>
          <w:b w:val="0"/>
          <w:bCs w:val="0"/>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52" w:firstLineChars="200"/>
        <w:jc w:val="both"/>
        <w:textAlignment w:val="auto"/>
        <w:rPr>
          <w:rFonts w:hint="eastAsia" w:ascii="Times New Roman" w:hAnsi="方正仿宋_GBK" w:eastAsia="方正仿宋_GBK" w:cs="方正仿宋_GBK"/>
          <w:b w:val="0"/>
          <w:bCs w:val="0"/>
          <w:sz w:val="32"/>
          <w:szCs w:val="32"/>
          <w:lang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023-</w:t>
      </w:r>
      <w:r>
        <w:rPr>
          <w:rFonts w:hint="eastAsia"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488265</w:t>
      </w:r>
      <w:r>
        <w:rPr>
          <w:rFonts w:hint="default"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18</w:t>
      </w:r>
      <w:bookmarkStart w:id="0" w:name="_GoBack"/>
      <w:bookmarkEnd w:id="0"/>
    </w:p>
    <w:sectPr>
      <w:headerReference r:id="rId3" w:type="default"/>
      <w:footerReference r:id="rId4" w:type="default"/>
      <w:pgSz w:w="11905" w:h="16838"/>
      <w:pgMar w:top="2098" w:right="1474" w:bottom="1984" w:left="1587" w:header="850" w:footer="1049" w:gutter="0"/>
      <w:pgNumType w:fmt="numberInDash"/>
      <w:cols w:space="0" w:num="1"/>
      <w:rtlGutter w:val="0"/>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71" w:lineRule="auto"/>
      <w:jc w:val="both"/>
      <w:rPr>
        <w:rFonts w:hint="default" w:ascii="Times New Roman"/>
        <w:sz w:val="28"/>
      </w:rPr>
    </w:pPr>
    <w:r>
      <w:rPr>
        <w:rFonts w:hint="default" w:ascii="Times New Roman"/>
        <w:sz w:val="28"/>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ascii="Times New Roman" w:hAnsi="Times New Roman" w:eastAsia="Times New Roman" w:cs="Times New Roman"/>
                              <w:b w:val="0"/>
                              <w:bCs w:val="0"/>
                            </w:rPr>
                          </w:pP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rPr>
                            <w:fldChar w:fldCharType="begin"/>
                          </w:r>
                          <w:r>
                            <w:rPr>
                              <w:rFonts w:ascii="Times New Roman" w:hAnsi="Times New Roman" w:eastAsia="Times New Roman" w:cs="Times New Roman"/>
                              <w:b w:val="0"/>
                              <w:bCs w:val="0"/>
                            </w:rPr>
                            <w:instrText xml:space="preserve">PAGE   \* MERGEFORMAT</w:instrText>
                          </w:r>
                          <w:r>
                            <w:rPr>
                              <w:rFonts w:ascii="Times New Roman" w:hAnsi="Times New Roman" w:eastAsia="Times New Roman" w:cs="Times New Roman"/>
                              <w:b w:val="0"/>
                              <w:bCs w:val="0"/>
                            </w:rPr>
                            <w:fldChar w:fldCharType="separate"/>
                          </w:r>
                          <w:r>
                            <w:rPr>
                              <w:rFonts w:hint="default" w:ascii="Times New Roman" w:hAnsi="Times New Roman" w:eastAsia="Times New Roman" w:cs="Times New Roman"/>
                              <w:b w:val="0"/>
                              <w:bCs w:val="0"/>
                              <w:lang w:val="zh-CN"/>
                            </w:rPr>
                            <w:t>-</w:t>
                          </w:r>
                          <w:r>
                            <w:rPr>
                              <w:rFonts w:hint="default" w:ascii="Times New Roman" w:hAnsi="Times New Roman" w:eastAsia="Times New Roman" w:cs="Times New Roman"/>
                              <w:b w:val="0"/>
                              <w:bCs w:val="0"/>
                            </w:rPr>
                            <w:t xml:space="preserve"> 31 -</w:t>
                          </w:r>
                          <w:r>
                            <w:rPr>
                              <w:rFonts w:ascii="Times New Roman" w:hAnsi="Times New Roman" w:eastAsia="Times New Roman" w:cs="Times New Roman"/>
                              <w:b w:val="0"/>
                              <w:bCs w:val="0"/>
                            </w:rPr>
                            <w:fldChar w:fldCharType="end"/>
                          </w:r>
                          <w:r>
                            <w:rPr>
                              <w:rFonts w:ascii="Times New Roman" w:hAnsi="Times New Roman" w:eastAsia="Times New Roman" w:cs="Times New Roman"/>
                              <w:b w:val="0"/>
                              <w:bCs w:val="0"/>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eastAsia="Times New Roman" w:cs="Times New Roman"/>
                        <w:b w:val="0"/>
                        <w:bCs w:val="0"/>
                      </w:rPr>
                    </w:pP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rPr>
                      <w:fldChar w:fldCharType="begin"/>
                    </w:r>
                    <w:r>
                      <w:rPr>
                        <w:rFonts w:ascii="Times New Roman" w:hAnsi="Times New Roman" w:eastAsia="Times New Roman" w:cs="Times New Roman"/>
                        <w:b w:val="0"/>
                        <w:bCs w:val="0"/>
                      </w:rPr>
                      <w:instrText xml:space="preserve">PAGE   \* MERGEFORMAT</w:instrText>
                    </w:r>
                    <w:r>
                      <w:rPr>
                        <w:rFonts w:ascii="Times New Roman" w:hAnsi="Times New Roman" w:eastAsia="Times New Roman" w:cs="Times New Roman"/>
                        <w:b w:val="0"/>
                        <w:bCs w:val="0"/>
                      </w:rPr>
                      <w:fldChar w:fldCharType="separate"/>
                    </w:r>
                    <w:r>
                      <w:rPr>
                        <w:rFonts w:hint="default" w:ascii="Times New Roman" w:hAnsi="Times New Roman" w:eastAsia="Times New Roman" w:cs="Times New Roman"/>
                        <w:b w:val="0"/>
                        <w:bCs w:val="0"/>
                        <w:lang w:val="zh-CN"/>
                      </w:rPr>
                      <w:t>-</w:t>
                    </w:r>
                    <w:r>
                      <w:rPr>
                        <w:rFonts w:hint="default" w:ascii="Times New Roman" w:hAnsi="Times New Roman" w:eastAsia="Times New Roman" w:cs="Times New Roman"/>
                        <w:b w:val="0"/>
                        <w:bCs w:val="0"/>
                      </w:rPr>
                      <w:t xml:space="preserve"> 31 -</w:t>
                    </w:r>
                    <w:r>
                      <w:rPr>
                        <w:rFonts w:ascii="Times New Roman" w:hAnsi="Times New Roman" w:eastAsia="Times New Roman" w:cs="Times New Roman"/>
                        <w:b w:val="0"/>
                        <w:bCs w:val="0"/>
                      </w:rPr>
                      <w:fldChar w:fldCharType="end"/>
                    </w:r>
                    <w:r>
                      <w:rPr>
                        <w:rFonts w:ascii="Times New Roman" w:hAnsi="Times New Roman" w:eastAsia="Times New Roman" w:cs="Times New Roman"/>
                        <w:b w:val="0"/>
                        <w:bCs w:val="0"/>
                      </w:rPr>
                      <w:t xml:space="preserve"> </w:t>
                    </w:r>
                  </w:p>
                </w:txbxContent>
              </v:textbox>
            </v:shape>
          </w:pict>
        </mc:Fallback>
      </mc:AlternateContent>
    </w:r>
    <w:r>
      <w:rPr>
        <w:rFonts w:hint="default" w:ascii="Times New Roman"/>
        <w:sz w:val="28"/>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ascii="Times New Roman" w:cs="宋体"/>
                            </w:rPr>
                          </w:pPr>
                          <w:r>
                            <w:rPr>
                              <w:rFonts w:ascii="Times New Roman"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ascii="Times New Roman" w:cs="宋体"/>
                      </w:rPr>
                    </w:pPr>
                    <w:r>
                      <w:rPr>
                        <w:rFonts w:ascii="Times New Roman"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241"/>
  <w:drawingGridVerticalSpacing w:val="290"/>
  <w:displayHorizontalDrawingGridEvery w:val="1"/>
  <w:displayVerticalDrawingGridEvery w:val="2"/>
  <w:noPunctuationKerning w:val="true"/>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Q0MTAyOWZhMzVkM2E3N2UyZWIzYzNkYjhiZmU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E72AE"/>
    <w:rsid w:val="00CF2ACF"/>
    <w:rsid w:val="00D03AAF"/>
    <w:rsid w:val="00DD0539"/>
    <w:rsid w:val="00E07662"/>
    <w:rsid w:val="00E368E9"/>
    <w:rsid w:val="00ED3BD8"/>
    <w:rsid w:val="00EE1E33"/>
    <w:rsid w:val="00F73F90"/>
    <w:rsid w:val="00FB4B3B"/>
    <w:rsid w:val="01474EBF"/>
    <w:rsid w:val="01995B0E"/>
    <w:rsid w:val="01F3521E"/>
    <w:rsid w:val="02105DD0"/>
    <w:rsid w:val="02313F99"/>
    <w:rsid w:val="03B87EA0"/>
    <w:rsid w:val="03E3214F"/>
    <w:rsid w:val="044C50BA"/>
    <w:rsid w:val="05BC6D49"/>
    <w:rsid w:val="06194FF1"/>
    <w:rsid w:val="06A25465"/>
    <w:rsid w:val="06A2550B"/>
    <w:rsid w:val="06F80EE2"/>
    <w:rsid w:val="07001CCA"/>
    <w:rsid w:val="075678DB"/>
    <w:rsid w:val="077B465F"/>
    <w:rsid w:val="079D7CC7"/>
    <w:rsid w:val="08051BCA"/>
    <w:rsid w:val="086C12F4"/>
    <w:rsid w:val="08705944"/>
    <w:rsid w:val="08BA052C"/>
    <w:rsid w:val="08DB07BA"/>
    <w:rsid w:val="095C7B4D"/>
    <w:rsid w:val="0969353F"/>
    <w:rsid w:val="098305D0"/>
    <w:rsid w:val="09B1218B"/>
    <w:rsid w:val="0A3317EA"/>
    <w:rsid w:val="0A5C4B69"/>
    <w:rsid w:val="0A86124A"/>
    <w:rsid w:val="0AB54CC0"/>
    <w:rsid w:val="0B3F3282"/>
    <w:rsid w:val="0B505490"/>
    <w:rsid w:val="0B9335CE"/>
    <w:rsid w:val="0BD21A9F"/>
    <w:rsid w:val="0BF2311A"/>
    <w:rsid w:val="0C6D3E1F"/>
    <w:rsid w:val="0C7927C4"/>
    <w:rsid w:val="0C9B098C"/>
    <w:rsid w:val="0D673E11"/>
    <w:rsid w:val="0DDA54E4"/>
    <w:rsid w:val="0E3A5F83"/>
    <w:rsid w:val="0EED1247"/>
    <w:rsid w:val="0F836721"/>
    <w:rsid w:val="0FA25D96"/>
    <w:rsid w:val="0FB51D65"/>
    <w:rsid w:val="1021564D"/>
    <w:rsid w:val="102B64CB"/>
    <w:rsid w:val="107B59E5"/>
    <w:rsid w:val="109220A6"/>
    <w:rsid w:val="10EC0126"/>
    <w:rsid w:val="10F70B9A"/>
    <w:rsid w:val="111445C7"/>
    <w:rsid w:val="114278C6"/>
    <w:rsid w:val="1158083A"/>
    <w:rsid w:val="11643A4B"/>
    <w:rsid w:val="11ED0F98"/>
    <w:rsid w:val="11F03528"/>
    <w:rsid w:val="122E5DFF"/>
    <w:rsid w:val="12C921C4"/>
    <w:rsid w:val="12E3308D"/>
    <w:rsid w:val="12E34E3B"/>
    <w:rsid w:val="12E52961"/>
    <w:rsid w:val="13871C70"/>
    <w:rsid w:val="13A71CB4"/>
    <w:rsid w:val="13AF1D43"/>
    <w:rsid w:val="13CC58CF"/>
    <w:rsid w:val="13CE1647"/>
    <w:rsid w:val="13FD55AB"/>
    <w:rsid w:val="14200702"/>
    <w:rsid w:val="14370EA1"/>
    <w:rsid w:val="15612611"/>
    <w:rsid w:val="163A6CEE"/>
    <w:rsid w:val="169C77DB"/>
    <w:rsid w:val="17345C65"/>
    <w:rsid w:val="173708E3"/>
    <w:rsid w:val="17C374FC"/>
    <w:rsid w:val="182E4AB6"/>
    <w:rsid w:val="189079DC"/>
    <w:rsid w:val="189B0D0B"/>
    <w:rsid w:val="18B43F7C"/>
    <w:rsid w:val="191C433B"/>
    <w:rsid w:val="194A1770"/>
    <w:rsid w:val="19B906A4"/>
    <w:rsid w:val="19CA0B03"/>
    <w:rsid w:val="1AB8095B"/>
    <w:rsid w:val="1B6F15B6"/>
    <w:rsid w:val="1B6F1962"/>
    <w:rsid w:val="1BAA2EDC"/>
    <w:rsid w:val="1C556DAA"/>
    <w:rsid w:val="1CA55E64"/>
    <w:rsid w:val="1D014A01"/>
    <w:rsid w:val="1D022362"/>
    <w:rsid w:val="1D1B04B0"/>
    <w:rsid w:val="1DA52501"/>
    <w:rsid w:val="1DBD6767"/>
    <w:rsid w:val="1DC52125"/>
    <w:rsid w:val="1DD26311"/>
    <w:rsid w:val="1E2C3521"/>
    <w:rsid w:val="1E374ACB"/>
    <w:rsid w:val="1E674B72"/>
    <w:rsid w:val="1ECF0A66"/>
    <w:rsid w:val="1EF67CA4"/>
    <w:rsid w:val="1F020D3A"/>
    <w:rsid w:val="1F2C5189"/>
    <w:rsid w:val="1F4B0B02"/>
    <w:rsid w:val="1FBB35CD"/>
    <w:rsid w:val="1FC85AE5"/>
    <w:rsid w:val="1FCD26AF"/>
    <w:rsid w:val="20642787"/>
    <w:rsid w:val="208C6B12"/>
    <w:rsid w:val="20FB77F4"/>
    <w:rsid w:val="21556F04"/>
    <w:rsid w:val="223854D0"/>
    <w:rsid w:val="22403BD3"/>
    <w:rsid w:val="22AD3177"/>
    <w:rsid w:val="231828DF"/>
    <w:rsid w:val="235417B6"/>
    <w:rsid w:val="235D6544"/>
    <w:rsid w:val="23606823"/>
    <w:rsid w:val="24B92327"/>
    <w:rsid w:val="24C14514"/>
    <w:rsid w:val="2533755C"/>
    <w:rsid w:val="25791755"/>
    <w:rsid w:val="25F969F8"/>
    <w:rsid w:val="26396DF4"/>
    <w:rsid w:val="2670658E"/>
    <w:rsid w:val="27167136"/>
    <w:rsid w:val="271B442C"/>
    <w:rsid w:val="27B23302"/>
    <w:rsid w:val="29310A5F"/>
    <w:rsid w:val="29C37A35"/>
    <w:rsid w:val="29F574D6"/>
    <w:rsid w:val="29FA6504"/>
    <w:rsid w:val="2A076083"/>
    <w:rsid w:val="2A4671D8"/>
    <w:rsid w:val="2A73162E"/>
    <w:rsid w:val="2B167953"/>
    <w:rsid w:val="2B200583"/>
    <w:rsid w:val="2B2729C0"/>
    <w:rsid w:val="2B8209DE"/>
    <w:rsid w:val="2B821C91"/>
    <w:rsid w:val="2BF81A22"/>
    <w:rsid w:val="2C636760"/>
    <w:rsid w:val="2C6762A3"/>
    <w:rsid w:val="2CFF1FBD"/>
    <w:rsid w:val="2D6225C6"/>
    <w:rsid w:val="2E6F20B3"/>
    <w:rsid w:val="2FCA4B37"/>
    <w:rsid w:val="2FE029D7"/>
    <w:rsid w:val="2FF06E00"/>
    <w:rsid w:val="30586FEC"/>
    <w:rsid w:val="30823A8E"/>
    <w:rsid w:val="315F0B22"/>
    <w:rsid w:val="31A15828"/>
    <w:rsid w:val="31D84415"/>
    <w:rsid w:val="32285F6F"/>
    <w:rsid w:val="32770556"/>
    <w:rsid w:val="329C0913"/>
    <w:rsid w:val="32AA0460"/>
    <w:rsid w:val="3337290D"/>
    <w:rsid w:val="3364747B"/>
    <w:rsid w:val="33E31118"/>
    <w:rsid w:val="33EF7674"/>
    <w:rsid w:val="342D7BC6"/>
    <w:rsid w:val="352930DB"/>
    <w:rsid w:val="35573069"/>
    <w:rsid w:val="355F6038"/>
    <w:rsid w:val="358C217E"/>
    <w:rsid w:val="36C9128A"/>
    <w:rsid w:val="376978F5"/>
    <w:rsid w:val="37841E99"/>
    <w:rsid w:val="37BF1123"/>
    <w:rsid w:val="383C3F15"/>
    <w:rsid w:val="386B1AC3"/>
    <w:rsid w:val="38BE4696"/>
    <w:rsid w:val="3939115E"/>
    <w:rsid w:val="39B82A39"/>
    <w:rsid w:val="39C42CA8"/>
    <w:rsid w:val="39DC4FD6"/>
    <w:rsid w:val="39F03D7A"/>
    <w:rsid w:val="39F33306"/>
    <w:rsid w:val="3A2C1C67"/>
    <w:rsid w:val="3A6A77C9"/>
    <w:rsid w:val="3ADD7F09"/>
    <w:rsid w:val="3B1705E5"/>
    <w:rsid w:val="3B18334B"/>
    <w:rsid w:val="3B36794F"/>
    <w:rsid w:val="3B6F6EE0"/>
    <w:rsid w:val="3C410359"/>
    <w:rsid w:val="3C566AD6"/>
    <w:rsid w:val="3C594871"/>
    <w:rsid w:val="3C6A5B02"/>
    <w:rsid w:val="3D0715A3"/>
    <w:rsid w:val="3D083B3A"/>
    <w:rsid w:val="3D134D9C"/>
    <w:rsid w:val="3D2757A1"/>
    <w:rsid w:val="3D3D4FC4"/>
    <w:rsid w:val="3D915310"/>
    <w:rsid w:val="3DDF3AB1"/>
    <w:rsid w:val="3E1D0952"/>
    <w:rsid w:val="3E42660A"/>
    <w:rsid w:val="3E4B54BF"/>
    <w:rsid w:val="3E7555B1"/>
    <w:rsid w:val="3E787ED9"/>
    <w:rsid w:val="3F032E93"/>
    <w:rsid w:val="3F0527E5"/>
    <w:rsid w:val="3F4C52C6"/>
    <w:rsid w:val="3F694D83"/>
    <w:rsid w:val="3F885DCC"/>
    <w:rsid w:val="3FCD675E"/>
    <w:rsid w:val="3FEC4A80"/>
    <w:rsid w:val="4004000C"/>
    <w:rsid w:val="400E6DA6"/>
    <w:rsid w:val="40760DD1"/>
    <w:rsid w:val="40BD5482"/>
    <w:rsid w:val="40DC68A2"/>
    <w:rsid w:val="411B6CE5"/>
    <w:rsid w:val="412070D7"/>
    <w:rsid w:val="41314E40"/>
    <w:rsid w:val="413606A8"/>
    <w:rsid w:val="418C02C8"/>
    <w:rsid w:val="41E0734B"/>
    <w:rsid w:val="426C1EA8"/>
    <w:rsid w:val="42736402"/>
    <w:rsid w:val="42E86A87"/>
    <w:rsid w:val="42ED123B"/>
    <w:rsid w:val="430420E0"/>
    <w:rsid w:val="43307B09"/>
    <w:rsid w:val="439A3EB9"/>
    <w:rsid w:val="43BB152F"/>
    <w:rsid w:val="445D419E"/>
    <w:rsid w:val="44C37687"/>
    <w:rsid w:val="45CB699A"/>
    <w:rsid w:val="45D60E05"/>
    <w:rsid w:val="46423C66"/>
    <w:rsid w:val="465B470D"/>
    <w:rsid w:val="469D6AD4"/>
    <w:rsid w:val="46D02A05"/>
    <w:rsid w:val="471E6C84"/>
    <w:rsid w:val="4748792B"/>
    <w:rsid w:val="475D719D"/>
    <w:rsid w:val="47674801"/>
    <w:rsid w:val="48225EF7"/>
    <w:rsid w:val="488F422B"/>
    <w:rsid w:val="48E36915"/>
    <w:rsid w:val="48EB6572"/>
    <w:rsid w:val="495C4A24"/>
    <w:rsid w:val="497135DF"/>
    <w:rsid w:val="4A263DF2"/>
    <w:rsid w:val="4A2F278B"/>
    <w:rsid w:val="4A6F6675"/>
    <w:rsid w:val="4B135857"/>
    <w:rsid w:val="4B683B54"/>
    <w:rsid w:val="4B7951CB"/>
    <w:rsid w:val="4B7C315C"/>
    <w:rsid w:val="4D1F53CA"/>
    <w:rsid w:val="4D534390"/>
    <w:rsid w:val="4DAC4ACA"/>
    <w:rsid w:val="4DBE01D2"/>
    <w:rsid w:val="4EFD467F"/>
    <w:rsid w:val="4F0C6BA3"/>
    <w:rsid w:val="4F186D58"/>
    <w:rsid w:val="4F416B96"/>
    <w:rsid w:val="4FA2515B"/>
    <w:rsid w:val="4FFE7F08"/>
    <w:rsid w:val="504B6EAA"/>
    <w:rsid w:val="50F06B6E"/>
    <w:rsid w:val="51064DCD"/>
    <w:rsid w:val="512B30F8"/>
    <w:rsid w:val="51D21804"/>
    <w:rsid w:val="52234D33"/>
    <w:rsid w:val="522602C5"/>
    <w:rsid w:val="522F6E0C"/>
    <w:rsid w:val="52463BA1"/>
    <w:rsid w:val="52911BE2"/>
    <w:rsid w:val="52EA10AA"/>
    <w:rsid w:val="52F163D4"/>
    <w:rsid w:val="531A2DB4"/>
    <w:rsid w:val="53650979"/>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C06AC6"/>
    <w:rsid w:val="5842572D"/>
    <w:rsid w:val="5A3B59D6"/>
    <w:rsid w:val="5AD134D8"/>
    <w:rsid w:val="5BDB7A2A"/>
    <w:rsid w:val="5BF41F67"/>
    <w:rsid w:val="5C263CE4"/>
    <w:rsid w:val="5C5D2777"/>
    <w:rsid w:val="5CF66BF3"/>
    <w:rsid w:val="5D290C69"/>
    <w:rsid w:val="5DA80C2C"/>
    <w:rsid w:val="5F2D4A41"/>
    <w:rsid w:val="5F920D48"/>
    <w:rsid w:val="60255718"/>
    <w:rsid w:val="60C74F6C"/>
    <w:rsid w:val="61015958"/>
    <w:rsid w:val="61025A59"/>
    <w:rsid w:val="61181721"/>
    <w:rsid w:val="613D5BBC"/>
    <w:rsid w:val="61536C39"/>
    <w:rsid w:val="619E1C26"/>
    <w:rsid w:val="62944DD7"/>
    <w:rsid w:val="6319381F"/>
    <w:rsid w:val="633957ED"/>
    <w:rsid w:val="6356208C"/>
    <w:rsid w:val="63C25DC5"/>
    <w:rsid w:val="63C62057"/>
    <w:rsid w:val="64571EF5"/>
    <w:rsid w:val="64FB113D"/>
    <w:rsid w:val="656152C6"/>
    <w:rsid w:val="6587477F"/>
    <w:rsid w:val="658C3A08"/>
    <w:rsid w:val="65C031CA"/>
    <w:rsid w:val="65CE6852"/>
    <w:rsid w:val="66267C04"/>
    <w:rsid w:val="663F505A"/>
    <w:rsid w:val="666C2D2F"/>
    <w:rsid w:val="66807B4C"/>
    <w:rsid w:val="66AF5D7C"/>
    <w:rsid w:val="66D87988"/>
    <w:rsid w:val="66E005EB"/>
    <w:rsid w:val="66EE5541"/>
    <w:rsid w:val="67924660"/>
    <w:rsid w:val="67A535E2"/>
    <w:rsid w:val="67F14403"/>
    <w:rsid w:val="68407834"/>
    <w:rsid w:val="6883293E"/>
    <w:rsid w:val="688412AD"/>
    <w:rsid w:val="68EB1B71"/>
    <w:rsid w:val="696C0310"/>
    <w:rsid w:val="6A6C7940"/>
    <w:rsid w:val="6A9F1565"/>
    <w:rsid w:val="6AAD2300"/>
    <w:rsid w:val="6B474EF5"/>
    <w:rsid w:val="6BC938E5"/>
    <w:rsid w:val="6C0A5AC5"/>
    <w:rsid w:val="6C262F44"/>
    <w:rsid w:val="6C560CAE"/>
    <w:rsid w:val="6C576495"/>
    <w:rsid w:val="6C8639E2"/>
    <w:rsid w:val="6D903FF5"/>
    <w:rsid w:val="6DA955B8"/>
    <w:rsid w:val="6DE346AB"/>
    <w:rsid w:val="6DE5391A"/>
    <w:rsid w:val="6DFB3F5C"/>
    <w:rsid w:val="6EA22C01"/>
    <w:rsid w:val="6EF530A1"/>
    <w:rsid w:val="6EFD1324"/>
    <w:rsid w:val="6F5A53AC"/>
    <w:rsid w:val="6FAC003D"/>
    <w:rsid w:val="6FD926BF"/>
    <w:rsid w:val="6FE55E12"/>
    <w:rsid w:val="6FFB2E76"/>
    <w:rsid w:val="70587444"/>
    <w:rsid w:val="708F6F7F"/>
    <w:rsid w:val="70D94BD3"/>
    <w:rsid w:val="71574775"/>
    <w:rsid w:val="71C34D91"/>
    <w:rsid w:val="72CC71A4"/>
    <w:rsid w:val="72DB435C"/>
    <w:rsid w:val="72E2613A"/>
    <w:rsid w:val="72ED47BB"/>
    <w:rsid w:val="72F571CC"/>
    <w:rsid w:val="72F771F4"/>
    <w:rsid w:val="732E26DE"/>
    <w:rsid w:val="7346211D"/>
    <w:rsid w:val="73934AD2"/>
    <w:rsid w:val="74082F2F"/>
    <w:rsid w:val="750837F0"/>
    <w:rsid w:val="754758CF"/>
    <w:rsid w:val="754D7793"/>
    <w:rsid w:val="75595ECD"/>
    <w:rsid w:val="756E14B8"/>
    <w:rsid w:val="75D43A11"/>
    <w:rsid w:val="764F62AB"/>
    <w:rsid w:val="765C45EC"/>
    <w:rsid w:val="768A7619"/>
    <w:rsid w:val="76BD23AB"/>
    <w:rsid w:val="772E1EBA"/>
    <w:rsid w:val="77C43611"/>
    <w:rsid w:val="77DA4BE2"/>
    <w:rsid w:val="781926BC"/>
    <w:rsid w:val="796D60A4"/>
    <w:rsid w:val="79A031D5"/>
    <w:rsid w:val="79A656C4"/>
    <w:rsid w:val="79B47FDF"/>
    <w:rsid w:val="79E569A9"/>
    <w:rsid w:val="79FA5A10"/>
    <w:rsid w:val="7A1525F7"/>
    <w:rsid w:val="7B420052"/>
    <w:rsid w:val="7BD06A28"/>
    <w:rsid w:val="7C3A7C0B"/>
    <w:rsid w:val="7C5248E4"/>
    <w:rsid w:val="7C566698"/>
    <w:rsid w:val="7C5866A3"/>
    <w:rsid w:val="7D1172F8"/>
    <w:rsid w:val="7D7406BB"/>
    <w:rsid w:val="7DE94331"/>
    <w:rsid w:val="7F446A19"/>
    <w:rsid w:val="7F7452B9"/>
    <w:rsid w:val="D7FFBD98"/>
    <w:rsid w:val="FFFEE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Times New Roman" w:hAnsi="宋体" w:eastAsia="宋体" w:cs="Times New Roman"/>
      <w:sz w:val="24"/>
      <w:szCs w:val="24"/>
      <w:lang w:val="en-US" w:eastAsia="zh-CN" w:bidi="ar-SA"/>
    </w:rPr>
  </w:style>
  <w:style w:type="character" w:default="1" w:styleId="12">
    <w:name w:val="Default Paragraph Font"/>
    <w:semiHidden/>
    <w:unhideWhenUsed/>
    <w:qFormat/>
    <w:uiPriority w:val="1"/>
    <w:rPr>
      <w:rFonts w:ascii="Times New Roman"/>
    </w:rPr>
  </w:style>
  <w:style w:type="table" w:default="1" w:styleId="10">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rFonts w:ascii="Times New Roman"/>
      <w:sz w:val="18"/>
      <w:szCs w:val="18"/>
    </w:rPr>
  </w:style>
  <w:style w:type="paragraph" w:styleId="3">
    <w:name w:val="Body Text First Indent 2"/>
    <w:basedOn w:val="4"/>
    <w:next w:val="1"/>
    <w:unhideWhenUsed/>
    <w:qFormat/>
    <w:uiPriority w:val="99"/>
    <w:pPr>
      <w:ind w:firstLine="420" w:firstLineChars="200"/>
    </w:pPr>
    <w:rPr>
      <w:rFonts w:ascii="Times New Roman"/>
    </w:rPr>
  </w:style>
  <w:style w:type="paragraph" w:styleId="4">
    <w:name w:val="Body Text Indent"/>
    <w:basedOn w:val="1"/>
    <w:next w:val="3"/>
    <w:unhideWhenUsed/>
    <w:qFormat/>
    <w:uiPriority w:val="99"/>
    <w:pPr>
      <w:widowControl/>
      <w:spacing w:after="120"/>
      <w:ind w:left="420" w:leftChars="200"/>
      <w:jc w:val="left"/>
    </w:pPr>
    <w:rPr>
      <w:rFonts w:ascii="Times New Roman" w:hAnsi="宋体" w:eastAsia="宋体" w:cs="宋体"/>
      <w:kern w:val="0"/>
      <w:sz w:val="24"/>
    </w:rPr>
  </w:style>
  <w:style w:type="paragraph" w:styleId="5">
    <w:name w:val="Balloon Text"/>
    <w:basedOn w:val="1"/>
    <w:link w:val="18"/>
    <w:qFormat/>
    <w:uiPriority w:val="0"/>
    <w:rPr>
      <w:rFonts w:ascii="Times New Roman"/>
      <w:sz w:val="18"/>
      <w:szCs w:val="18"/>
    </w:rPr>
  </w:style>
  <w:style w:type="paragraph" w:styleId="6">
    <w:name w:val="footer"/>
    <w:basedOn w:val="1"/>
    <w:qFormat/>
    <w:uiPriority w:val="0"/>
    <w:pPr>
      <w:tabs>
        <w:tab w:val="center" w:pos="4153"/>
        <w:tab w:val="right" w:pos="8306"/>
      </w:tabs>
      <w:snapToGrid w:val="0"/>
    </w:pPr>
    <w:rPr>
      <w:rFonts w:ascii="Times New Roman"/>
      <w:sz w:val="18"/>
      <w:szCs w:val="18"/>
    </w:rPr>
  </w:style>
  <w:style w:type="paragraph" w:styleId="7">
    <w:name w:val="header"/>
    <w:basedOn w:val="1"/>
    <w:qFormat/>
    <w:uiPriority w:val="0"/>
    <w:pPr>
      <w:tabs>
        <w:tab w:val="center" w:pos="4153"/>
        <w:tab w:val="right" w:pos="8306"/>
      </w:tabs>
      <w:snapToGrid w:val="0"/>
      <w:jc w:val="center"/>
    </w:pPr>
    <w:rPr>
      <w:rFonts w:ascii="Times New Roman"/>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9">
    <w:name w:val="Normal (Web)"/>
    <w:basedOn w:val="1"/>
    <w:unhideWhenUsed/>
    <w:qFormat/>
    <w:uiPriority w:val="0"/>
    <w:pPr>
      <w:spacing w:before="100" w:beforeAutospacing="1" w:after="100" w:afterAutospacing="1"/>
    </w:pPr>
    <w:rPr>
      <w:rFonts w:ascii="Times New Roman"/>
    </w:rPr>
  </w:style>
  <w:style w:type="table" w:styleId="11">
    <w:name w:val="Table Grid"/>
    <w:basedOn w:val="10"/>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ascii="Times New Roman"/>
    </w:rPr>
  </w:style>
  <w:style w:type="paragraph" w:customStyle="1" w:styleId="15">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6">
    <w:name w:val="21"/>
    <w:basedOn w:val="12"/>
    <w:qFormat/>
    <w:uiPriority w:val="0"/>
    <w:rPr>
      <w:rFonts w:hint="default" w:ascii="Times New Roman" w:hAnsi="Wingdings" w:cs="Wingdings"/>
      <w:b/>
      <w:bCs/>
    </w:rPr>
  </w:style>
  <w:style w:type="paragraph" w:customStyle="1" w:styleId="17">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8">
    <w:name w:val="批注框文本 Char"/>
    <w:basedOn w:val="12"/>
    <w:link w:val="5"/>
    <w:qFormat/>
    <w:uiPriority w:val="0"/>
    <w:rPr>
      <w:rFonts w:ascii="Times New Roman"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5005</Words>
  <Characters>5455</Characters>
  <Lines>186</Lines>
  <Paragraphs>52</Paragraphs>
  <TotalTime>0</TotalTime>
  <ScaleCrop>false</ScaleCrop>
  <LinksUpToDate>false</LinksUpToDate>
  <CharactersWithSpaces>5475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2025-11-07T11:23:50Z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3A8514945D594C138EBB77730EF47410_13</vt:lpwstr>
  </property>
  <property fmtid="{D5CDD505-2E9C-101B-9397-08002B2CF9AE}" pid="4" name="KSOTemplateDocerSaveRecord">
    <vt:lpwstr>eyJoZGlkIjoiYjUyODg1OGQwNjBjNGMxMmU3MjdmYTRhM2VmYzMyZjQiLCJ1c2VySWQiOiI2MTUxMDg4NTUifQ==</vt:lpwstr>
  </property>
</Properties>
</file>