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楷体_GBK" w:eastAsia="方正楷体_GBK"/>
          <w:b w:val="0"/>
          <w:bCs w:val="0"/>
          <w:sz w:val="32"/>
          <w:szCs w:val="32"/>
          <w:lang w:val="en-US"/>
        </w:rPr>
      </w:pPr>
      <w:r>
        <w:rPr>
          <w:rFonts w:hint="eastAsia" w:ascii="方正小标宋_GBK" w:eastAsia="方正小标宋_GBK"/>
          <w:b w:val="0"/>
          <w:bCs w:val="0"/>
          <w:w w:val="95"/>
          <w:sz w:val="44"/>
        </w:rPr>
        <w:t>重庆市綦江</w:t>
      </w:r>
      <w:r>
        <w:rPr>
          <w:rFonts w:hint="default" w:ascii="Times New Roman" w:hAnsi="Times New Roman" w:eastAsia="方正小标宋_GBK" w:cs="Times New Roman"/>
          <w:b w:val="0"/>
          <w:bCs w:val="0"/>
          <w:w w:val="95"/>
          <w:sz w:val="44"/>
        </w:rPr>
        <w:t>区</w:t>
      </w:r>
      <w:r>
        <w:rPr>
          <w:rFonts w:ascii="Times New Roman" w:hAnsi="Times New Roman" w:eastAsia="方正小标宋_GBK" w:cs="Times New Roman"/>
          <w:b w:val="0"/>
          <w:bCs w:val="0"/>
          <w:spacing w:val="-6"/>
          <w:sz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-6"/>
          <w:sz w:val="44"/>
          <w:lang w:val="en-US" w:eastAsia="zh-CN"/>
        </w:rPr>
        <w:t>2</w:t>
      </w:r>
      <w:r>
        <w:rPr>
          <w:rFonts w:hint="eastAsia" w:ascii="方正小标宋_GBK" w:eastAsia="方正小标宋_GBK"/>
          <w:b w:val="0"/>
          <w:bCs w:val="0"/>
          <w:w w:val="95"/>
          <w:sz w:val="44"/>
        </w:rPr>
        <w:t>年财政决算</w:t>
      </w:r>
      <w:r>
        <w:rPr>
          <w:rFonts w:hint="eastAsia" w:ascii="方正小标宋_GBK" w:eastAsia="方正小标宋_GBK"/>
          <w:b w:val="0"/>
          <w:bCs w:val="0"/>
          <w:w w:val="95"/>
          <w:sz w:val="44"/>
          <w:lang w:eastAsia="zh-CN"/>
        </w:rPr>
        <w:t>情况报告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sz w:val="32"/>
          <w:szCs w:val="24"/>
        </w:rPr>
        <w:t>一、全区财政收支决算情况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（一）一般公共预算。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收入：202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年全区一般公共预算收入完成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212,368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万元，为调整预算的100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0.9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%。其中：税收收入完成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100,288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万元，为调整预算的100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%，同比下降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9.1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%；非税收入完成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112,080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万元，为调整预算的100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11.8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%。加上级补助收入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454,068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万元、债券转贷收入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53,300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万元、上年结余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151,541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从政府性基金预算和国有资本经营预算调入资金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227,235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，收入总计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1,098,512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万元。支出：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全区一般公共预算支出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711,223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万元，为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调整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预算的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68.3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同比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0.5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%。加上解上级支出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49,272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万元、债务还本支出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21,420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调节基金和结转结余科目安排次年继续使用上级专项资金支出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316,597万元，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支出总计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1,098,512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（二）政府性基金预算。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收入：202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年全区政府性基金预算收入完成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248,535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为调整预算的100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.1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24.6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%。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加上级各项补助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,289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万元，债券转贷收入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297,600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万元，上年结余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36,295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万元，收入总计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590,719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。支出：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全区政府性基金预算支出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273,890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为调整预算的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94.7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同比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313.7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%。加上解上级支出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12,215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万元、债务还本支出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97,600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调出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资金到一般公共预算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195,515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万元、结转结余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11,499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万元，支出总计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590,719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（三）国有资本经营预算。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收入：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全区国有资本经营预算收入完成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31,720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万元，上年结余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万元，收入总计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31,850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，与执行数一致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。支出：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全区国有资本经营预算调出资金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31,720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万元，结转结余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万元，支出总计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31,850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万元，与执行数一致。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b w:val="0"/>
          <w:bCs w:val="0"/>
          <w:sz w:val="32"/>
          <w:szCs w:val="24"/>
        </w:rPr>
      </w:pPr>
      <w:r>
        <w:rPr>
          <w:rFonts w:ascii="Times New Roman" w:hAnsi="Times New Roman" w:eastAsia="方正黑体_GBK" w:cs="Times New Roman"/>
          <w:b w:val="0"/>
          <w:bCs w:val="0"/>
          <w:sz w:val="32"/>
          <w:szCs w:val="24"/>
        </w:rPr>
        <w:t>二、区本级财政收支决算情况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24"/>
          <w:lang w:eastAsia="zh-CN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（一）一般公共预算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pct10" w:color="auto" w:fill="FFFFFF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——本级收入：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年区本级一般公共预算收入完成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212,046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万元，为调整预算的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100.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其中：税收收入完成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100,288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万元，为调整预算的100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%，同比下降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9.1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%，与执行数一致；非税收入完成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111,758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万元，为调整预算的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100.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12.2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与执行数一致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——转移性收入：上级补助收入完成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454,068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万元，其中：返还性收入完成27,503万元。一般性转移支付收入完成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297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521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万元，专项转移支付收入完成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129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044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；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街镇上解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18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236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与执行数一致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  <w:shd w:val="pct10" w:color="auto" w:fill="FFFFFF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——其他收入：债券转贷收入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53,3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万元，上年结转结余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121,806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调入资金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227,235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万元，均与执行数一致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——本级支出：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年区本级一般公共预算支出完成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622,582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，为调整预算的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69.0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%，同比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%，与执行数一致。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转移性支出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年区本级上解市级支出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49,272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万元，区本级补助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街镇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88,641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均与执行数一致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——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其他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支出：202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年区本级债务还本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21,420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按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预算法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》相关规定，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收回结转两年以上的上级专项和区本级预算，通过调节基金次年按原用途调出和直接结转次年使用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304,766万元，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与执行数一致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——平衡情况：202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年区本级一般公共预算收入及上级补助合计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666,114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万元，加上街镇上解收入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18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236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万元、债券转贷收入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53,3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万元、上年结转结余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121,806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调入资金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227,235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万元，减去上解上级支出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49,272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补助街镇支出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88,641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债券还本支出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21,420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一般公共预算财力实现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927,358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20"/>
          <w:lang w:eastAsia="zh-CN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（二）政府性基金预算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本级收入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年区本级政府性基金预算收入完成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247,471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万元，为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调整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预算的100.2%，较上年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27.1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%，与执行数一致。其中，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土地出让收入完成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237,547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万元、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配套费收入完成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9,483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万元、污水处理费收入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441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与执行数一致。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转移性收入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：上级补助收入完成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8,289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，与执行数一致。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——其他收入：债务转贷收入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297,600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万元，上年结转结余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36,295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与执行数一致。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——支出情况：202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年区本级政府性基金预算支出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270,379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为调整预算的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96.2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%，较去年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347.1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%，与执行数一致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。同比增幅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较大原因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主要是新增专项债券安排的支出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转移性支出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年区本级上解上级支出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12,215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补助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街镇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6,792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与执行数一致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b w:val="0"/>
          <w:bCs w:val="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——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其他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支出：202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债务还本支出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97,600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调出资金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195,515万元，结转结余7,154万元，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与执行数一致。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  <w:shd w:val="pct10" w:color="auto" w:fill="FFFFFF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——平衡情况：202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年区本级政府性基金预算收入及上级补助收入合计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255,760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万元，加上债务转贷收入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297,600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万元、上年结转结余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36,295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万元。扣除上解上级支出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12,215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万元、补助街镇支出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6,792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万元、债务还本支出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97,600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万元、调出资金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195,515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万元，区本级政府性基金预算财力实现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277,533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sz w:val="32"/>
          <w:szCs w:val="32"/>
        </w:rPr>
        <w:t>三、其他财政收支情况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（一）区对街镇转移支付情况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年区对街镇转移支付合计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109,365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一般公共预算转移支付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101,756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，其中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一般性转移支付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75,024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万元，专项转移支付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26,732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；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政府性基金预算转移支付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7,610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，均为专项性转移支付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（二）全区政府债务情况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债务限额情况：202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年，市下达我区政府债务限额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1,847,00</w:t>
      </w:r>
      <w:r>
        <w:rPr>
          <w:rFonts w:hint="eastAsia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元，其中一般债务限额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952,000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元、专项债务限额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895,000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债券转贷情况：202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年市转贷我区的债券资金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350,900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万元，其中置换一般债券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21,300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万元、置换专项债券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97,600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万元；新增一般债券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32,00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0万元、专项债券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0,000万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债务余额情况：202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年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初政府债务余额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1,614,206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元，其中一般债务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17,500万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元，专项债务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4,700万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，主权外债2,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006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万元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底债务余额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1,846,270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元，其中一般债务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949,5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00万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元，专项债务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4,700万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，主权外债2,0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）预备费动支情况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年初预备费1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0,000万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元。动支预备费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3,115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用于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核酸检测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等新冠疫情防控支出及应急救援物资装备购置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其余未动支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6,885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用于平衡当年预算。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三公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经费情况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_GBK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eastAsia="zh-CN"/>
        </w:rPr>
        <w:t>全区“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三公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eastAsia="zh-CN"/>
        </w:rPr>
        <w:t>”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经费决算数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3,317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万元，同比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0.9%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，其中：因公出国（境）费支出0万元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eastAsia="zh-C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公务用车购置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1,242万元、公务车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运行维护费支出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1,741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eastAsia="zh-CN"/>
        </w:rPr>
        <w:t>、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公务接待费支出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334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shd w:val="clear" w:color="auto" w:fill="auto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20"/>
          <w:lang w:eastAsia="zh-CN"/>
        </w:rPr>
        <w:t>（五）绩效管理情况。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一是强化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事前绩效评估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完成全区预算单位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931个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项目事前绩效评估，通过自评和复评相结合的方式，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绩效评估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从项目立项依据、可行性、实施条件、资金规模、预期绩效等方面进行多维度评估，提高预算安排的精准度和质量。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深化绩效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评价应用。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强化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2022年审计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监督检查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重点绩效评价结果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运用，按照区级绩效评价挂钩办法对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预算绩效评价和监督检查结果不佳的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23个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单位，从严扣减其项目支出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推进绩效运行监控</w:t>
      </w:r>
      <w:r>
        <w:rPr>
          <w:rFonts w:hint="eastAsia" w:ascii="Times New Roman" w:hAnsi="Times New Roman" w:eastAsia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依托预算一体化平台，打造预算编制到评价全流程绩效监控运用场景，对全区项目支出预算开展绩效监控，同时选取涉及民生兜底、乡村振兴、住房保障和城市运维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等17个支出项目开展绩效重点监控，通过预算执行监控绩效目标实现情况，提高绩效评价结果的准确度，进一步发挥绩效评价结果对预算编制的引领性作用。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</w:pPr>
    </w:p>
    <w:p>
      <w:pPr>
        <w:ind w:firstLine="640" w:firstLineChars="200"/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20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重庆市綦江区2022年财政决算附表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97834"/>
    <w:rsid w:val="29E97834"/>
    <w:rsid w:val="378C4F97"/>
    <w:rsid w:val="473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ascii="Calibri" w:hAnsi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2023-10-08T08:48:00Z</dcterms:created>
  <dc:creator>贺晓霞</dc:creator>
  <cp:lastModifiedBy>Administrator</cp:lastModifiedBy>
  <dcterms:modified xsi:type="dcterms:W3CDTF">2023-10-08T09:30:50Z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