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kinsoku/>
        <w:wordWrap/>
        <w:overflowPunct/>
        <w:topLinePunct w:val="0"/>
        <w:autoSpaceDE/>
        <w:autoSpaceDN/>
        <w:bidi w:val="0"/>
        <w:adjustRightInd/>
        <w:snapToGrid/>
        <w:spacing w:line="600" w:lineRule="exact"/>
        <w:ind w:right="0" w:rightChars="0"/>
        <w:jc w:val="center"/>
        <w:textAlignment w:val="auto"/>
        <w:outlineLvl w:val="9"/>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重庆市綦江区机关后勤服务中心</w:t>
      </w:r>
    </w:p>
    <w:p>
      <w:pPr>
        <w:keepNext w:val="0"/>
        <w:keepLines w:val="0"/>
        <w:pageBreakBefore w:val="0"/>
        <w:widowControl/>
        <w:kinsoku/>
        <w:wordWrap/>
        <w:overflowPunct/>
        <w:topLinePunct w:val="0"/>
        <w:autoSpaceDE/>
        <w:autoSpaceDN/>
        <w:bidi w:val="0"/>
        <w:adjustRightInd/>
        <w:snapToGrid/>
        <w:spacing w:line="600" w:lineRule="exact"/>
        <w:ind w:right="0" w:rightChars="0"/>
        <w:jc w:val="center"/>
        <w:textAlignment w:val="auto"/>
        <w:outlineLvl w:val="9"/>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2020年度部门决算情况说明</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lang w:eastAsia="zh-CN"/>
        </w:rPr>
      </w:pP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一、部门基本情况</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（一）职能职责</w:t>
      </w:r>
    </w:p>
    <w:p>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负责集中管理办公区域的安全保卫、消防、房屋维修、卫生保洁、绿化、水电设施设备维修维护、会议及全区大型重要活动服务、车库及车辆停放管理方面的具体事务性工作；承担领导周转房、区机关</w:t>
      </w:r>
      <w:r>
        <w:rPr>
          <w:rFonts w:hint="default" w:ascii="Times New Roman" w:hAnsi="Times New Roman" w:eastAsia="方正仿宋_GBK" w:cs="Times New Roman"/>
          <w:sz w:val="32"/>
          <w:szCs w:val="32"/>
          <w:lang w:eastAsia="zh-CN"/>
        </w:rPr>
        <w:t>后勤服务中心</w:t>
      </w:r>
      <w:r>
        <w:rPr>
          <w:rFonts w:hint="default" w:ascii="Times New Roman" w:hAnsi="Times New Roman" w:eastAsia="方正仿宋_GBK" w:cs="Times New Roman"/>
          <w:sz w:val="32"/>
          <w:szCs w:val="32"/>
        </w:rPr>
        <w:t>食堂的管理、维修维护和服务工作。</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（二）机构设置</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根据</w:t>
      </w:r>
      <w:r>
        <w:rPr>
          <w:rFonts w:hint="default" w:ascii="Times New Roman" w:hAnsi="Times New Roman" w:eastAsia="方正仿宋_GBK" w:cs="Times New Roman"/>
          <w:sz w:val="32"/>
          <w:szCs w:val="32"/>
        </w:rPr>
        <w:t>《中共重庆市綦江区委机构编制委员会关于调整重庆市綦江区人民政府办公室所属事业单位机构编制事项的通知》（綦委编〔2019〕</w:t>
      </w:r>
      <w:r>
        <w:rPr>
          <w:rFonts w:hint="default" w:ascii="Times New Roman" w:hAnsi="Times New Roman" w:eastAsia="方正仿宋_GBK" w:cs="Times New Roman"/>
          <w:sz w:val="32"/>
          <w:szCs w:val="32"/>
        </w:rPr>
        <w:t>78</w:t>
      </w:r>
      <w:r>
        <w:rPr>
          <w:rFonts w:hint="default" w:ascii="Times New Roman" w:hAnsi="Times New Roman" w:eastAsia="方正仿宋_GBK" w:cs="Times New Roman"/>
          <w:sz w:val="32"/>
          <w:szCs w:val="32"/>
        </w:rPr>
        <w:t>号）文件，</w:t>
      </w:r>
      <w:r>
        <w:rPr>
          <w:rFonts w:hint="default" w:ascii="Times New Roman" w:hAnsi="Times New Roman" w:eastAsia="方正仿宋_GBK" w:cs="Times New Roman"/>
          <w:sz w:val="32"/>
          <w:szCs w:val="32"/>
          <w:lang w:eastAsia="zh-CN"/>
        </w:rPr>
        <w:t>重庆市綦江区机关后勤服务中心为</w:t>
      </w:r>
      <w:r>
        <w:rPr>
          <w:rFonts w:hint="default" w:ascii="Times New Roman" w:hAnsi="Times New Roman" w:eastAsia="方正仿宋_GBK" w:cs="Times New Roman"/>
          <w:sz w:val="32"/>
          <w:szCs w:val="32"/>
        </w:rPr>
        <w:t>重庆市綦江区人民政府办公室</w:t>
      </w:r>
      <w:r>
        <w:rPr>
          <w:rFonts w:hint="default" w:ascii="Times New Roman" w:hAnsi="Times New Roman" w:eastAsia="方正仿宋_GBK" w:cs="Times New Roman"/>
          <w:sz w:val="32"/>
          <w:szCs w:val="32"/>
          <w:lang w:eastAsia="zh-CN"/>
        </w:rPr>
        <w:t>所属</w:t>
      </w:r>
      <w:r>
        <w:rPr>
          <w:rFonts w:hint="default" w:ascii="Times New Roman" w:hAnsi="Times New Roman" w:eastAsia="方正仿宋_GBK" w:cs="Times New Roman"/>
          <w:sz w:val="32"/>
          <w:szCs w:val="32"/>
        </w:rPr>
        <w:t>正</w:t>
      </w:r>
      <w:r>
        <w:rPr>
          <w:rFonts w:hint="default" w:ascii="Times New Roman" w:hAnsi="Times New Roman" w:eastAsia="方正仿宋_GBK" w:cs="Times New Roman"/>
          <w:sz w:val="32"/>
          <w:szCs w:val="32"/>
          <w:lang w:eastAsia="zh-CN"/>
        </w:rPr>
        <w:t>科</w:t>
      </w:r>
      <w:r>
        <w:rPr>
          <w:rFonts w:hint="default" w:ascii="Times New Roman" w:hAnsi="Times New Roman" w:eastAsia="方正仿宋_GBK" w:cs="Times New Roman"/>
          <w:sz w:val="32"/>
          <w:szCs w:val="32"/>
        </w:rPr>
        <w:t>级财政全额拨款公益一类事业单位</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事业编制</w:t>
      </w:r>
      <w:r>
        <w:rPr>
          <w:rFonts w:hint="default" w:ascii="Times New Roman" w:hAnsi="Times New Roman" w:eastAsia="方正仿宋_GBK" w:cs="Times New Roman"/>
          <w:sz w:val="32"/>
          <w:szCs w:val="32"/>
          <w:lang w:val="en-US" w:eastAsia="zh-CN"/>
        </w:rPr>
        <w:t>16</w:t>
      </w:r>
      <w:r>
        <w:rPr>
          <w:rFonts w:hint="default" w:ascii="Times New Roman" w:hAnsi="Times New Roman" w:eastAsia="方正仿宋_GBK" w:cs="Times New Roman"/>
          <w:sz w:val="32"/>
          <w:szCs w:val="32"/>
        </w:rPr>
        <w:t>名</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设主任1名、副主任2名</w:t>
      </w:r>
      <w:r>
        <w:rPr>
          <w:rFonts w:hint="default" w:ascii="Times New Roman" w:hAnsi="Times New Roman" w:eastAsia="方正仿宋_GBK" w:cs="Times New Roman"/>
          <w:sz w:val="32"/>
          <w:szCs w:val="32"/>
          <w:lang w:eastAsia="zh-CN"/>
        </w:rPr>
        <w:t>。</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楷体_GBK" w:cs="Times New Roman"/>
          <w:spacing w:val="0"/>
          <w:sz w:val="32"/>
          <w:szCs w:val="32"/>
        </w:rPr>
      </w:pPr>
      <w:r>
        <w:rPr>
          <w:rFonts w:hint="default" w:ascii="Times New Roman" w:hAnsi="Times New Roman" w:eastAsia="方正楷体_GBK" w:cs="Times New Roman"/>
          <w:spacing w:val="0"/>
          <w:sz w:val="32"/>
          <w:szCs w:val="32"/>
        </w:rPr>
        <w:t>（三）单位构成</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pacing w:val="0"/>
          <w:sz w:val="32"/>
          <w:szCs w:val="32"/>
          <w:lang w:eastAsia="zh-CN"/>
        </w:rPr>
      </w:pPr>
      <w:r>
        <w:rPr>
          <w:rFonts w:hint="default" w:ascii="Times New Roman" w:hAnsi="Times New Roman" w:eastAsia="方正仿宋_GBK" w:cs="Times New Roman"/>
          <w:spacing w:val="0"/>
          <w:sz w:val="32"/>
          <w:szCs w:val="32"/>
        </w:rPr>
        <w:t>从预算单位构成看，纳入本部门2020年度决算编制的二级预算单位主要包括</w:t>
      </w:r>
      <w:r>
        <w:rPr>
          <w:rFonts w:hint="default" w:ascii="Times New Roman" w:hAnsi="Times New Roman" w:eastAsia="方正仿宋_GBK" w:cs="Times New Roman"/>
          <w:spacing w:val="0"/>
          <w:sz w:val="32"/>
          <w:szCs w:val="32"/>
          <w:lang w:eastAsia="zh-CN"/>
        </w:rPr>
        <w:t>重庆市綦江区机关后勤服务中心</w:t>
      </w:r>
      <w:r>
        <w:rPr>
          <w:rFonts w:hint="default" w:ascii="Times New Roman" w:hAnsi="Times New Roman" w:eastAsia="方正仿宋_GBK" w:cs="Times New Roman"/>
          <w:spacing w:val="0"/>
          <w:sz w:val="32"/>
          <w:szCs w:val="32"/>
          <w:lang w:val="en-US" w:eastAsia="zh-CN"/>
        </w:rPr>
        <w:t>1</w:t>
      </w:r>
      <w:r>
        <w:rPr>
          <w:rFonts w:hint="default" w:ascii="Times New Roman" w:hAnsi="Times New Roman" w:eastAsia="方正仿宋_GBK" w:cs="Times New Roman"/>
          <w:spacing w:val="0"/>
          <w:sz w:val="32"/>
          <w:szCs w:val="32"/>
        </w:rPr>
        <w:t>个预算单位</w:t>
      </w:r>
      <w:r>
        <w:rPr>
          <w:rFonts w:hint="default" w:ascii="Times New Roman" w:hAnsi="Times New Roman" w:eastAsia="方正仿宋_GBK" w:cs="Times New Roman"/>
          <w:spacing w:val="0"/>
          <w:sz w:val="32"/>
          <w:szCs w:val="32"/>
          <w:lang w:eastAsia="zh-CN"/>
        </w:rPr>
        <w:t>。</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二、部门决算情况说明</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pacing w:val="0"/>
          <w:sz w:val="32"/>
          <w:szCs w:val="32"/>
        </w:rPr>
      </w:pPr>
      <w:r>
        <w:rPr>
          <w:rFonts w:hint="default" w:ascii="Times New Roman" w:hAnsi="Times New Roman" w:eastAsia="方正仿宋_GBK" w:cs="Times New Roman"/>
          <w:spacing w:val="0"/>
          <w:sz w:val="32"/>
          <w:szCs w:val="32"/>
        </w:rPr>
        <w:t>1.总体情况。2020年度收入总计1,685.27万元，支出总计1,685.27万元。收支较上年决算数增加262.70万元、 增长</w:t>
      </w:r>
    </w:p>
    <w:p>
      <w:pPr>
        <w:keepNext w:val="0"/>
        <w:keepLines w:val="0"/>
        <w:pageBreakBefore w:val="0"/>
        <w:widowControl/>
        <w:kinsoku/>
        <w:wordWrap/>
        <w:overflowPunct/>
        <w:topLinePunct w:val="0"/>
        <w:autoSpaceDE/>
        <w:autoSpaceDN/>
        <w:bidi w:val="0"/>
        <w:adjustRightInd/>
        <w:snapToGrid/>
        <w:spacing w:line="576" w:lineRule="exact"/>
        <w:ind w:right="0" w:rightChars="0"/>
        <w:jc w:val="left"/>
        <w:textAlignment w:val="auto"/>
        <w:outlineLvl w:val="9"/>
        <w:rPr>
          <w:rFonts w:hint="default" w:ascii="Times New Roman" w:hAnsi="Times New Roman" w:eastAsia="方正仿宋_GBK" w:cs="Times New Roman"/>
          <w:spacing w:val="0"/>
          <w:sz w:val="32"/>
          <w:szCs w:val="32"/>
          <w:lang w:eastAsia="zh-CN"/>
        </w:rPr>
      </w:pPr>
      <w:r>
        <w:rPr>
          <w:rFonts w:hint="default" w:ascii="Times New Roman" w:hAnsi="Times New Roman" w:eastAsia="方正仿宋_GBK" w:cs="Times New Roman"/>
          <w:spacing w:val="0"/>
          <w:sz w:val="32"/>
          <w:szCs w:val="32"/>
        </w:rPr>
        <w:t>18.5%，主要原因是</w:t>
      </w:r>
      <w:r>
        <w:rPr>
          <w:rFonts w:hint="default" w:ascii="Times New Roman" w:hAnsi="Times New Roman" w:eastAsia="方正仿宋_GBK" w:cs="Times New Roman"/>
          <w:spacing w:val="0"/>
          <w:sz w:val="32"/>
          <w:szCs w:val="32"/>
          <w:lang w:eastAsia="zh-CN"/>
        </w:rPr>
        <w:t>项目经费增加。</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pacing w:val="0"/>
          <w:sz w:val="32"/>
          <w:szCs w:val="32"/>
        </w:rPr>
      </w:pPr>
      <w:r>
        <w:rPr>
          <w:rFonts w:hint="default" w:ascii="Times New Roman" w:hAnsi="Times New Roman" w:eastAsia="方正仿宋_GBK" w:cs="Times New Roman"/>
          <w:spacing w:val="0"/>
          <w:sz w:val="32"/>
          <w:szCs w:val="32"/>
        </w:rPr>
        <w:t>2.收入情况。2020年度收入合计1,584.99万元，较上年决算数增加242.27万元</w:t>
      </w:r>
      <w:r>
        <w:rPr>
          <w:rFonts w:hint="default" w:ascii="Times New Roman" w:hAnsi="Times New Roman" w:eastAsia="方正仿宋_GBK" w:cs="Times New Roman"/>
          <w:spacing w:val="0"/>
          <w:sz w:val="32"/>
          <w:szCs w:val="32"/>
          <w:lang w:eastAsia="zh-CN"/>
        </w:rPr>
        <w:t>，</w:t>
      </w:r>
      <w:r>
        <w:rPr>
          <w:rFonts w:hint="default" w:ascii="Times New Roman" w:hAnsi="Times New Roman" w:eastAsia="方正仿宋_GBK" w:cs="Times New Roman"/>
          <w:spacing w:val="0"/>
          <w:sz w:val="32"/>
          <w:szCs w:val="32"/>
        </w:rPr>
        <w:t>增长18%，主要原因是</w:t>
      </w:r>
      <w:r>
        <w:rPr>
          <w:rFonts w:hint="default" w:ascii="Times New Roman" w:hAnsi="Times New Roman" w:eastAsia="方正仿宋_GBK" w:cs="Times New Roman"/>
          <w:spacing w:val="0"/>
          <w:sz w:val="32"/>
          <w:szCs w:val="32"/>
          <w:lang w:val="en-US" w:eastAsia="zh-CN"/>
        </w:rPr>
        <w:t>2020年增加</w:t>
      </w:r>
      <w:r>
        <w:rPr>
          <w:rFonts w:hint="default" w:ascii="Times New Roman" w:hAnsi="Times New Roman" w:eastAsia="方正仿宋_GBK" w:cs="Times New Roman"/>
          <w:spacing w:val="0"/>
          <w:sz w:val="32"/>
          <w:szCs w:val="32"/>
          <w:lang w:eastAsia="zh-CN"/>
        </w:rPr>
        <w:t>行政中心、影视中心设施设备改造工程，武装部会议室装修改造和作战值班室升级改造等项目经费收入</w:t>
      </w:r>
      <w:r>
        <w:rPr>
          <w:rFonts w:hint="default" w:ascii="Times New Roman" w:hAnsi="Times New Roman" w:eastAsia="方正仿宋_GBK" w:cs="Times New Roman"/>
          <w:spacing w:val="0"/>
          <w:sz w:val="32"/>
          <w:szCs w:val="32"/>
        </w:rPr>
        <w:t>。其中：财政拨款收入1,584.99万元，占100%</w:t>
      </w:r>
      <w:r>
        <w:rPr>
          <w:rFonts w:hint="default" w:ascii="Times New Roman" w:hAnsi="Times New Roman" w:eastAsia="方正仿宋_GBK" w:cs="Times New Roman"/>
          <w:spacing w:val="0"/>
          <w:sz w:val="32"/>
          <w:szCs w:val="32"/>
          <w:lang w:eastAsia="zh-CN"/>
        </w:rPr>
        <w:t>。</w:t>
      </w:r>
      <w:r>
        <w:rPr>
          <w:rFonts w:hint="default" w:ascii="Times New Roman" w:hAnsi="Times New Roman" w:eastAsia="方正仿宋_GBK" w:cs="Times New Roman"/>
          <w:spacing w:val="0"/>
          <w:sz w:val="32"/>
          <w:szCs w:val="32"/>
        </w:rPr>
        <w:t>年初结转和结余100.27万元。</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pacing w:val="0"/>
          <w:sz w:val="32"/>
          <w:szCs w:val="32"/>
        </w:rPr>
      </w:pPr>
      <w:r>
        <w:rPr>
          <w:rFonts w:hint="default" w:ascii="Times New Roman" w:hAnsi="Times New Roman" w:eastAsia="方正仿宋_GBK" w:cs="Times New Roman"/>
          <w:spacing w:val="0"/>
          <w:sz w:val="32"/>
          <w:szCs w:val="32"/>
        </w:rPr>
        <w:t>3.支出情况。2020年度支出合计1,674.06万元，较上年决算数增加255.27万元，增长18%，主要原因是</w:t>
      </w:r>
      <w:r>
        <w:rPr>
          <w:rFonts w:hint="default" w:ascii="Times New Roman" w:hAnsi="Times New Roman" w:eastAsia="方正仿宋_GBK" w:cs="Times New Roman"/>
          <w:spacing w:val="0"/>
          <w:sz w:val="32"/>
          <w:szCs w:val="32"/>
          <w:lang w:val="en-US" w:eastAsia="zh-CN"/>
        </w:rPr>
        <w:t>2020年增加</w:t>
      </w:r>
      <w:r>
        <w:rPr>
          <w:rFonts w:hint="default" w:ascii="Times New Roman" w:hAnsi="Times New Roman" w:eastAsia="方正仿宋_GBK" w:cs="Times New Roman"/>
          <w:spacing w:val="0"/>
          <w:sz w:val="32"/>
          <w:szCs w:val="32"/>
          <w:lang w:eastAsia="zh-CN"/>
        </w:rPr>
        <w:t>行政中心、影视中心设施设备改造工程，武装部会议室装修改造和作战值班室升级改造等项目经费支出</w:t>
      </w:r>
      <w:r>
        <w:rPr>
          <w:rFonts w:hint="default" w:ascii="Times New Roman" w:hAnsi="Times New Roman" w:eastAsia="方正仿宋_GBK" w:cs="Times New Roman"/>
          <w:spacing w:val="0"/>
          <w:sz w:val="32"/>
          <w:szCs w:val="32"/>
        </w:rPr>
        <w:t>。其中：基本支出</w:t>
      </w:r>
    </w:p>
    <w:p>
      <w:pPr>
        <w:keepNext w:val="0"/>
        <w:keepLines w:val="0"/>
        <w:pageBreakBefore w:val="0"/>
        <w:widowControl/>
        <w:kinsoku/>
        <w:wordWrap/>
        <w:overflowPunct/>
        <w:topLinePunct w:val="0"/>
        <w:autoSpaceDE/>
        <w:autoSpaceDN/>
        <w:bidi w:val="0"/>
        <w:adjustRightInd/>
        <w:snapToGrid/>
        <w:spacing w:line="576" w:lineRule="exact"/>
        <w:ind w:right="0" w:rightChars="0"/>
        <w:jc w:val="left"/>
        <w:textAlignment w:val="auto"/>
        <w:outlineLvl w:val="9"/>
        <w:rPr>
          <w:rFonts w:hint="default" w:ascii="Times New Roman" w:hAnsi="Times New Roman" w:eastAsia="方正仿宋_GBK" w:cs="Times New Roman"/>
          <w:spacing w:val="0"/>
          <w:sz w:val="32"/>
          <w:szCs w:val="32"/>
        </w:rPr>
      </w:pPr>
      <w:r>
        <w:rPr>
          <w:rFonts w:hint="default" w:ascii="Times New Roman" w:hAnsi="Times New Roman" w:eastAsia="方正仿宋_GBK" w:cs="Times New Roman"/>
          <w:spacing w:val="0"/>
          <w:sz w:val="32"/>
          <w:szCs w:val="32"/>
        </w:rPr>
        <w:t>349.56万元，占20.9%；项目支出1,324.50万元，占79.1%；</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pacing w:val="0"/>
          <w:sz w:val="32"/>
          <w:szCs w:val="32"/>
        </w:rPr>
      </w:pPr>
      <w:r>
        <w:rPr>
          <w:rFonts w:hint="default" w:ascii="Times New Roman" w:hAnsi="Times New Roman" w:eastAsia="方正仿宋_GBK" w:cs="Times New Roman"/>
          <w:spacing w:val="0"/>
          <w:sz w:val="32"/>
          <w:szCs w:val="32"/>
        </w:rPr>
        <w:t>4.结转结余情况。2020年度年末结转和结余11.21万元，较上年决算数增加7.43万元，增长196.6%，主要原因是</w:t>
      </w:r>
      <w:r>
        <w:rPr>
          <w:rFonts w:hint="default" w:ascii="Times New Roman" w:hAnsi="Times New Roman" w:eastAsia="方正仿宋_GBK" w:cs="Times New Roman"/>
          <w:spacing w:val="0"/>
          <w:sz w:val="32"/>
          <w:szCs w:val="32"/>
          <w:lang w:eastAsia="zh-CN"/>
        </w:rPr>
        <w:t>增加项目经费结转</w:t>
      </w:r>
      <w:r>
        <w:rPr>
          <w:rFonts w:hint="default" w:ascii="Times New Roman" w:hAnsi="Times New Roman" w:eastAsia="方正仿宋_GBK" w:cs="Times New Roman"/>
          <w:spacing w:val="0"/>
          <w:sz w:val="32"/>
          <w:szCs w:val="32"/>
        </w:rPr>
        <w:t>。</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楷体_GBK" w:cs="Times New Roman"/>
          <w:spacing w:val="0"/>
          <w:sz w:val="32"/>
          <w:szCs w:val="32"/>
        </w:rPr>
      </w:pPr>
      <w:r>
        <w:rPr>
          <w:rFonts w:hint="default" w:ascii="Times New Roman" w:hAnsi="Times New Roman" w:eastAsia="方正楷体_GBK" w:cs="Times New Roman"/>
          <w:spacing w:val="0"/>
          <w:sz w:val="32"/>
          <w:szCs w:val="32"/>
        </w:rPr>
        <w:t>（二）财政拨款收入支出决算总体情况说明</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pacing w:val="0"/>
          <w:sz w:val="32"/>
          <w:szCs w:val="32"/>
        </w:rPr>
      </w:pPr>
      <w:r>
        <w:rPr>
          <w:rFonts w:hint="default" w:ascii="Times New Roman" w:hAnsi="Times New Roman" w:eastAsia="方正仿宋_GBK" w:cs="Times New Roman"/>
          <w:spacing w:val="0"/>
          <w:sz w:val="32"/>
          <w:szCs w:val="32"/>
        </w:rPr>
        <w:t>2020年度财政拨款收、支总计1,685.27万元。与2019年相比，财政拨款收、支总计各增加262.70万 元，增长18.5%。主要原因是</w:t>
      </w:r>
      <w:r>
        <w:rPr>
          <w:rFonts w:hint="default" w:ascii="Times New Roman" w:hAnsi="Times New Roman" w:eastAsia="方正仿宋_GBK" w:cs="Times New Roman"/>
          <w:spacing w:val="0"/>
          <w:sz w:val="32"/>
          <w:szCs w:val="32"/>
          <w:lang w:val="en-US" w:eastAsia="zh-CN"/>
        </w:rPr>
        <w:t>2020年增加</w:t>
      </w:r>
      <w:r>
        <w:rPr>
          <w:rFonts w:hint="default" w:ascii="Times New Roman" w:hAnsi="Times New Roman" w:eastAsia="方正仿宋_GBK" w:cs="Times New Roman"/>
          <w:spacing w:val="0"/>
          <w:sz w:val="32"/>
          <w:szCs w:val="32"/>
          <w:lang w:eastAsia="zh-CN"/>
        </w:rPr>
        <w:t>行政中心、影视中心设施设备改造工程，武装部会议室装修改造和作战值班室升级改造等项目经费支出</w:t>
      </w:r>
      <w:r>
        <w:rPr>
          <w:rFonts w:hint="default" w:ascii="Times New Roman" w:hAnsi="Times New Roman" w:eastAsia="方正仿宋_GBK" w:cs="Times New Roman"/>
          <w:spacing w:val="0"/>
          <w:sz w:val="32"/>
          <w:szCs w:val="32"/>
        </w:rPr>
        <w:t>。</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楷体_GBK" w:cs="Times New Roman"/>
          <w:spacing w:val="0"/>
          <w:sz w:val="32"/>
          <w:szCs w:val="32"/>
        </w:rPr>
      </w:pPr>
      <w:r>
        <w:rPr>
          <w:rFonts w:hint="default" w:ascii="Times New Roman" w:hAnsi="Times New Roman" w:eastAsia="方正楷体_GBK" w:cs="Times New Roman"/>
          <w:spacing w:val="0"/>
          <w:sz w:val="32"/>
          <w:szCs w:val="32"/>
        </w:rPr>
        <w:t>（三）一般公共预算财政拨款支出决算情况说明</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pacing w:val="0"/>
          <w:sz w:val="32"/>
          <w:szCs w:val="32"/>
        </w:rPr>
      </w:pPr>
      <w:r>
        <w:rPr>
          <w:rFonts w:hint="default" w:ascii="Times New Roman" w:hAnsi="Times New Roman" w:eastAsia="方正仿宋_GBK" w:cs="Times New Roman"/>
          <w:spacing w:val="0"/>
          <w:sz w:val="32"/>
          <w:szCs w:val="32"/>
        </w:rPr>
        <w:t>1.收入情况。2020年度一般公共预算财政拨款收入1,472.77万元，较上年决算数增加130.05万元，增长9.7%。主要原因是</w:t>
      </w:r>
      <w:r>
        <w:rPr>
          <w:rFonts w:hint="default" w:ascii="Times New Roman" w:hAnsi="Times New Roman" w:eastAsia="方正仿宋_GBK" w:cs="Times New Roman"/>
          <w:spacing w:val="0"/>
          <w:sz w:val="32"/>
          <w:szCs w:val="32"/>
          <w:lang w:eastAsia="zh-CN"/>
        </w:rPr>
        <w:t>增加购买后勤保障服务、武装部会议室装修改造和作战值班室升级改造等项目经费</w:t>
      </w:r>
      <w:r>
        <w:rPr>
          <w:rFonts w:hint="default" w:ascii="Times New Roman" w:hAnsi="Times New Roman" w:eastAsia="方正仿宋_GBK" w:cs="Times New Roman"/>
          <w:spacing w:val="0"/>
          <w:sz w:val="32"/>
          <w:szCs w:val="32"/>
        </w:rPr>
        <w:t>。较年初预算数减少44.64万元，下降2.9%。主要原因是</w:t>
      </w:r>
      <w:r>
        <w:rPr>
          <w:rFonts w:hint="default" w:ascii="Times New Roman" w:hAnsi="Times New Roman" w:eastAsia="方正仿宋_GBK" w:cs="Times New Roman"/>
          <w:spacing w:val="0"/>
          <w:sz w:val="32"/>
          <w:szCs w:val="32"/>
          <w:lang w:val="en-US" w:eastAsia="zh-CN"/>
        </w:rPr>
        <w:t>减少公共服务专项等项目经费</w:t>
      </w:r>
      <w:r>
        <w:rPr>
          <w:rFonts w:hint="default" w:ascii="Times New Roman" w:hAnsi="Times New Roman" w:eastAsia="方正仿宋_GBK" w:cs="Times New Roman"/>
          <w:spacing w:val="0"/>
          <w:sz w:val="32"/>
          <w:szCs w:val="32"/>
        </w:rPr>
        <w:t>。此外，年初财政拨款结转和结余100.27万元。</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pacing w:val="0"/>
          <w:sz w:val="32"/>
          <w:szCs w:val="32"/>
        </w:rPr>
      </w:pPr>
      <w:r>
        <w:rPr>
          <w:rFonts w:hint="default" w:ascii="Times New Roman" w:hAnsi="Times New Roman" w:eastAsia="方正仿宋_GBK" w:cs="Times New Roman"/>
          <w:spacing w:val="0"/>
          <w:sz w:val="32"/>
          <w:szCs w:val="32"/>
        </w:rPr>
        <w:t>2.支出情况。2020年度一般公共预算财政拨款支出1,561.84万元，较上年决算数增加143.05万元，增长10.1%。主要原因是</w:t>
      </w:r>
      <w:r>
        <w:rPr>
          <w:rFonts w:hint="default" w:ascii="Times New Roman" w:hAnsi="Times New Roman" w:eastAsia="方正仿宋_GBK" w:cs="Times New Roman"/>
          <w:spacing w:val="0"/>
          <w:sz w:val="32"/>
          <w:szCs w:val="32"/>
          <w:lang w:eastAsia="zh-CN"/>
        </w:rPr>
        <w:t>增加购买后勤保障服务、武装部会议室装修改造和作战值班室升级改造等项目经费支出</w:t>
      </w:r>
      <w:r>
        <w:rPr>
          <w:rFonts w:hint="default" w:ascii="Times New Roman" w:hAnsi="Times New Roman" w:eastAsia="方正仿宋_GBK" w:cs="Times New Roman"/>
          <w:spacing w:val="0"/>
          <w:sz w:val="32"/>
          <w:szCs w:val="32"/>
        </w:rPr>
        <w:t>。较年初预算数增加40.65万 元，增长2.7%。主要原因是</w:t>
      </w:r>
      <w:r>
        <w:rPr>
          <w:rFonts w:hint="default" w:ascii="Times New Roman" w:hAnsi="Times New Roman" w:eastAsia="方正仿宋_GBK" w:cs="Times New Roman"/>
          <w:spacing w:val="0"/>
          <w:sz w:val="32"/>
          <w:szCs w:val="32"/>
          <w:lang w:eastAsia="zh-CN"/>
        </w:rPr>
        <w:t>年初结转结余项目经费未包含在年初预算中</w:t>
      </w:r>
      <w:r>
        <w:rPr>
          <w:rFonts w:hint="default" w:ascii="Times New Roman" w:hAnsi="Times New Roman" w:eastAsia="方正仿宋_GBK" w:cs="Times New Roman"/>
          <w:spacing w:val="0"/>
          <w:sz w:val="32"/>
          <w:szCs w:val="32"/>
        </w:rPr>
        <w:t>。</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pacing w:val="0"/>
          <w:sz w:val="32"/>
          <w:szCs w:val="32"/>
        </w:rPr>
      </w:pPr>
      <w:r>
        <w:rPr>
          <w:rFonts w:hint="default" w:ascii="Times New Roman" w:hAnsi="Times New Roman" w:eastAsia="方正仿宋_GBK" w:cs="Times New Roman"/>
          <w:spacing w:val="0"/>
          <w:sz w:val="32"/>
          <w:szCs w:val="32"/>
        </w:rPr>
        <w:t>3.结转结余情况。2020年度年末一般公共预算财政拨款结转和结余11.21万元，较上年决算数增加7.43万元，增长196.6%，主要原因是</w:t>
      </w:r>
      <w:r>
        <w:rPr>
          <w:rFonts w:hint="default" w:ascii="Times New Roman" w:hAnsi="Times New Roman" w:eastAsia="方正仿宋_GBK" w:cs="Times New Roman"/>
          <w:spacing w:val="0"/>
          <w:sz w:val="32"/>
          <w:szCs w:val="32"/>
          <w:lang w:eastAsia="zh-CN"/>
        </w:rPr>
        <w:t>增加项目经费结转</w:t>
      </w:r>
      <w:r>
        <w:rPr>
          <w:rFonts w:hint="default" w:ascii="Times New Roman" w:hAnsi="Times New Roman" w:eastAsia="方正仿宋_GBK" w:cs="Times New Roman"/>
          <w:spacing w:val="0"/>
          <w:sz w:val="32"/>
          <w:szCs w:val="32"/>
        </w:rPr>
        <w:t>。</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pacing w:val="0"/>
          <w:sz w:val="32"/>
          <w:szCs w:val="32"/>
        </w:rPr>
      </w:pPr>
      <w:r>
        <w:rPr>
          <w:rFonts w:hint="default" w:ascii="Times New Roman" w:hAnsi="Times New Roman" w:eastAsia="方正仿宋_GBK" w:cs="Times New Roman"/>
          <w:spacing w:val="0"/>
          <w:sz w:val="32"/>
          <w:szCs w:val="32"/>
        </w:rPr>
        <w:t>4.比较情况。本部门2020年度一般公共预算财政拨款支出主要用于以下几个方面：</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pacing w:val="0"/>
          <w:sz w:val="32"/>
          <w:szCs w:val="32"/>
        </w:rPr>
      </w:pPr>
      <w:r>
        <w:rPr>
          <w:rFonts w:hint="default" w:ascii="Times New Roman" w:hAnsi="Times New Roman" w:eastAsia="方正仿宋_GBK" w:cs="Times New Roman"/>
          <w:spacing w:val="0"/>
          <w:sz w:val="32"/>
          <w:szCs w:val="32"/>
        </w:rPr>
        <w:t>（1）一般公共服务支出1,447.92万元，占92.7%，较年初预算数增加26.88万 元，增长1.9%，主要原因是</w:t>
      </w:r>
      <w:r>
        <w:rPr>
          <w:rFonts w:hint="default" w:ascii="Times New Roman" w:hAnsi="Times New Roman" w:eastAsia="方正仿宋_GBK" w:cs="Times New Roman"/>
          <w:spacing w:val="0"/>
          <w:sz w:val="32"/>
          <w:szCs w:val="32"/>
          <w:lang w:eastAsia="zh-CN"/>
        </w:rPr>
        <w:t>后勤保障等经费增加</w:t>
      </w:r>
      <w:r>
        <w:rPr>
          <w:rFonts w:hint="default" w:ascii="Times New Roman" w:hAnsi="Times New Roman" w:eastAsia="方正仿宋_GBK" w:cs="Times New Roman"/>
          <w:spacing w:val="0"/>
          <w:sz w:val="32"/>
          <w:szCs w:val="32"/>
        </w:rPr>
        <w:t>。</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lang w:eastAsia="zh-CN"/>
        </w:rPr>
        <w:t>）社会保障与就业支出85.96万元，占5.5%，较年初预算数增加19.76万 元，增长29.8%，主要原因是</w:t>
      </w:r>
      <w:r>
        <w:rPr>
          <w:rFonts w:hint="default" w:ascii="Times New Roman" w:hAnsi="Times New Roman" w:eastAsia="方正仿宋_GBK" w:cs="Times New Roman"/>
          <w:sz w:val="32"/>
          <w:szCs w:val="32"/>
          <w:lang w:val="en-US" w:eastAsia="zh-CN"/>
        </w:rPr>
        <w:t>退休人员健康休养费等费用增加</w:t>
      </w:r>
      <w:r>
        <w:rPr>
          <w:rFonts w:hint="default" w:ascii="Times New Roman" w:hAnsi="Times New Roman" w:eastAsia="方正仿宋_GBK" w:cs="Times New Roman"/>
          <w:sz w:val="32"/>
          <w:szCs w:val="32"/>
          <w:lang w:eastAsia="zh-CN"/>
        </w:rPr>
        <w:t>。</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lang w:eastAsia="zh-CN"/>
        </w:rPr>
        <w:t>）卫生健康支出15.28万元，占1%，较年初预算数减少4.38万 元，下降22.3%，主要原因是</w:t>
      </w:r>
      <w:r>
        <w:rPr>
          <w:rFonts w:hint="default" w:ascii="Times New Roman" w:hAnsi="Times New Roman" w:eastAsia="方正仿宋_GBK" w:cs="Times New Roman"/>
          <w:sz w:val="32"/>
          <w:szCs w:val="32"/>
          <w:lang w:eastAsia="zh-CN"/>
        </w:rPr>
        <w:t>人员减少，</w:t>
      </w:r>
      <w:r>
        <w:rPr>
          <w:rFonts w:hint="default" w:ascii="Times New Roman" w:hAnsi="Times New Roman" w:eastAsia="方正仿宋_GBK" w:cs="Times New Roman"/>
          <w:sz w:val="32"/>
          <w:szCs w:val="32"/>
          <w:lang w:val="en-US" w:eastAsia="zh-CN"/>
        </w:rPr>
        <w:t>医疗保险费用减少</w:t>
      </w:r>
      <w:r>
        <w:rPr>
          <w:rFonts w:hint="default" w:ascii="Times New Roman" w:hAnsi="Times New Roman" w:eastAsia="方正仿宋_GBK" w:cs="Times New Roman"/>
          <w:sz w:val="32"/>
          <w:szCs w:val="32"/>
          <w:lang w:eastAsia="zh-CN"/>
        </w:rPr>
        <w:t>。</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lang w:eastAsia="zh-CN"/>
        </w:rPr>
        <w:t>）住房保障支出12.68万元，占0.8%，较年初预算数减少1.62万 元，下降11.3%，主要原因是</w:t>
      </w:r>
      <w:r>
        <w:rPr>
          <w:rFonts w:hint="default" w:ascii="Times New Roman" w:hAnsi="Times New Roman" w:eastAsia="方正仿宋_GBK" w:cs="Times New Roman"/>
          <w:sz w:val="32"/>
          <w:szCs w:val="32"/>
          <w:lang w:eastAsia="zh-CN"/>
        </w:rPr>
        <w:t>人员减少，住房公积金支出减少。</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（四）一般公共预算财政拨款基本支出决算情况说明</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2020年度一般公共财政拨款基本支出349.56万元。其中：人员经费315.44万元，较上年决算数增加36.84万 元，增长13.2%，主要原因是</w:t>
      </w:r>
      <w:r>
        <w:rPr>
          <w:rFonts w:hint="default" w:ascii="Times New Roman" w:hAnsi="Times New Roman" w:eastAsia="方正仿宋_GBK" w:cs="Times New Roman"/>
          <w:sz w:val="32"/>
          <w:szCs w:val="32"/>
          <w:lang w:eastAsia="zh-CN"/>
        </w:rPr>
        <w:t>增加事业人员工资福利支出以及对个人和家庭的补助支出</w:t>
      </w:r>
      <w:r>
        <w:rPr>
          <w:rFonts w:hint="default" w:ascii="Times New Roman" w:hAnsi="Times New Roman" w:eastAsia="方正仿宋_GBK" w:cs="Times New Roman"/>
          <w:sz w:val="32"/>
          <w:szCs w:val="32"/>
        </w:rPr>
        <w:t>。人员经费用途主要包括基本工资、津贴补贴、绩效工资、奖金、</w:t>
      </w:r>
      <w:r>
        <w:rPr>
          <w:rFonts w:hint="default" w:ascii="Times New Roman" w:hAnsi="Times New Roman" w:eastAsia="方正仿宋_GBK" w:cs="Times New Roman"/>
          <w:sz w:val="32"/>
          <w:szCs w:val="32"/>
          <w:lang w:eastAsia="zh-CN"/>
        </w:rPr>
        <w:t>其他工资福利支出、</w:t>
      </w:r>
      <w:r>
        <w:rPr>
          <w:rFonts w:hint="default" w:ascii="Times New Roman" w:hAnsi="Times New Roman" w:eastAsia="方正仿宋_GBK" w:cs="Times New Roman"/>
          <w:sz w:val="32"/>
          <w:szCs w:val="32"/>
        </w:rPr>
        <w:t>社会保障缴费、住房公积金</w:t>
      </w:r>
      <w:r>
        <w:rPr>
          <w:rFonts w:hint="default" w:ascii="Times New Roman" w:hAnsi="Times New Roman" w:eastAsia="方正仿宋_GBK" w:cs="Times New Roman"/>
          <w:sz w:val="32"/>
          <w:szCs w:val="32"/>
          <w:lang w:eastAsia="zh-CN"/>
        </w:rPr>
        <w:t>和其他对个人和家庭的补助支出</w:t>
      </w:r>
      <w:r>
        <w:rPr>
          <w:rFonts w:hint="default" w:ascii="Times New Roman" w:hAnsi="Times New Roman" w:eastAsia="方正仿宋_GBK" w:cs="Times New Roman"/>
          <w:sz w:val="32"/>
          <w:szCs w:val="32"/>
        </w:rPr>
        <w:t>等。公用经费34.12万元，较上年决算数增加22.03万元，增长182.2%，主要原因是</w:t>
      </w:r>
      <w:r>
        <w:rPr>
          <w:rFonts w:hint="default" w:ascii="Times New Roman" w:hAnsi="Times New Roman" w:eastAsia="方正仿宋_GBK" w:cs="Times New Roman"/>
          <w:sz w:val="32"/>
          <w:szCs w:val="32"/>
          <w:lang w:val="en-US" w:eastAsia="zh-CN"/>
        </w:rPr>
        <w:t>办公经费等公用经费增加</w:t>
      </w:r>
      <w:r>
        <w:rPr>
          <w:rFonts w:hint="default" w:ascii="Times New Roman" w:hAnsi="Times New Roman" w:eastAsia="方正仿宋_GBK" w:cs="Times New Roman"/>
          <w:sz w:val="32"/>
          <w:szCs w:val="32"/>
        </w:rPr>
        <w:t>。公用经费用途主要包括办公费、差旅费、邮电费、会议费、培训费、公务接待费、公车运行维护费、工会经费、福利费、其他交通费等。</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（五）政府性基金预算收支决算情况说明</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2020年度政府性基金预算财政拨款年初结转结余0.00万元，年末结转结余0.00万元。本年收入112.22万元，较上年决算数增加112.22万元，增长</w:t>
      </w:r>
      <w:r>
        <w:rPr>
          <w:rFonts w:hint="eastAsia" w:ascii="Times New Roman" w:hAnsi="Times New Roman" w:eastAsia="方正仿宋_GBK" w:cs="Times New Roman"/>
          <w:sz w:val="32"/>
          <w:szCs w:val="32"/>
          <w:lang w:val="en-US" w:eastAsia="zh-CN"/>
        </w:rPr>
        <w:t>100</w:t>
      </w:r>
      <w:r>
        <w:rPr>
          <w:rFonts w:hint="default" w:ascii="Times New Roman" w:hAnsi="Times New Roman" w:eastAsia="方正仿宋_GBK" w:cs="Times New Roman"/>
          <w:sz w:val="32"/>
          <w:szCs w:val="32"/>
        </w:rPr>
        <w:t>%，主要原因是2020年新增行政中心、影视中心设施设备改造专项工程</w:t>
      </w:r>
      <w:r>
        <w:rPr>
          <w:rFonts w:hint="default" w:ascii="Times New Roman" w:hAnsi="Times New Roman" w:eastAsia="方正仿宋_GBK" w:cs="Times New Roman"/>
          <w:sz w:val="32"/>
          <w:szCs w:val="32"/>
          <w:lang w:eastAsia="zh-CN"/>
        </w:rPr>
        <w:t>经费收入</w:t>
      </w:r>
      <w:r>
        <w:rPr>
          <w:rFonts w:hint="default" w:ascii="Times New Roman" w:hAnsi="Times New Roman" w:eastAsia="方正仿宋_GBK" w:cs="Times New Roman"/>
          <w:sz w:val="32"/>
          <w:szCs w:val="32"/>
        </w:rPr>
        <w:t>。本年支出112.22万元，较上年决算数增加112.22万元，增长</w:t>
      </w:r>
      <w:r>
        <w:rPr>
          <w:rFonts w:hint="eastAsia" w:ascii="Times New Roman" w:hAnsi="Times New Roman" w:eastAsia="方正仿宋_GBK" w:cs="Times New Roman"/>
          <w:sz w:val="32"/>
          <w:szCs w:val="32"/>
          <w:lang w:val="en-US" w:eastAsia="zh-CN"/>
        </w:rPr>
        <w:t>100</w:t>
      </w:r>
      <w:r>
        <w:rPr>
          <w:rFonts w:hint="default" w:ascii="Times New Roman" w:hAnsi="Times New Roman" w:eastAsia="方正仿宋_GBK" w:cs="Times New Roman"/>
          <w:sz w:val="32"/>
          <w:szCs w:val="32"/>
        </w:rPr>
        <w:t>%，主要原因是2020年新增行政中心、影视中心设施设备改造专项工程</w:t>
      </w:r>
      <w:r>
        <w:rPr>
          <w:rFonts w:hint="default" w:ascii="Times New Roman" w:hAnsi="Times New Roman" w:eastAsia="方正仿宋_GBK" w:cs="Times New Roman"/>
          <w:sz w:val="32"/>
          <w:szCs w:val="32"/>
          <w:lang w:eastAsia="zh-CN"/>
        </w:rPr>
        <w:t>经费支出</w:t>
      </w:r>
      <w:r>
        <w:rPr>
          <w:rFonts w:hint="default" w:ascii="Times New Roman" w:hAnsi="Times New Roman" w:eastAsia="方正仿宋_GBK" w:cs="Times New Roman"/>
          <w:sz w:val="32"/>
          <w:szCs w:val="32"/>
        </w:rPr>
        <w:t>。</w:t>
      </w:r>
    </w:p>
    <w:p>
      <w:pPr>
        <w:keepNext w:val="0"/>
        <w:keepLines w:val="0"/>
        <w:pageBreakBefore w:val="0"/>
        <w:widowControl/>
        <w:kinsoku/>
        <w:wordWrap/>
        <w:overflowPunct/>
        <w:topLinePunct w:val="0"/>
        <w:autoSpaceDE/>
        <w:autoSpaceDN/>
        <w:bidi w:val="0"/>
        <w:adjustRightInd/>
        <w:snapToGrid/>
        <w:spacing w:line="576" w:lineRule="exact"/>
        <w:ind w:left="638" w:leftChars="266" w:right="0" w:rightChars="0" w:firstLine="0" w:firstLineChars="0"/>
        <w:jc w:val="left"/>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楷体_GBK" w:cs="Times New Roman"/>
          <w:sz w:val="32"/>
          <w:szCs w:val="32"/>
        </w:rPr>
        <w:t>（六）国有资本经营预算财政拨款支决算情况说明。</w:t>
      </w:r>
      <w:r>
        <w:rPr>
          <w:rFonts w:hint="default" w:ascii="Times New Roman" w:hAnsi="Times New Roman" w:eastAsia="方正仿宋_GBK" w:cs="Times New Roman"/>
          <w:sz w:val="32"/>
          <w:szCs w:val="32"/>
        </w:rPr>
        <w:br w:type="textWrapping"/>
      </w:r>
      <w:r>
        <w:rPr>
          <w:rFonts w:hint="default" w:ascii="Times New Roman" w:hAnsi="Times New Roman" w:eastAsia="方正仿宋_GBK" w:cs="Times New Roman"/>
          <w:sz w:val="32"/>
          <w:szCs w:val="32"/>
        </w:rPr>
        <w:t>本部门2020年度无国有资本经营预算财政拨款支出。</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三、“三公”经费情况说明</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（一）“三公”经费支出总体情况说明</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2020年度“三公”经费支出共计2.87万元，较年初预算数减少0.63万元，下降18%，主要原因是</w:t>
      </w:r>
      <w:r>
        <w:rPr>
          <w:rFonts w:hint="default" w:ascii="Times New Roman" w:hAnsi="Times New Roman" w:eastAsia="方正仿宋_GBK" w:cs="Times New Roman"/>
          <w:sz w:val="32"/>
          <w:szCs w:val="32"/>
          <w:lang w:val="en-US" w:eastAsia="zh-CN"/>
        </w:rPr>
        <w:t>严格</w:t>
      </w:r>
      <w:r>
        <w:rPr>
          <w:rFonts w:hint="default" w:ascii="Times New Roman" w:hAnsi="Times New Roman" w:eastAsia="方正仿宋_GBK" w:cs="Times New Roman"/>
          <w:sz w:val="32"/>
          <w:szCs w:val="32"/>
        </w:rPr>
        <w:t>贯彻落实中央八项规定精神和厉行节约要求，按照只减不增的要求从严控制</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三公</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经费，全年实际支出较预算有所下降</w:t>
      </w:r>
      <w:r>
        <w:rPr>
          <w:rFonts w:hint="default" w:ascii="Times New Roman" w:hAnsi="Times New Roman" w:eastAsia="方正仿宋_GBK" w:cs="Times New Roman"/>
          <w:sz w:val="32"/>
          <w:szCs w:val="32"/>
          <w:lang w:eastAsia="zh-CN"/>
        </w:rPr>
        <w:t>，一是</w:t>
      </w:r>
      <w:r>
        <w:rPr>
          <w:rFonts w:hint="default" w:ascii="Times New Roman" w:hAnsi="Times New Roman" w:eastAsia="方正仿宋_GBK" w:cs="Times New Roman"/>
          <w:sz w:val="32"/>
          <w:szCs w:val="32"/>
        </w:rPr>
        <w:t>严格落实公车使用规定，</w:t>
      </w:r>
      <w:r>
        <w:rPr>
          <w:rFonts w:hint="default" w:ascii="Times New Roman" w:hAnsi="Times New Roman" w:eastAsia="方正仿宋_GBK" w:cs="Times New Roman"/>
          <w:sz w:val="32"/>
          <w:szCs w:val="32"/>
          <w:lang w:eastAsia="zh-CN"/>
        </w:rPr>
        <w:t>规范公务用车管理使用</w:t>
      </w:r>
      <w:r>
        <w:rPr>
          <w:rFonts w:hint="default" w:ascii="Times New Roman" w:hAnsi="Times New Roman" w:eastAsia="方正仿宋_GBK" w:cs="Times New Roman"/>
          <w:sz w:val="32"/>
          <w:szCs w:val="32"/>
        </w:rPr>
        <w:t>，公车运行维护</w:t>
      </w:r>
      <w:r>
        <w:rPr>
          <w:rFonts w:hint="default" w:ascii="Times New Roman" w:hAnsi="Times New Roman" w:eastAsia="方正仿宋_GBK" w:cs="Times New Roman"/>
          <w:sz w:val="32"/>
          <w:szCs w:val="32"/>
          <w:lang w:eastAsia="zh-CN"/>
        </w:rPr>
        <w:t>费</w:t>
      </w:r>
      <w:r>
        <w:rPr>
          <w:rFonts w:hint="default" w:ascii="Times New Roman" w:hAnsi="Times New Roman" w:eastAsia="方正仿宋_GBK" w:cs="Times New Roman"/>
          <w:sz w:val="32"/>
          <w:szCs w:val="32"/>
        </w:rPr>
        <w:t>下降</w:t>
      </w:r>
      <w:r>
        <w:rPr>
          <w:rFonts w:hint="default" w:ascii="Times New Roman" w:hAnsi="Times New Roman" w:eastAsia="方正仿宋_GBK" w:cs="Times New Roman"/>
          <w:sz w:val="32"/>
          <w:szCs w:val="32"/>
          <w:lang w:eastAsia="zh-CN"/>
        </w:rPr>
        <w:t>；二</w:t>
      </w:r>
      <w:r>
        <w:rPr>
          <w:rFonts w:hint="default" w:ascii="Times New Roman" w:hAnsi="Times New Roman" w:eastAsia="方正仿宋_GBK" w:cs="Times New Roman"/>
          <w:sz w:val="32"/>
          <w:szCs w:val="32"/>
        </w:rPr>
        <w:t>是</w:t>
      </w:r>
      <w:r>
        <w:rPr>
          <w:rFonts w:hint="default" w:ascii="Times New Roman" w:hAnsi="Times New Roman" w:eastAsia="方正仿宋_GBK" w:cs="Times New Roman"/>
          <w:sz w:val="32"/>
          <w:szCs w:val="32"/>
          <w:lang w:eastAsia="zh-CN"/>
        </w:rPr>
        <w:t>无</w:t>
      </w:r>
      <w:r>
        <w:rPr>
          <w:rFonts w:hint="default" w:ascii="Times New Roman" w:hAnsi="Times New Roman" w:eastAsia="方正仿宋_GBK" w:cs="Times New Roman"/>
          <w:sz w:val="32"/>
          <w:szCs w:val="32"/>
        </w:rPr>
        <w:t>公务接待</w:t>
      </w:r>
      <w:r>
        <w:rPr>
          <w:rFonts w:hint="default" w:ascii="Times New Roman" w:hAnsi="Times New Roman" w:eastAsia="方正仿宋_GBK" w:cs="Times New Roman"/>
          <w:sz w:val="32"/>
          <w:szCs w:val="32"/>
          <w:lang w:eastAsia="zh-CN"/>
        </w:rPr>
        <w:t>发生；三</w:t>
      </w:r>
      <w:r>
        <w:rPr>
          <w:rFonts w:hint="default" w:ascii="Times New Roman" w:hAnsi="Times New Roman" w:eastAsia="方正仿宋_GBK" w:cs="Times New Roman"/>
          <w:sz w:val="32"/>
          <w:szCs w:val="32"/>
        </w:rPr>
        <w:t>是进一步规范因公出国（境）活动，今年未安排单位人员出国出访。较上年支出数减少0.62万 元，下降17.8%，主要原因是</w:t>
      </w:r>
      <w:r>
        <w:rPr>
          <w:rFonts w:hint="default" w:ascii="Times New Roman" w:hAnsi="Times New Roman" w:eastAsia="方正仿宋_GBK" w:cs="Times New Roman"/>
          <w:sz w:val="32"/>
          <w:szCs w:val="32"/>
          <w:lang w:val="en-US" w:eastAsia="zh-CN"/>
        </w:rPr>
        <w:t>减少了国内公务接待费用</w:t>
      </w:r>
      <w:r>
        <w:rPr>
          <w:rFonts w:hint="default" w:ascii="Times New Roman" w:hAnsi="Times New Roman" w:eastAsia="方正仿宋_GBK" w:cs="Times New Roman"/>
          <w:sz w:val="32"/>
          <w:szCs w:val="32"/>
        </w:rPr>
        <w:t>。</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（二）“三公”经费分项支出情况</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2020年度本部门</w:t>
      </w:r>
      <w:r>
        <w:rPr>
          <w:rFonts w:hint="default" w:ascii="Times New Roman" w:hAnsi="Times New Roman" w:eastAsia="方正仿宋_GBK" w:cs="Times New Roman"/>
          <w:sz w:val="32"/>
          <w:szCs w:val="32"/>
          <w:lang w:eastAsia="zh-CN"/>
        </w:rPr>
        <w:t>未发生</w:t>
      </w:r>
      <w:r>
        <w:rPr>
          <w:rFonts w:hint="default" w:ascii="Times New Roman" w:hAnsi="Times New Roman" w:eastAsia="方正仿宋_GBK" w:cs="Times New Roman"/>
          <w:sz w:val="32"/>
          <w:szCs w:val="32"/>
        </w:rPr>
        <w:t>因公出国（境）费用。费用支出</w:t>
      </w:r>
      <w:r>
        <w:rPr>
          <w:rFonts w:hint="default" w:ascii="Times New Roman" w:hAnsi="Times New Roman" w:eastAsia="方正仿宋_GBK" w:cs="Times New Roman"/>
          <w:sz w:val="32"/>
          <w:szCs w:val="32"/>
          <w:lang w:eastAsia="zh-CN"/>
        </w:rPr>
        <w:t>与</w:t>
      </w:r>
      <w:r>
        <w:rPr>
          <w:rFonts w:hint="default" w:ascii="Times New Roman" w:hAnsi="Times New Roman" w:eastAsia="方正仿宋_GBK" w:cs="Times New Roman"/>
          <w:sz w:val="32"/>
          <w:szCs w:val="32"/>
        </w:rPr>
        <w:t>年初预算数</w:t>
      </w:r>
      <w:r>
        <w:rPr>
          <w:rFonts w:hint="default" w:ascii="Times New Roman" w:hAnsi="Times New Roman" w:eastAsia="方正仿宋_GBK" w:cs="Times New Roman"/>
          <w:sz w:val="32"/>
          <w:szCs w:val="32"/>
          <w:lang w:eastAsia="zh-CN"/>
        </w:rPr>
        <w:t>持平，与</w:t>
      </w:r>
      <w:r>
        <w:rPr>
          <w:rFonts w:hint="default" w:ascii="Times New Roman" w:hAnsi="Times New Roman" w:eastAsia="方正仿宋_GBK" w:cs="Times New Roman"/>
          <w:sz w:val="32"/>
          <w:szCs w:val="32"/>
        </w:rPr>
        <w:t>上年支出数</w:t>
      </w:r>
      <w:r>
        <w:rPr>
          <w:rFonts w:hint="default" w:ascii="Times New Roman" w:hAnsi="Times New Roman" w:eastAsia="方正仿宋_GBK" w:cs="Times New Roman"/>
          <w:sz w:val="32"/>
          <w:szCs w:val="32"/>
          <w:lang w:eastAsia="zh-CN"/>
        </w:rPr>
        <w:t>持平。</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2020年度本部门</w:t>
      </w:r>
      <w:r>
        <w:rPr>
          <w:rFonts w:hint="default" w:ascii="Times New Roman" w:hAnsi="Times New Roman" w:eastAsia="方正仿宋_GBK" w:cs="Times New Roman"/>
          <w:sz w:val="32"/>
          <w:szCs w:val="32"/>
          <w:lang w:eastAsia="zh-CN"/>
        </w:rPr>
        <w:t>未发生</w:t>
      </w:r>
      <w:r>
        <w:rPr>
          <w:rFonts w:hint="default" w:ascii="Times New Roman" w:hAnsi="Times New Roman" w:eastAsia="方正仿宋_GBK" w:cs="Times New Roman"/>
          <w:sz w:val="32"/>
          <w:szCs w:val="32"/>
        </w:rPr>
        <w:t>公务车购置费。费用支出</w:t>
      </w:r>
      <w:r>
        <w:rPr>
          <w:rFonts w:hint="default" w:ascii="Times New Roman" w:hAnsi="Times New Roman" w:eastAsia="方正仿宋_GBK" w:cs="Times New Roman"/>
          <w:sz w:val="32"/>
          <w:szCs w:val="32"/>
          <w:lang w:eastAsia="zh-CN"/>
        </w:rPr>
        <w:t>与</w:t>
      </w:r>
      <w:r>
        <w:rPr>
          <w:rFonts w:hint="default" w:ascii="Times New Roman" w:hAnsi="Times New Roman" w:eastAsia="方正仿宋_GBK" w:cs="Times New Roman"/>
          <w:sz w:val="32"/>
          <w:szCs w:val="32"/>
        </w:rPr>
        <w:t>年初预算数</w:t>
      </w:r>
      <w:r>
        <w:rPr>
          <w:rFonts w:hint="default" w:ascii="Times New Roman" w:hAnsi="Times New Roman" w:eastAsia="方正仿宋_GBK" w:cs="Times New Roman"/>
          <w:sz w:val="32"/>
          <w:szCs w:val="32"/>
          <w:lang w:eastAsia="zh-CN"/>
        </w:rPr>
        <w:t>持平，与</w:t>
      </w:r>
      <w:r>
        <w:rPr>
          <w:rFonts w:hint="default" w:ascii="Times New Roman" w:hAnsi="Times New Roman" w:eastAsia="方正仿宋_GBK" w:cs="Times New Roman"/>
          <w:sz w:val="32"/>
          <w:szCs w:val="32"/>
        </w:rPr>
        <w:t>上年支出数</w:t>
      </w:r>
      <w:r>
        <w:rPr>
          <w:rFonts w:hint="default" w:ascii="Times New Roman" w:hAnsi="Times New Roman" w:eastAsia="方正仿宋_GBK" w:cs="Times New Roman"/>
          <w:sz w:val="32"/>
          <w:szCs w:val="32"/>
          <w:lang w:eastAsia="zh-CN"/>
        </w:rPr>
        <w:t>持平</w:t>
      </w:r>
      <w:r>
        <w:rPr>
          <w:rFonts w:hint="default" w:ascii="Times New Roman" w:hAnsi="Times New Roman" w:eastAsia="方正仿宋_GBK" w:cs="Times New Roman"/>
          <w:sz w:val="32"/>
          <w:szCs w:val="32"/>
        </w:rPr>
        <w:t>。</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公务车运行维护费2.87万元，主要用于区跨部门公务用车平台车辆</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领导调研和</w:t>
      </w:r>
      <w:r>
        <w:rPr>
          <w:rFonts w:hint="default" w:ascii="Times New Roman" w:hAnsi="Times New Roman" w:eastAsia="方正仿宋_GBK" w:cs="Times New Roman"/>
          <w:sz w:val="32"/>
          <w:szCs w:val="32"/>
          <w:lang w:eastAsia="zh-CN"/>
        </w:rPr>
        <w:t>区级</w:t>
      </w:r>
      <w:r>
        <w:rPr>
          <w:rFonts w:hint="default" w:ascii="Times New Roman" w:hAnsi="Times New Roman" w:eastAsia="方正仿宋_GBK" w:cs="Times New Roman"/>
          <w:sz w:val="32"/>
          <w:szCs w:val="32"/>
        </w:rPr>
        <w:t>公务接待等</w:t>
      </w:r>
      <w:r>
        <w:rPr>
          <w:rFonts w:hint="default" w:ascii="Times New Roman" w:hAnsi="Times New Roman" w:eastAsia="方正仿宋_GBK" w:cs="Times New Roman"/>
          <w:sz w:val="32"/>
          <w:szCs w:val="32"/>
          <w:lang w:eastAsia="zh-CN"/>
        </w:rPr>
        <w:t>用车</w:t>
      </w:r>
      <w:r>
        <w:rPr>
          <w:rFonts w:hint="default" w:ascii="Times New Roman" w:hAnsi="Times New Roman" w:eastAsia="方正仿宋_GBK" w:cs="Times New Roman"/>
          <w:sz w:val="32"/>
          <w:szCs w:val="32"/>
        </w:rPr>
        <w:t>）的燃料费、维修费、过桥过路费、保险费等。费用支出较年初预算数减少0.63万元，下降18%，主要原因是区跨部门公务用车平台车辆</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领导调研和</w:t>
      </w:r>
      <w:r>
        <w:rPr>
          <w:rFonts w:hint="default" w:ascii="Times New Roman" w:hAnsi="Times New Roman" w:eastAsia="方正仿宋_GBK" w:cs="Times New Roman"/>
          <w:sz w:val="32"/>
          <w:szCs w:val="32"/>
          <w:lang w:eastAsia="zh-CN"/>
        </w:rPr>
        <w:t>区级</w:t>
      </w:r>
      <w:r>
        <w:rPr>
          <w:rFonts w:hint="default" w:ascii="Times New Roman" w:hAnsi="Times New Roman" w:eastAsia="方正仿宋_GBK" w:cs="Times New Roman"/>
          <w:sz w:val="32"/>
          <w:szCs w:val="32"/>
        </w:rPr>
        <w:t>公务接待等</w:t>
      </w:r>
      <w:r>
        <w:rPr>
          <w:rFonts w:hint="default" w:ascii="Times New Roman" w:hAnsi="Times New Roman" w:eastAsia="方正仿宋_GBK" w:cs="Times New Roman"/>
          <w:sz w:val="32"/>
          <w:szCs w:val="32"/>
          <w:lang w:eastAsia="zh-CN"/>
        </w:rPr>
        <w:t>用车</w:t>
      </w:r>
      <w:r>
        <w:rPr>
          <w:rFonts w:hint="default" w:ascii="Times New Roman" w:hAnsi="Times New Roman" w:eastAsia="方正仿宋_GBK" w:cs="Times New Roman"/>
          <w:sz w:val="32"/>
          <w:szCs w:val="32"/>
        </w:rPr>
        <w:t>）的燃料费、维修费、过桥过路费、保险费等。较上年支出数增加0.10万元，增长3.6%，</w:t>
      </w:r>
      <w:r>
        <w:rPr>
          <w:rFonts w:hint="default" w:ascii="Times New Roman" w:hAnsi="Times New Roman" w:eastAsia="方正仿宋_GBK" w:cs="Times New Roman"/>
          <w:sz w:val="32"/>
          <w:szCs w:val="32"/>
          <w:lang w:eastAsia="zh-CN"/>
        </w:rPr>
        <w:t>与上年支出数基本持平</w:t>
      </w:r>
      <w:r>
        <w:rPr>
          <w:rFonts w:hint="default" w:ascii="Times New Roman" w:hAnsi="Times New Roman" w:eastAsia="方正仿宋_GBK" w:cs="Times New Roman"/>
          <w:sz w:val="32"/>
          <w:szCs w:val="32"/>
        </w:rPr>
        <w:t>。</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2020年度本部门</w:t>
      </w:r>
      <w:r>
        <w:rPr>
          <w:rFonts w:hint="default" w:ascii="Times New Roman" w:hAnsi="Times New Roman" w:eastAsia="方正仿宋_GBK" w:cs="Times New Roman"/>
          <w:sz w:val="32"/>
          <w:szCs w:val="32"/>
          <w:lang w:eastAsia="zh-CN"/>
        </w:rPr>
        <w:t>未发生</w:t>
      </w:r>
      <w:r>
        <w:rPr>
          <w:rFonts w:hint="default" w:ascii="Times New Roman" w:hAnsi="Times New Roman" w:eastAsia="方正仿宋_GBK" w:cs="Times New Roman"/>
          <w:sz w:val="32"/>
          <w:szCs w:val="32"/>
        </w:rPr>
        <w:t>公务接待费</w:t>
      </w:r>
      <w:r>
        <w:rPr>
          <w:rFonts w:hint="default" w:ascii="Times New Roman" w:hAnsi="Times New Roman" w:eastAsia="方正仿宋_GBK" w:cs="Times New Roman"/>
          <w:sz w:val="32"/>
          <w:szCs w:val="32"/>
          <w:lang w:eastAsia="zh-CN"/>
        </w:rPr>
        <w:t>支出</w:t>
      </w:r>
      <w:r>
        <w:rPr>
          <w:rFonts w:hint="default" w:ascii="Times New Roman" w:hAnsi="Times New Roman" w:eastAsia="方正仿宋_GBK" w:cs="Times New Roman"/>
          <w:sz w:val="32"/>
          <w:szCs w:val="32"/>
        </w:rPr>
        <w:t>。费用支出</w:t>
      </w:r>
      <w:r>
        <w:rPr>
          <w:rFonts w:hint="default" w:ascii="Times New Roman" w:hAnsi="Times New Roman" w:eastAsia="方正仿宋_GBK" w:cs="Times New Roman"/>
          <w:sz w:val="32"/>
          <w:szCs w:val="32"/>
          <w:lang w:eastAsia="zh-CN"/>
        </w:rPr>
        <w:t>与</w:t>
      </w:r>
      <w:r>
        <w:rPr>
          <w:rFonts w:hint="default" w:ascii="Times New Roman" w:hAnsi="Times New Roman" w:eastAsia="方正仿宋_GBK" w:cs="Times New Roman"/>
          <w:sz w:val="32"/>
          <w:szCs w:val="32"/>
        </w:rPr>
        <w:t>年初预算数</w:t>
      </w:r>
      <w:r>
        <w:rPr>
          <w:rFonts w:hint="default" w:ascii="Times New Roman" w:hAnsi="Times New Roman" w:eastAsia="方正仿宋_GBK" w:cs="Times New Roman"/>
          <w:sz w:val="32"/>
          <w:szCs w:val="32"/>
          <w:lang w:eastAsia="zh-CN"/>
        </w:rPr>
        <w:t>持平</w:t>
      </w:r>
      <w:r>
        <w:rPr>
          <w:rFonts w:hint="default" w:ascii="Times New Roman" w:hAnsi="Times New Roman" w:eastAsia="方正仿宋_GBK" w:cs="Times New Roman"/>
          <w:sz w:val="32"/>
          <w:szCs w:val="32"/>
        </w:rPr>
        <w:t>。较上年支出数减少0.71万元，下降100%，主要原因是</w:t>
      </w:r>
      <w:r>
        <w:rPr>
          <w:rFonts w:hint="default" w:ascii="Times New Roman" w:hAnsi="Times New Roman" w:eastAsia="方正仿宋_GBK" w:cs="Times New Roman"/>
          <w:sz w:val="32"/>
          <w:szCs w:val="32"/>
          <w:lang w:val="en-US" w:eastAsia="zh-CN"/>
        </w:rPr>
        <w:t>2020年无公务接待发生</w:t>
      </w:r>
      <w:r>
        <w:rPr>
          <w:rFonts w:hint="default" w:ascii="Times New Roman" w:hAnsi="Times New Roman" w:eastAsia="方正仿宋_GBK" w:cs="Times New Roman"/>
          <w:sz w:val="32"/>
          <w:szCs w:val="32"/>
        </w:rPr>
        <w:t>。</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（三）“三公”经费实物量情况</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2020年度本部门因公出国（境）共计0个团组，0人；公务用车购置0辆，公务车保有量为2辆；国内公务接待0批次0人，其中：国内外事接待0批次，0人；国（境）外公务接待0批次，0人。2020年本部门人均接待费0.00元，车均购置费0.00万元，车均维护费1.44万元。</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四、其他需要说明的事项</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（一）机关运行经费情况说明</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2020年度本部门</w:t>
      </w:r>
      <w:r>
        <w:rPr>
          <w:rFonts w:hint="default" w:ascii="Times New Roman" w:hAnsi="Times New Roman" w:eastAsia="方正仿宋_GBK" w:cs="Times New Roman"/>
          <w:sz w:val="32"/>
          <w:szCs w:val="32"/>
          <w:lang w:eastAsia="zh-CN"/>
        </w:rPr>
        <w:t>未发生</w:t>
      </w:r>
      <w:r>
        <w:rPr>
          <w:rFonts w:hint="default" w:ascii="Times New Roman" w:hAnsi="Times New Roman" w:eastAsia="方正仿宋_GBK" w:cs="Times New Roman"/>
          <w:sz w:val="32"/>
          <w:szCs w:val="32"/>
        </w:rPr>
        <w:t>机关运行经费支出。机关运行经费</w:t>
      </w:r>
      <w:r>
        <w:rPr>
          <w:rFonts w:hint="default" w:ascii="Times New Roman" w:hAnsi="Times New Roman" w:eastAsia="方正仿宋_GBK" w:cs="Times New Roman"/>
          <w:sz w:val="32"/>
          <w:szCs w:val="32"/>
          <w:lang w:eastAsia="zh-CN"/>
        </w:rPr>
        <w:t>与</w:t>
      </w:r>
      <w:r>
        <w:rPr>
          <w:rFonts w:hint="default" w:ascii="Times New Roman" w:hAnsi="Times New Roman" w:eastAsia="方正仿宋_GBK" w:cs="Times New Roman"/>
          <w:sz w:val="32"/>
          <w:szCs w:val="32"/>
        </w:rPr>
        <w:t>上年决算数</w:t>
      </w:r>
      <w:r>
        <w:rPr>
          <w:rFonts w:hint="default" w:ascii="Times New Roman" w:hAnsi="Times New Roman" w:eastAsia="方正仿宋_GBK" w:cs="Times New Roman"/>
          <w:sz w:val="32"/>
          <w:szCs w:val="32"/>
          <w:lang w:eastAsia="zh-CN"/>
        </w:rPr>
        <w:t>持平</w:t>
      </w:r>
      <w:r>
        <w:rPr>
          <w:rFonts w:hint="default" w:ascii="Times New Roman" w:hAnsi="Times New Roman" w:eastAsia="方正仿宋_GBK" w:cs="Times New Roman"/>
          <w:sz w:val="32"/>
          <w:szCs w:val="32"/>
        </w:rPr>
        <w:t>。</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本年度会议费支出10.74万元，较上年决算数增加0.42万元，增长4.1%，主要原因是</w:t>
      </w:r>
      <w:r>
        <w:rPr>
          <w:rFonts w:hint="default" w:ascii="Times New Roman" w:hAnsi="Times New Roman" w:eastAsia="方正仿宋_GBK" w:cs="Times New Roman"/>
          <w:sz w:val="32"/>
          <w:szCs w:val="32"/>
          <w:lang w:val="en-US" w:eastAsia="zh-CN"/>
        </w:rPr>
        <w:t>会议召开次数增加，会议费支出增加</w:t>
      </w:r>
      <w:r>
        <w:rPr>
          <w:rFonts w:hint="default" w:ascii="Times New Roman" w:hAnsi="Times New Roman" w:eastAsia="方正仿宋_GBK" w:cs="Times New Roman"/>
          <w:sz w:val="32"/>
          <w:szCs w:val="32"/>
        </w:rPr>
        <w:t>。本年度培训费支出 0.03万元，较上年决算数减少7.73万元，下降99.6%，主要原因是</w:t>
      </w:r>
      <w:r>
        <w:rPr>
          <w:rFonts w:hint="default" w:ascii="Times New Roman" w:hAnsi="Times New Roman" w:eastAsia="方正仿宋_GBK" w:cs="Times New Roman"/>
          <w:sz w:val="32"/>
          <w:szCs w:val="32"/>
          <w:lang w:val="en-US" w:eastAsia="zh-CN"/>
        </w:rPr>
        <w:t>疫情影响，外出培训减少，费用减少</w:t>
      </w:r>
      <w:r>
        <w:rPr>
          <w:rFonts w:hint="default" w:ascii="Times New Roman" w:hAnsi="Times New Roman" w:eastAsia="方正仿宋_GBK" w:cs="Times New Roman"/>
          <w:sz w:val="32"/>
          <w:szCs w:val="32"/>
        </w:rPr>
        <w:t>。</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（二）国有资产占用情况说明</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截至2020年12月31日，本部门共有车辆2辆，其中，副部（省）级及以上领导用车0辆、主要领导干部用车0辆、机要通信用车0辆、应急保障用车2辆、执法执勤用车0辆，特种专业技术用车0辆，离退休干部用车0辆，其他用车0辆。单价50万元（含）以上通用设备1台（套），单价100万元（含）以上专用设备1台（套）。</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（三）政府采购支出情况说明</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2020年度本部门政府采购支出总额2.71万元，其中：政府采购货物支出2.71万元、政府采购工程支出0.00万元、政府采购服务支出0.00万元。授予中小企业合同金额2.71万元，占政府采购支出总额的100%，其中：授予小微企业合同金额 2.71万元，占政府采购支出总额的100%。主要用于采购</w:t>
      </w:r>
      <w:r>
        <w:rPr>
          <w:rFonts w:hint="default" w:ascii="Times New Roman" w:hAnsi="Times New Roman" w:eastAsia="方正仿宋_GBK" w:cs="Times New Roman"/>
          <w:sz w:val="32"/>
          <w:szCs w:val="32"/>
          <w:lang w:val="en-US" w:eastAsia="zh-CN"/>
        </w:rPr>
        <w:t>电脑、打印机、无线话筒等货物</w:t>
      </w:r>
      <w:r>
        <w:rPr>
          <w:rFonts w:hint="default" w:ascii="Times New Roman" w:hAnsi="Times New Roman" w:eastAsia="方正仿宋_GBK" w:cs="Times New Roman"/>
          <w:sz w:val="32"/>
          <w:szCs w:val="32"/>
        </w:rPr>
        <w:t>。</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五、预算绩效管理情况说明</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（一）预算绩效管理工作开展情况</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根据预算绩效管理要求，</w:t>
      </w:r>
      <w:r>
        <w:rPr>
          <w:rFonts w:hint="default" w:ascii="Times New Roman" w:hAnsi="Times New Roman" w:eastAsia="方正仿宋_GBK" w:cs="Times New Roman"/>
          <w:sz w:val="32"/>
          <w:szCs w:val="32"/>
          <w:lang w:eastAsia="zh-CN"/>
        </w:rPr>
        <w:t>本部门</w:t>
      </w:r>
      <w:r>
        <w:rPr>
          <w:rFonts w:hint="default" w:ascii="Times New Roman" w:hAnsi="Times New Roman" w:eastAsia="方正仿宋_GBK" w:cs="Times New Roman"/>
          <w:sz w:val="32"/>
          <w:szCs w:val="32"/>
          <w:lang w:val="en-US" w:eastAsia="zh-CN"/>
        </w:rPr>
        <w:t>以填报目标自评表形式</w:t>
      </w:r>
      <w:r>
        <w:rPr>
          <w:rFonts w:hint="default" w:ascii="Times New Roman" w:hAnsi="Times New Roman" w:eastAsia="方正仿宋_GBK" w:cs="Times New Roman"/>
          <w:sz w:val="32"/>
          <w:szCs w:val="32"/>
        </w:rPr>
        <w:t>对</w:t>
      </w:r>
      <w:r>
        <w:rPr>
          <w:rFonts w:hint="default" w:ascii="Times New Roman" w:hAnsi="Times New Roman" w:eastAsia="方正仿宋_GBK" w:cs="Times New Roman"/>
          <w:sz w:val="32"/>
          <w:szCs w:val="32"/>
          <w:lang w:val="en-US" w:eastAsia="zh-CN"/>
        </w:rPr>
        <w:t>14</w:t>
      </w:r>
      <w:r>
        <w:rPr>
          <w:rFonts w:hint="default" w:ascii="Times New Roman" w:hAnsi="Times New Roman" w:eastAsia="方正仿宋_GBK" w:cs="Times New Roman"/>
          <w:sz w:val="32"/>
          <w:szCs w:val="32"/>
        </w:rPr>
        <w:t>个项目开展了绩效自评，涉及资金</w:t>
      </w:r>
      <w:r>
        <w:rPr>
          <w:rFonts w:hint="default" w:ascii="Times New Roman" w:hAnsi="Times New Roman" w:eastAsia="方正仿宋_GBK" w:cs="Times New Roman"/>
          <w:sz w:val="32"/>
          <w:szCs w:val="32"/>
          <w:lang w:val="en-US" w:eastAsia="zh-CN"/>
        </w:rPr>
        <w:t>1297.23</w:t>
      </w:r>
      <w:r>
        <w:rPr>
          <w:rFonts w:hint="default" w:ascii="Times New Roman" w:hAnsi="Times New Roman" w:eastAsia="方正仿宋_GBK" w:cs="Times New Roman"/>
          <w:sz w:val="32"/>
          <w:szCs w:val="32"/>
        </w:rPr>
        <w:t>万元。从评价情况来看，绩效指标完成</w:t>
      </w:r>
      <w:r>
        <w:rPr>
          <w:rFonts w:hint="default" w:ascii="Times New Roman" w:hAnsi="Times New Roman" w:eastAsia="方正仿宋_GBK" w:cs="Times New Roman"/>
          <w:sz w:val="32"/>
          <w:szCs w:val="32"/>
          <w:lang w:eastAsia="zh-CN"/>
        </w:rPr>
        <w:t>较好。</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lang w:eastAsia="zh-CN"/>
        </w:rPr>
        <w:t>（二）</w:t>
      </w:r>
      <w:r>
        <w:rPr>
          <w:rFonts w:hint="default" w:ascii="Times New Roman" w:hAnsi="Times New Roman" w:eastAsia="方正楷体_GBK" w:cs="Times New Roman"/>
          <w:sz w:val="32"/>
          <w:szCs w:val="32"/>
        </w:rPr>
        <w:t>绩效自评结果</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集中办公区安全保卫服务费项目绩效目标自评综述：</w:t>
      </w:r>
      <w:r>
        <w:rPr>
          <w:rFonts w:hint="default" w:ascii="Times New Roman" w:hAnsi="Times New Roman" w:eastAsia="方正仿宋_GBK" w:cs="Times New Roman"/>
          <w:sz w:val="32"/>
          <w:szCs w:val="32"/>
        </w:rPr>
        <w:t>根据年初设定的绩效目标，项目总体完成</w:t>
      </w:r>
      <w:r>
        <w:rPr>
          <w:rFonts w:hint="default" w:ascii="Times New Roman" w:hAnsi="Times New Roman" w:eastAsia="方正仿宋_GBK" w:cs="Times New Roman"/>
          <w:sz w:val="32"/>
          <w:szCs w:val="32"/>
          <w:lang w:eastAsia="zh-CN"/>
        </w:rPr>
        <w:t>较好</w:t>
      </w:r>
      <w:r>
        <w:rPr>
          <w:rFonts w:hint="default" w:ascii="Times New Roman" w:hAnsi="Times New Roman" w:eastAsia="方正仿宋_GBK" w:cs="Times New Roman"/>
          <w:sz w:val="32"/>
          <w:szCs w:val="32"/>
        </w:rPr>
        <w:t>。项目全年预算数</w:t>
      </w:r>
      <w:r>
        <w:rPr>
          <w:rFonts w:hint="default" w:ascii="Times New Roman" w:hAnsi="Times New Roman" w:eastAsia="方正仿宋_GBK" w:cs="Times New Roman"/>
          <w:sz w:val="32"/>
          <w:szCs w:val="32"/>
          <w:lang w:val="en-US" w:eastAsia="zh-CN"/>
        </w:rPr>
        <w:t>166</w:t>
      </w:r>
      <w:r>
        <w:rPr>
          <w:rFonts w:hint="default" w:ascii="Times New Roman" w:hAnsi="Times New Roman" w:eastAsia="方正仿宋_GBK" w:cs="Times New Roman"/>
          <w:sz w:val="32"/>
          <w:szCs w:val="32"/>
        </w:rPr>
        <w:t>万元，执行数为</w:t>
      </w:r>
      <w:r>
        <w:rPr>
          <w:rFonts w:hint="default" w:ascii="Times New Roman" w:hAnsi="Times New Roman" w:eastAsia="方正仿宋_GBK" w:cs="Times New Roman"/>
          <w:sz w:val="32"/>
          <w:szCs w:val="32"/>
          <w:lang w:val="en-US" w:eastAsia="zh-CN"/>
        </w:rPr>
        <w:t>166</w:t>
      </w:r>
      <w:r>
        <w:rPr>
          <w:rFonts w:hint="default" w:ascii="Times New Roman" w:hAnsi="Times New Roman" w:eastAsia="方正仿宋_GBK" w:cs="Times New Roman"/>
          <w:sz w:val="32"/>
          <w:szCs w:val="32"/>
        </w:rPr>
        <w:t>万元，完成预算的</w:t>
      </w:r>
      <w:r>
        <w:rPr>
          <w:rFonts w:hint="default" w:ascii="Times New Roman" w:hAnsi="Times New Roman" w:eastAsia="方正仿宋_GBK" w:cs="Times New Roman"/>
          <w:sz w:val="32"/>
          <w:szCs w:val="32"/>
          <w:lang w:val="en-US" w:eastAsia="zh-CN"/>
        </w:rPr>
        <w:t>100</w:t>
      </w:r>
      <w:r>
        <w:rPr>
          <w:rFonts w:hint="default" w:ascii="Times New Roman" w:hAnsi="Times New Roman" w:eastAsia="方正仿宋_GBK" w:cs="Times New Roman"/>
          <w:sz w:val="32"/>
          <w:szCs w:val="32"/>
        </w:rPr>
        <w:t>%。主要产出和效果：一是负责区行政中心办公楼、银华大厦办公楼、南门办公楼、区纪委监委办公楼、中山路办公楼等</w:t>
      </w:r>
      <w:r>
        <w:rPr>
          <w:rFonts w:hint="default" w:ascii="Times New Roman" w:hAnsi="Times New Roman" w:eastAsia="方正仿宋_GBK" w:cs="Times New Roman"/>
          <w:sz w:val="32"/>
          <w:szCs w:val="32"/>
          <w:lang w:eastAsia="zh-CN"/>
        </w:rPr>
        <w:t>集中办公区</w:t>
      </w:r>
      <w:r>
        <w:rPr>
          <w:rFonts w:hint="default" w:ascii="Times New Roman" w:hAnsi="Times New Roman" w:eastAsia="方正仿宋_GBK" w:cs="Times New Roman"/>
          <w:sz w:val="32"/>
          <w:szCs w:val="32"/>
        </w:rPr>
        <w:t>的安全，二是维护好办公秩序、信访秩序，确保正常办公。</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绩效目标自评具体情况见下表：</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 xml:space="preserve">2020年度区级预算单位项目支出绩效自评表  </w:t>
      </w:r>
    </w:p>
    <w:tbl>
      <w:tblPr>
        <w:tblStyle w:val="12"/>
        <w:tblW w:w="985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284"/>
        <w:gridCol w:w="1254"/>
        <w:gridCol w:w="1027"/>
        <w:gridCol w:w="1756"/>
        <w:gridCol w:w="1351"/>
        <w:gridCol w:w="1306"/>
        <w:gridCol w:w="937"/>
        <w:gridCol w:w="9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21" w:hRule="atLeast"/>
          <w:jc w:val="center"/>
        </w:trPr>
        <w:tc>
          <w:tcPr>
            <w:tcW w:w="1284" w:type="dxa"/>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项目名称</w:t>
            </w:r>
          </w:p>
        </w:tc>
        <w:tc>
          <w:tcPr>
            <w:tcW w:w="4037"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集中办公区安全保卫服务费</w:t>
            </w:r>
          </w:p>
        </w:tc>
        <w:tc>
          <w:tcPr>
            <w:tcW w:w="1351" w:type="dxa"/>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自评总分</w:t>
            </w:r>
            <w:r>
              <w:rPr>
                <w:rFonts w:hint="default" w:ascii="Times New Roman" w:hAnsi="Times New Roman" w:eastAsia="方正仿宋_GBK" w:cs="Times New Roman"/>
                <w:lang w:val="en-US" w:eastAsia="zh-CN"/>
              </w:rPr>
              <w:br w:type="textWrapping"/>
            </w:r>
            <w:r>
              <w:rPr>
                <w:rFonts w:hint="default" w:ascii="Times New Roman" w:hAnsi="Times New Roman" w:eastAsia="方正仿宋_GBK" w:cs="Times New Roman"/>
                <w:lang w:val="en-US" w:eastAsia="zh-CN"/>
              </w:rPr>
              <w:t>（分)</w:t>
            </w:r>
          </w:p>
        </w:tc>
        <w:tc>
          <w:tcPr>
            <w:tcW w:w="3181"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21" w:hRule="atLeast"/>
          <w:jc w:val="center"/>
        </w:trPr>
        <w:tc>
          <w:tcPr>
            <w:tcW w:w="1284" w:type="dxa"/>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业务主管部门</w:t>
            </w:r>
          </w:p>
        </w:tc>
        <w:tc>
          <w:tcPr>
            <w:tcW w:w="4037"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重庆市綦江区机关事务管理中心</w:t>
            </w:r>
          </w:p>
        </w:tc>
        <w:tc>
          <w:tcPr>
            <w:tcW w:w="1351" w:type="dxa"/>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联系人</w:t>
            </w:r>
            <w:r>
              <w:rPr>
                <w:rFonts w:hint="default" w:ascii="Times New Roman" w:hAnsi="Times New Roman" w:eastAsia="方正仿宋_GBK" w:cs="Times New Roman"/>
                <w:lang w:val="en-US" w:eastAsia="zh-CN"/>
              </w:rPr>
              <w:br w:type="textWrapping"/>
            </w:r>
            <w:r>
              <w:rPr>
                <w:rFonts w:hint="default" w:ascii="Times New Roman" w:hAnsi="Times New Roman" w:eastAsia="方正仿宋_GBK" w:cs="Times New Roman"/>
                <w:lang w:val="en-US" w:eastAsia="zh-CN"/>
              </w:rPr>
              <w:t>及电话</w:t>
            </w:r>
          </w:p>
        </w:tc>
        <w:tc>
          <w:tcPr>
            <w:tcW w:w="3181"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冯桢桢—48671808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38" w:hRule="atLeast"/>
          <w:jc w:val="center"/>
        </w:trPr>
        <w:tc>
          <w:tcPr>
            <w:tcW w:w="1284" w:type="dxa"/>
            <w:vMerge w:val="restart"/>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项目资金（万元）</w:t>
            </w:r>
          </w:p>
        </w:tc>
        <w:tc>
          <w:tcPr>
            <w:tcW w:w="1254" w:type="dxa"/>
            <w:tcBorders>
              <w:top w:val="single" w:color="000000" w:sz="4" w:space="0"/>
              <w:left w:val="single" w:color="000000" w:sz="4" w:space="0"/>
              <w:bottom w:val="single" w:color="000000" w:sz="4" w:space="0"/>
            </w:tcBorders>
            <w:vAlign w:val="center"/>
          </w:tcPr>
          <w:p>
            <w:pPr>
              <w:rPr>
                <w:rFonts w:hint="default" w:ascii="Times New Roman" w:hAnsi="Times New Roman" w:eastAsia="方正仿宋_GBK" w:cs="Times New Roman"/>
                <w:lang w:val="en-US" w:eastAsia="zh-CN"/>
              </w:rPr>
            </w:pPr>
          </w:p>
        </w:tc>
        <w:tc>
          <w:tcPr>
            <w:tcW w:w="2783" w:type="dxa"/>
            <w:gridSpan w:val="2"/>
            <w:tcBorders>
              <w:top w:val="single" w:color="000000" w:sz="4" w:space="0"/>
              <w:left w:val="single" w:color="000000" w:sz="4" w:space="0"/>
              <w:bottom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全年预算数（A）</w:t>
            </w:r>
          </w:p>
        </w:tc>
        <w:tc>
          <w:tcPr>
            <w:tcW w:w="1351" w:type="dxa"/>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全年执行数（B）</w:t>
            </w:r>
          </w:p>
        </w:tc>
        <w:tc>
          <w:tcPr>
            <w:tcW w:w="1306" w:type="dxa"/>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执行率%（B/A）</w:t>
            </w:r>
          </w:p>
        </w:tc>
        <w:tc>
          <w:tcPr>
            <w:tcW w:w="1875" w:type="dxa"/>
            <w:gridSpan w:val="2"/>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执行率得分（分）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38" w:hRule="atLeast"/>
          <w:jc w:val="center"/>
        </w:trPr>
        <w:tc>
          <w:tcPr>
            <w:tcW w:w="1284" w:type="dxa"/>
            <w:vMerge w:val="continue"/>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p>
        </w:tc>
        <w:tc>
          <w:tcPr>
            <w:tcW w:w="1254" w:type="dxa"/>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年度资金总额：</w:t>
            </w:r>
          </w:p>
        </w:tc>
        <w:tc>
          <w:tcPr>
            <w:tcW w:w="2783" w:type="dxa"/>
            <w:gridSpan w:val="2"/>
            <w:tcBorders>
              <w:top w:val="single" w:color="000000" w:sz="4" w:space="0"/>
              <w:left w:val="single" w:color="000000" w:sz="4" w:space="0"/>
              <w:bottom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166.00</w:t>
            </w:r>
          </w:p>
        </w:tc>
        <w:tc>
          <w:tcPr>
            <w:tcW w:w="1351"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166.00</w:t>
            </w:r>
          </w:p>
        </w:tc>
        <w:tc>
          <w:tcPr>
            <w:tcW w:w="1306"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100%</w:t>
            </w:r>
          </w:p>
        </w:tc>
        <w:tc>
          <w:tcPr>
            <w:tcW w:w="187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47" w:hRule="atLeast"/>
          <w:jc w:val="center"/>
        </w:trPr>
        <w:tc>
          <w:tcPr>
            <w:tcW w:w="1284" w:type="dxa"/>
            <w:vMerge w:val="restart"/>
            <w:tcBorders>
              <w:top w:val="single" w:color="000000" w:sz="4" w:space="0"/>
              <w:left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p>
        </w:tc>
        <w:tc>
          <w:tcPr>
            <w:tcW w:w="1254" w:type="dxa"/>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其中：中央补助</w:t>
            </w:r>
          </w:p>
        </w:tc>
        <w:tc>
          <w:tcPr>
            <w:tcW w:w="2783" w:type="dxa"/>
            <w:gridSpan w:val="2"/>
            <w:tcBorders>
              <w:top w:val="single" w:color="000000" w:sz="4" w:space="0"/>
              <w:left w:val="single" w:color="000000" w:sz="4" w:space="0"/>
              <w:bottom w:val="single" w:color="000000" w:sz="4" w:space="0"/>
            </w:tcBorders>
            <w:vAlign w:val="center"/>
          </w:tcPr>
          <w:p>
            <w:pPr>
              <w:jc w:val="center"/>
              <w:rPr>
                <w:rFonts w:hint="default" w:ascii="Times New Roman" w:hAnsi="Times New Roman" w:eastAsia="方正仿宋_GBK" w:cs="Times New Roman"/>
                <w:lang w:val="en-US" w:eastAsia="zh-CN"/>
              </w:rPr>
            </w:pPr>
          </w:p>
        </w:tc>
        <w:tc>
          <w:tcPr>
            <w:tcW w:w="1351"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p>
        </w:tc>
        <w:tc>
          <w:tcPr>
            <w:tcW w:w="1306"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p>
        </w:tc>
        <w:tc>
          <w:tcPr>
            <w:tcW w:w="187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62" w:hRule="atLeast"/>
          <w:jc w:val="center"/>
        </w:trPr>
        <w:tc>
          <w:tcPr>
            <w:tcW w:w="1284" w:type="dxa"/>
            <w:vMerge w:val="continue"/>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p>
        </w:tc>
        <w:tc>
          <w:tcPr>
            <w:tcW w:w="1254" w:type="dxa"/>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 xml:space="preserve">   市级补助</w:t>
            </w:r>
          </w:p>
        </w:tc>
        <w:tc>
          <w:tcPr>
            <w:tcW w:w="2783" w:type="dxa"/>
            <w:gridSpan w:val="2"/>
            <w:tcBorders>
              <w:top w:val="single" w:color="000000" w:sz="4" w:space="0"/>
              <w:left w:val="single" w:color="000000" w:sz="4" w:space="0"/>
              <w:bottom w:val="single" w:color="000000" w:sz="4" w:space="0"/>
            </w:tcBorders>
            <w:vAlign w:val="center"/>
          </w:tcPr>
          <w:p>
            <w:pPr>
              <w:jc w:val="center"/>
              <w:rPr>
                <w:rFonts w:hint="default" w:ascii="Times New Roman" w:hAnsi="Times New Roman" w:eastAsia="方正仿宋_GBK" w:cs="Times New Roman"/>
                <w:lang w:val="en-US" w:eastAsia="zh-CN"/>
              </w:rPr>
            </w:pPr>
          </w:p>
        </w:tc>
        <w:tc>
          <w:tcPr>
            <w:tcW w:w="1351"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p>
        </w:tc>
        <w:tc>
          <w:tcPr>
            <w:tcW w:w="1306"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p>
        </w:tc>
        <w:tc>
          <w:tcPr>
            <w:tcW w:w="187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8" w:hRule="atLeast"/>
          <w:jc w:val="center"/>
        </w:trPr>
        <w:tc>
          <w:tcPr>
            <w:tcW w:w="1284" w:type="dxa"/>
            <w:vMerge w:val="continue"/>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p>
        </w:tc>
        <w:tc>
          <w:tcPr>
            <w:tcW w:w="1254" w:type="dxa"/>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 xml:space="preserve">   区级资金</w:t>
            </w:r>
          </w:p>
        </w:tc>
        <w:tc>
          <w:tcPr>
            <w:tcW w:w="2783" w:type="dxa"/>
            <w:gridSpan w:val="2"/>
            <w:tcBorders>
              <w:top w:val="single" w:color="000000" w:sz="4" w:space="0"/>
              <w:left w:val="single" w:color="000000" w:sz="4" w:space="0"/>
              <w:bottom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166.00</w:t>
            </w:r>
          </w:p>
        </w:tc>
        <w:tc>
          <w:tcPr>
            <w:tcW w:w="1351"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166.00</w:t>
            </w:r>
          </w:p>
        </w:tc>
        <w:tc>
          <w:tcPr>
            <w:tcW w:w="1306"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100%</w:t>
            </w:r>
          </w:p>
        </w:tc>
        <w:tc>
          <w:tcPr>
            <w:tcW w:w="187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8" w:hRule="atLeast"/>
          <w:jc w:val="center"/>
        </w:trPr>
        <w:tc>
          <w:tcPr>
            <w:tcW w:w="1284" w:type="dxa"/>
            <w:vMerge w:val="continue"/>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p>
        </w:tc>
        <w:tc>
          <w:tcPr>
            <w:tcW w:w="1254" w:type="dxa"/>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 xml:space="preserve">   其他资金</w:t>
            </w:r>
          </w:p>
        </w:tc>
        <w:tc>
          <w:tcPr>
            <w:tcW w:w="2783" w:type="dxa"/>
            <w:gridSpan w:val="2"/>
            <w:tcBorders>
              <w:top w:val="single" w:color="000000" w:sz="4" w:space="0"/>
              <w:left w:val="single" w:color="000000" w:sz="4" w:space="0"/>
              <w:bottom w:val="single" w:color="000000" w:sz="4" w:space="0"/>
            </w:tcBorders>
            <w:vAlign w:val="center"/>
          </w:tcPr>
          <w:p>
            <w:pPr>
              <w:jc w:val="center"/>
              <w:rPr>
                <w:rFonts w:hint="default" w:ascii="Times New Roman" w:hAnsi="Times New Roman" w:eastAsia="方正仿宋_GBK" w:cs="Times New Roman"/>
                <w:lang w:val="en-US" w:eastAsia="zh-CN"/>
              </w:rPr>
            </w:pPr>
          </w:p>
        </w:tc>
        <w:tc>
          <w:tcPr>
            <w:tcW w:w="1351"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p>
        </w:tc>
        <w:tc>
          <w:tcPr>
            <w:tcW w:w="1306"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p>
        </w:tc>
        <w:tc>
          <w:tcPr>
            <w:tcW w:w="187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87" w:hRule="atLeast"/>
          <w:jc w:val="center"/>
        </w:trPr>
        <w:tc>
          <w:tcPr>
            <w:tcW w:w="1284" w:type="dxa"/>
            <w:vMerge w:val="restart"/>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年度总体目标</w:t>
            </w:r>
          </w:p>
        </w:tc>
        <w:tc>
          <w:tcPr>
            <w:tcW w:w="4037"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年初设定目标</w:t>
            </w:r>
          </w:p>
        </w:tc>
        <w:tc>
          <w:tcPr>
            <w:tcW w:w="4532" w:type="dxa"/>
            <w:gridSpan w:val="4"/>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全年目标实际完成情况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902" w:hRule="atLeast"/>
          <w:jc w:val="center"/>
        </w:trPr>
        <w:tc>
          <w:tcPr>
            <w:tcW w:w="1284" w:type="dxa"/>
            <w:vMerge w:val="continue"/>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p>
        </w:tc>
        <w:tc>
          <w:tcPr>
            <w:tcW w:w="4037" w:type="dxa"/>
            <w:gridSpan w:val="3"/>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负责区行政中心办公楼、银华大厦办公楼、南门办公楼、区纪委监委办公楼、中山路办公楼、西炮台办公楼等的日常保安护卫、办公秩序、信访秩序等的维护，消防、安全检查、电梯安全监控、配电房安全监控、视频消防监控设备的日常维护保养，相关勤务及其他所需临时性工作。</w:t>
            </w:r>
          </w:p>
        </w:tc>
        <w:tc>
          <w:tcPr>
            <w:tcW w:w="4532" w:type="dxa"/>
            <w:gridSpan w:val="4"/>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圆满完成设定目标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21" w:hRule="atLeast"/>
          <w:jc w:val="center"/>
        </w:trPr>
        <w:tc>
          <w:tcPr>
            <w:tcW w:w="1284" w:type="dxa"/>
            <w:vMerge w:val="restart"/>
            <w:tcBorders>
              <w:top w:val="single" w:color="000000" w:sz="4" w:space="0"/>
              <w:left w:val="single" w:color="000000" w:sz="4" w:space="0"/>
              <w:bottom w:val="single" w:color="000000" w:sz="4" w:space="0"/>
              <w:right w:val="single" w:color="000000" w:sz="4" w:space="0"/>
            </w:tcBorders>
            <w:textDirection w:val="tbRlV"/>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绩效指标</w:t>
            </w:r>
          </w:p>
        </w:tc>
        <w:tc>
          <w:tcPr>
            <w:tcW w:w="1254" w:type="dxa"/>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指标名称</w:t>
            </w:r>
            <w:r>
              <w:rPr>
                <w:rFonts w:hint="default" w:ascii="Times New Roman" w:hAnsi="Times New Roman" w:eastAsia="方正仿宋_GBK" w:cs="Times New Roman"/>
                <w:lang w:val="en-US" w:eastAsia="zh-CN"/>
              </w:rPr>
              <w:br w:type="textWrapping"/>
            </w:r>
            <w:r>
              <w:rPr>
                <w:rFonts w:hint="default" w:ascii="Times New Roman" w:hAnsi="Times New Roman" w:eastAsia="方正仿宋_GBK" w:cs="Times New Roman"/>
                <w:lang w:val="en-US" w:eastAsia="zh-CN"/>
              </w:rPr>
              <w:t>（三级指标）</w:t>
            </w:r>
          </w:p>
        </w:tc>
        <w:tc>
          <w:tcPr>
            <w:tcW w:w="1027" w:type="dxa"/>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计量单位</w:t>
            </w:r>
          </w:p>
        </w:tc>
        <w:tc>
          <w:tcPr>
            <w:tcW w:w="1756" w:type="dxa"/>
            <w:tcBorders>
              <w:top w:val="single" w:color="000000" w:sz="4" w:space="0"/>
              <w:left w:val="single" w:color="000000" w:sz="4" w:space="0"/>
              <w:bottom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指标权重</w:t>
            </w:r>
          </w:p>
        </w:tc>
        <w:tc>
          <w:tcPr>
            <w:tcW w:w="1351" w:type="dxa"/>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指标值</w:t>
            </w:r>
          </w:p>
        </w:tc>
        <w:tc>
          <w:tcPr>
            <w:tcW w:w="1306" w:type="dxa"/>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eastAsia="zh-CN"/>
              </w:rPr>
              <w:t>全年完成值</w:t>
            </w:r>
          </w:p>
        </w:tc>
        <w:tc>
          <w:tcPr>
            <w:tcW w:w="937" w:type="dxa"/>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得分系数（%）</w:t>
            </w:r>
          </w:p>
        </w:tc>
        <w:tc>
          <w:tcPr>
            <w:tcW w:w="938" w:type="dxa"/>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指标得分</w:t>
            </w:r>
            <w:r>
              <w:rPr>
                <w:rFonts w:hint="default" w:ascii="Times New Roman" w:hAnsi="Times New Roman" w:eastAsia="方正仿宋_GBK" w:cs="Times New Roman"/>
                <w:lang w:val="en-US" w:eastAsia="zh-CN"/>
              </w:rPr>
              <w:br w:type="textWrapping"/>
            </w:r>
            <w:r>
              <w:rPr>
                <w:rFonts w:hint="default" w:ascii="Times New Roman" w:hAnsi="Times New Roman" w:eastAsia="方正仿宋_GBK" w:cs="Times New Roman"/>
                <w:lang w:val="en-US" w:eastAsia="zh-CN"/>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20" w:hRule="atLeast"/>
          <w:jc w:val="center"/>
        </w:trPr>
        <w:tc>
          <w:tcPr>
            <w:tcW w:w="128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rPr>
                <w:rFonts w:hint="default" w:ascii="Times New Roman" w:hAnsi="Times New Roman" w:eastAsia="方正仿宋_GBK" w:cs="Times New Roman"/>
                <w:lang w:val="en-US" w:eastAsia="zh-CN"/>
              </w:rPr>
            </w:pPr>
          </w:p>
        </w:tc>
        <w:tc>
          <w:tcPr>
            <w:tcW w:w="1254" w:type="dxa"/>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上岗规范着装，文明用语，规范有效完成来访人员的接待，应急处置妥当率。</w:t>
            </w:r>
          </w:p>
        </w:tc>
        <w:tc>
          <w:tcPr>
            <w:tcW w:w="102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w:t>
            </w:r>
          </w:p>
        </w:tc>
        <w:tc>
          <w:tcPr>
            <w:tcW w:w="1756"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30</w:t>
            </w:r>
          </w:p>
        </w:tc>
        <w:tc>
          <w:tcPr>
            <w:tcW w:w="1351"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≧98</w:t>
            </w:r>
          </w:p>
        </w:tc>
        <w:tc>
          <w:tcPr>
            <w:tcW w:w="1306"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98</w:t>
            </w:r>
          </w:p>
        </w:tc>
        <w:tc>
          <w:tcPr>
            <w:tcW w:w="93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100%</w:t>
            </w:r>
          </w:p>
        </w:tc>
        <w:tc>
          <w:tcPr>
            <w:tcW w:w="938"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95" w:hRule="atLeast"/>
          <w:jc w:val="center"/>
        </w:trPr>
        <w:tc>
          <w:tcPr>
            <w:tcW w:w="128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rPr>
                <w:rFonts w:hint="default" w:ascii="Times New Roman" w:hAnsi="Times New Roman" w:eastAsia="方正仿宋_GBK" w:cs="Times New Roman"/>
                <w:lang w:val="en-US" w:eastAsia="zh-CN"/>
              </w:rPr>
            </w:pPr>
          </w:p>
        </w:tc>
        <w:tc>
          <w:tcPr>
            <w:tcW w:w="1254" w:type="dxa"/>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安全事故发生事件</w:t>
            </w:r>
          </w:p>
        </w:tc>
        <w:tc>
          <w:tcPr>
            <w:tcW w:w="102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起</w:t>
            </w:r>
          </w:p>
        </w:tc>
        <w:tc>
          <w:tcPr>
            <w:tcW w:w="1756"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30</w:t>
            </w:r>
          </w:p>
        </w:tc>
        <w:tc>
          <w:tcPr>
            <w:tcW w:w="1351"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=0</w:t>
            </w:r>
          </w:p>
        </w:tc>
        <w:tc>
          <w:tcPr>
            <w:tcW w:w="1306"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0</w:t>
            </w:r>
          </w:p>
        </w:tc>
        <w:tc>
          <w:tcPr>
            <w:tcW w:w="93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100%</w:t>
            </w:r>
          </w:p>
        </w:tc>
        <w:tc>
          <w:tcPr>
            <w:tcW w:w="938"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71" w:hRule="atLeast"/>
          <w:jc w:val="center"/>
        </w:trPr>
        <w:tc>
          <w:tcPr>
            <w:tcW w:w="128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rPr>
                <w:rFonts w:hint="default" w:ascii="Times New Roman" w:hAnsi="Times New Roman" w:eastAsia="方正仿宋_GBK" w:cs="Times New Roman"/>
                <w:lang w:val="en-US" w:eastAsia="zh-CN"/>
              </w:rPr>
            </w:pPr>
          </w:p>
        </w:tc>
        <w:tc>
          <w:tcPr>
            <w:tcW w:w="1254" w:type="dxa"/>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为机关正常运行和安全创造良好的治安环境</w:t>
            </w:r>
          </w:p>
        </w:tc>
        <w:tc>
          <w:tcPr>
            <w:tcW w:w="102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w:t>
            </w:r>
          </w:p>
        </w:tc>
        <w:tc>
          <w:tcPr>
            <w:tcW w:w="1756"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20</w:t>
            </w:r>
          </w:p>
        </w:tc>
        <w:tc>
          <w:tcPr>
            <w:tcW w:w="1351"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≧98</w:t>
            </w:r>
          </w:p>
        </w:tc>
        <w:tc>
          <w:tcPr>
            <w:tcW w:w="1306"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98</w:t>
            </w:r>
          </w:p>
        </w:tc>
        <w:tc>
          <w:tcPr>
            <w:tcW w:w="93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100%</w:t>
            </w:r>
          </w:p>
        </w:tc>
        <w:tc>
          <w:tcPr>
            <w:tcW w:w="938"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0" w:hRule="atLeast"/>
          <w:jc w:val="center"/>
        </w:trPr>
        <w:tc>
          <w:tcPr>
            <w:tcW w:w="128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rPr>
                <w:rFonts w:hint="default" w:ascii="Times New Roman" w:hAnsi="Times New Roman" w:eastAsia="方正仿宋_GBK" w:cs="Times New Roman"/>
                <w:lang w:val="en-US" w:eastAsia="zh-CN"/>
              </w:rPr>
            </w:pPr>
          </w:p>
        </w:tc>
        <w:tc>
          <w:tcPr>
            <w:tcW w:w="1254" w:type="dxa"/>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入驻单位满意、社会群众满意。</w:t>
            </w:r>
          </w:p>
        </w:tc>
        <w:tc>
          <w:tcPr>
            <w:tcW w:w="102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w:t>
            </w:r>
          </w:p>
        </w:tc>
        <w:tc>
          <w:tcPr>
            <w:tcW w:w="1756"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10</w:t>
            </w:r>
          </w:p>
        </w:tc>
        <w:tc>
          <w:tcPr>
            <w:tcW w:w="1351"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≧95</w:t>
            </w:r>
          </w:p>
        </w:tc>
        <w:tc>
          <w:tcPr>
            <w:tcW w:w="1306"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95</w:t>
            </w:r>
          </w:p>
        </w:tc>
        <w:tc>
          <w:tcPr>
            <w:tcW w:w="93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100%</w:t>
            </w:r>
          </w:p>
        </w:tc>
        <w:tc>
          <w:tcPr>
            <w:tcW w:w="938"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33" w:hRule="atLeast"/>
          <w:jc w:val="center"/>
        </w:trPr>
        <w:tc>
          <w:tcPr>
            <w:tcW w:w="1284" w:type="dxa"/>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rPr>
            </w:pPr>
            <w:r>
              <w:rPr>
                <w:rFonts w:hint="default" w:ascii="Times New Roman" w:hAnsi="Times New Roman" w:eastAsia="方正仿宋_GBK" w:cs="Times New Roman"/>
                <w:lang w:val="en-US" w:eastAsia="zh-CN"/>
              </w:rPr>
              <w:t>未完成绩效目标或偏离较多的原因、改进措施及其他说明</w:t>
            </w:r>
          </w:p>
        </w:tc>
        <w:tc>
          <w:tcPr>
            <w:tcW w:w="8569" w:type="dxa"/>
            <w:gridSpan w:val="7"/>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eastAsia="方正仿宋_GBK" w:cs="Times New Roman"/>
              </w:rPr>
            </w:pPr>
          </w:p>
        </w:tc>
      </w:tr>
    </w:tbl>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楷体_GBK" w:cs="Times New Roman"/>
          <w:sz w:val="32"/>
          <w:szCs w:val="32"/>
          <w:lang w:val="en-US" w:eastAsia="zh-CN"/>
        </w:rPr>
      </w:pPr>
      <w:r>
        <w:rPr>
          <w:rFonts w:hint="default" w:ascii="Times New Roman" w:hAnsi="Times New Roman" w:eastAsia="方正楷体_GBK" w:cs="Times New Roman"/>
          <w:sz w:val="32"/>
          <w:szCs w:val="32"/>
          <w:lang w:val="en-US" w:eastAsia="zh-CN"/>
        </w:rPr>
        <w:t>（三）重点绩效评价结果</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无。</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六、专业名词解释</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eastAsia" w:ascii="方正楷体_GBK" w:hAnsi="方正楷体_GBK" w:eastAsia="方正楷体_GBK" w:cs="方正楷体_GBK"/>
          <w:sz w:val="32"/>
          <w:szCs w:val="32"/>
          <w:lang w:val="en-US" w:eastAsia="zh-CN"/>
        </w:rPr>
        <w:t>（一）财政拨款收入：</w:t>
      </w:r>
      <w:r>
        <w:rPr>
          <w:rFonts w:hint="default" w:ascii="Times New Roman" w:hAnsi="Times New Roman" w:eastAsia="方正仿宋_GBK" w:cs="Times New Roman"/>
          <w:sz w:val="32"/>
          <w:szCs w:val="32"/>
          <w:lang w:val="en-US" w:eastAsia="zh-CN"/>
        </w:rPr>
        <w:t>指本年度从本级财政部门取得的财政拨款，包括一般公共预算财政拨款和政府性基金预算财政拨款。</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default" w:ascii="方正楷体_GBK" w:hAnsi="方正楷体_GBK" w:eastAsia="方正楷体_GBK" w:cs="方正楷体_GBK"/>
          <w:sz w:val="32"/>
          <w:szCs w:val="32"/>
          <w:lang w:val="en-US" w:eastAsia="zh-CN"/>
        </w:rPr>
        <w:t>（二）事业收入：</w:t>
      </w:r>
      <w:r>
        <w:rPr>
          <w:rFonts w:hint="default" w:ascii="Times New Roman" w:hAnsi="Times New Roman" w:eastAsia="方正仿宋_GBK" w:cs="Times New Roman"/>
          <w:sz w:val="32"/>
          <w:szCs w:val="32"/>
          <w:lang w:val="en-US" w:eastAsia="zh-CN"/>
        </w:rPr>
        <w:t>指事业单位开展专业业务活动及其辅助活动取得的现金流入；事业单位收到的财政专户实际核拨的教育收费等资金在此反映。</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default" w:ascii="方正楷体_GBK" w:hAnsi="方正楷体_GBK" w:eastAsia="方正楷体_GBK" w:cs="方正楷体_GBK"/>
          <w:sz w:val="32"/>
          <w:szCs w:val="32"/>
          <w:lang w:val="en-US" w:eastAsia="zh-CN"/>
        </w:rPr>
        <w:t>（三）经营收入：</w:t>
      </w:r>
      <w:r>
        <w:rPr>
          <w:rFonts w:hint="default" w:ascii="Times New Roman" w:hAnsi="Times New Roman" w:eastAsia="方正仿宋_GBK" w:cs="Times New Roman"/>
          <w:sz w:val="32"/>
          <w:szCs w:val="32"/>
          <w:lang w:val="en-US" w:eastAsia="zh-CN"/>
        </w:rPr>
        <w:t>指事业单位在专业业务活动及其辅助活动之外开展非独立核算经营活动取得的现金流入。</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default" w:ascii="方正楷体_GBK" w:hAnsi="方正楷体_GBK" w:eastAsia="方正楷体_GBK" w:cs="方正楷体_GBK"/>
          <w:sz w:val="32"/>
          <w:szCs w:val="32"/>
          <w:lang w:val="en-US" w:eastAsia="zh-CN"/>
        </w:rPr>
        <w:t>（四）其他收入：</w:t>
      </w:r>
      <w:r>
        <w:rPr>
          <w:rFonts w:hint="default" w:ascii="Times New Roman" w:hAnsi="Times New Roman" w:eastAsia="方正仿宋_GBK" w:cs="Times New Roman"/>
          <w:sz w:val="32"/>
          <w:szCs w:val="32"/>
          <w:lang w:val="en-US" w:eastAsia="zh-CN"/>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default" w:ascii="方正楷体_GBK" w:hAnsi="方正楷体_GBK" w:eastAsia="方正楷体_GBK" w:cs="方正楷体_GBK"/>
          <w:sz w:val="32"/>
          <w:szCs w:val="32"/>
          <w:lang w:val="en-US" w:eastAsia="zh-CN"/>
        </w:rPr>
        <w:t>（五）用事业基金弥补收支差额：</w:t>
      </w:r>
      <w:r>
        <w:rPr>
          <w:rFonts w:hint="default" w:ascii="Times New Roman" w:hAnsi="Times New Roman" w:eastAsia="方正仿宋_GBK" w:cs="Times New Roman"/>
          <w:sz w:val="32"/>
          <w:szCs w:val="32"/>
          <w:lang w:val="en-US" w:eastAsia="zh-CN"/>
        </w:rPr>
        <w:t>指事业单位在当年的“财政拨款收入”、“事业收入”、“经营收入”、“其他收入”等不足以安排当年支出的情况下，使用以前年度积累的事业基金（事业单位当年收支相抵后按国家规定提取、用于弥补以后年度收支差额的基金）弥补本年度收支缺口的资金。</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default" w:ascii="方正楷体_GBK" w:hAnsi="方正楷体_GBK" w:eastAsia="方正楷体_GBK" w:cs="方正楷体_GBK"/>
          <w:sz w:val="32"/>
          <w:szCs w:val="32"/>
          <w:lang w:val="en-US" w:eastAsia="zh-CN"/>
        </w:rPr>
        <w:t>（六）年初结转和结余：</w:t>
      </w:r>
      <w:r>
        <w:rPr>
          <w:rFonts w:hint="default" w:ascii="Times New Roman" w:hAnsi="Times New Roman" w:eastAsia="方正仿宋_GBK" w:cs="Times New Roman"/>
          <w:sz w:val="32"/>
          <w:szCs w:val="32"/>
          <w:lang w:val="en-US" w:eastAsia="zh-CN"/>
        </w:rPr>
        <w:t>指单位上年结转本年使用的基本支出结转、项目支出结转和结余、经营结余。</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default" w:ascii="方正楷体_GBK" w:hAnsi="方正楷体_GBK" w:eastAsia="方正楷体_GBK" w:cs="方正楷体_GBK"/>
          <w:sz w:val="32"/>
          <w:szCs w:val="32"/>
          <w:lang w:val="en-US" w:eastAsia="zh-CN"/>
        </w:rPr>
        <w:t>（七）结余分配：</w:t>
      </w:r>
      <w:r>
        <w:rPr>
          <w:rFonts w:hint="default" w:ascii="Times New Roman" w:hAnsi="Times New Roman" w:eastAsia="方正仿宋_GBK" w:cs="Times New Roman"/>
          <w:sz w:val="32"/>
          <w:szCs w:val="32"/>
          <w:lang w:val="en-US" w:eastAsia="zh-CN"/>
        </w:rPr>
        <w:t>指单位按照国家有关规定，缴纳所得税、提取专用基金、转入事业基金等当年结余的分配情况。</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default" w:ascii="方正楷体_GBK" w:hAnsi="方正楷体_GBK" w:eastAsia="方正楷体_GBK" w:cs="方正楷体_GBK"/>
          <w:sz w:val="32"/>
          <w:szCs w:val="32"/>
          <w:lang w:val="en-US" w:eastAsia="zh-CN"/>
        </w:rPr>
        <w:t>（八）年末结转和结余：</w:t>
      </w:r>
      <w:r>
        <w:rPr>
          <w:rFonts w:hint="default" w:ascii="Times New Roman" w:hAnsi="Times New Roman" w:eastAsia="方正仿宋_GBK" w:cs="Times New Roman"/>
          <w:sz w:val="32"/>
          <w:szCs w:val="32"/>
          <w:lang w:val="en-US" w:eastAsia="zh-CN"/>
        </w:rPr>
        <w:t>指单位结转下年的基本支出结转、项目支出结转和结余、经营结余。</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default" w:ascii="方正楷体_GBK" w:hAnsi="方正楷体_GBK" w:eastAsia="方正楷体_GBK" w:cs="方正楷体_GBK"/>
          <w:sz w:val="32"/>
          <w:szCs w:val="32"/>
          <w:lang w:val="en-US" w:eastAsia="zh-CN"/>
        </w:rPr>
        <w:t>（九）基本支出：</w:t>
      </w:r>
      <w:r>
        <w:rPr>
          <w:rFonts w:hint="default" w:ascii="Times New Roman" w:hAnsi="Times New Roman" w:eastAsia="方正仿宋_GBK" w:cs="Times New Roman"/>
          <w:sz w:val="32"/>
          <w:szCs w:val="32"/>
          <w:lang w:val="en-US" w:eastAsia="zh-CN"/>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default" w:ascii="方正楷体_GBK" w:hAnsi="方正楷体_GBK" w:eastAsia="方正楷体_GBK" w:cs="方正楷体_GBK"/>
          <w:sz w:val="32"/>
          <w:szCs w:val="32"/>
          <w:lang w:val="en-US" w:eastAsia="zh-CN"/>
        </w:rPr>
        <w:t>（十）项目支出：</w:t>
      </w:r>
      <w:r>
        <w:rPr>
          <w:rFonts w:hint="default" w:ascii="Times New Roman" w:hAnsi="Times New Roman" w:eastAsia="方正仿宋_GBK" w:cs="Times New Roman"/>
          <w:sz w:val="32"/>
          <w:szCs w:val="32"/>
          <w:lang w:val="en-US" w:eastAsia="zh-CN"/>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default" w:ascii="方正楷体_GBK" w:hAnsi="方正楷体_GBK" w:eastAsia="方正楷体_GBK" w:cs="方正楷体_GBK"/>
          <w:sz w:val="32"/>
          <w:szCs w:val="32"/>
          <w:lang w:val="en-US" w:eastAsia="zh-CN"/>
        </w:rPr>
        <w:t>（十一）经营支出：</w:t>
      </w:r>
      <w:r>
        <w:rPr>
          <w:rFonts w:hint="default" w:ascii="Times New Roman" w:hAnsi="Times New Roman" w:eastAsia="方正仿宋_GBK" w:cs="Times New Roman"/>
          <w:sz w:val="32"/>
          <w:szCs w:val="32"/>
          <w:lang w:val="en-US" w:eastAsia="zh-CN"/>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lang w:val="en-US" w:eastAsia="zh-CN"/>
        </w:rPr>
      </w:pPr>
      <w:r>
        <w:rPr>
          <w:rFonts w:hint="default" w:ascii="方正楷体_GBK" w:hAnsi="方正楷体_GBK" w:eastAsia="方正楷体_GBK" w:cs="方正楷体_GBK"/>
          <w:sz w:val="32"/>
          <w:szCs w:val="32"/>
          <w:lang w:val="en-US" w:eastAsia="zh-CN"/>
        </w:rPr>
        <w:t>（十二）“三公”经费：</w:t>
      </w:r>
      <w:r>
        <w:rPr>
          <w:rFonts w:hint="default" w:ascii="Times New Roman" w:hAnsi="Times New Roman" w:eastAsia="方正仿宋_GBK" w:cs="Times New Roman"/>
          <w:sz w:val="32"/>
          <w:szCs w:val="32"/>
          <w:lang w:val="en-US" w:eastAsia="zh-CN"/>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default" w:ascii="方正楷体_GBK" w:hAnsi="方正楷体_GBK" w:eastAsia="方正楷体_GBK" w:cs="方正楷体_GBK"/>
          <w:sz w:val="32"/>
          <w:szCs w:val="32"/>
          <w:lang w:val="en-US" w:eastAsia="zh-CN"/>
        </w:rPr>
        <w:t>（十三）机关运行经费：</w:t>
      </w:r>
      <w:r>
        <w:rPr>
          <w:rFonts w:hint="default" w:ascii="Times New Roman" w:hAnsi="Times New Roman" w:eastAsia="方正仿宋_GBK" w:cs="Times New Roman"/>
          <w:sz w:val="32"/>
          <w:szCs w:val="32"/>
          <w:lang w:val="en-US" w:eastAsia="zh-CN"/>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default" w:ascii="方正楷体_GBK" w:hAnsi="方正楷体_GBK" w:eastAsia="方正楷体_GBK" w:cs="方正楷体_GBK"/>
          <w:sz w:val="32"/>
          <w:szCs w:val="32"/>
          <w:lang w:val="en-US" w:eastAsia="zh-CN"/>
        </w:rPr>
        <w:t>（十四）工资福利支出（支出经济分类科目类级）：</w:t>
      </w:r>
      <w:r>
        <w:rPr>
          <w:rFonts w:hint="default" w:ascii="Times New Roman" w:hAnsi="Times New Roman" w:eastAsia="方正仿宋_GBK" w:cs="Times New Roman"/>
          <w:sz w:val="32"/>
          <w:szCs w:val="32"/>
          <w:lang w:val="en-US" w:eastAsia="zh-CN"/>
        </w:rPr>
        <w:t>反映单位开支的在职职工和编制外长期聘用人员的各类劳动报酬，以及为上述人员缴纳的各项社会保险费等。</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default" w:ascii="方正楷体_GBK" w:hAnsi="方正楷体_GBK" w:eastAsia="方正楷体_GBK" w:cs="方正楷体_GBK"/>
          <w:sz w:val="32"/>
          <w:szCs w:val="32"/>
          <w:lang w:val="en-US" w:eastAsia="zh-CN"/>
        </w:rPr>
        <w:t>（十五）商品和服务支出（支出经济分类科目类级）：</w:t>
      </w:r>
      <w:r>
        <w:rPr>
          <w:rFonts w:hint="default" w:ascii="Times New Roman" w:hAnsi="Times New Roman" w:eastAsia="方正仿宋_GBK" w:cs="Times New Roman"/>
          <w:sz w:val="32"/>
          <w:szCs w:val="32"/>
          <w:lang w:val="en-US" w:eastAsia="zh-CN"/>
        </w:rPr>
        <w:t>反映单位购买商品和服务的支出（不包括用于购置固定资产的支出、战略性和应急储备支出）。</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default" w:ascii="方正楷体_GBK" w:hAnsi="方正楷体_GBK" w:eastAsia="方正楷体_GBK" w:cs="方正楷体_GBK"/>
          <w:sz w:val="32"/>
          <w:szCs w:val="32"/>
          <w:lang w:val="en-US" w:eastAsia="zh-CN"/>
        </w:rPr>
        <w:t>（十六）对个人和家庭的补助（支出经济分类科目类级）：</w:t>
      </w:r>
      <w:r>
        <w:rPr>
          <w:rFonts w:hint="default" w:ascii="Times New Roman" w:hAnsi="Times New Roman" w:eastAsia="方正仿宋_GBK" w:cs="Times New Roman"/>
          <w:sz w:val="32"/>
          <w:szCs w:val="32"/>
          <w:lang w:val="en-US" w:eastAsia="zh-CN"/>
        </w:rPr>
        <w:t>反映用于对个人和家庭的补助支出。</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default" w:ascii="方正楷体_GBK" w:hAnsi="方正楷体_GBK" w:eastAsia="方正楷体_GBK" w:cs="方正楷体_GBK"/>
          <w:sz w:val="32"/>
          <w:szCs w:val="32"/>
          <w:lang w:val="en-US" w:eastAsia="zh-CN"/>
        </w:rPr>
        <w:t>（十七）其他资本性支出（支出经济分类科目类级）：</w:t>
      </w:r>
      <w:r>
        <w:rPr>
          <w:rFonts w:hint="default" w:ascii="Times New Roman" w:hAnsi="Times New Roman" w:eastAsia="方正仿宋_GBK" w:cs="Times New Roman"/>
          <w:sz w:val="32"/>
          <w:szCs w:val="32"/>
          <w:lang w:val="en-US" w:eastAsia="zh-CN"/>
        </w:rPr>
        <w:t>反映非各级发展与改革部门集中</w:t>
      </w:r>
      <w:bookmarkStart w:id="0" w:name="_GoBack"/>
      <w:bookmarkEnd w:id="0"/>
      <w:r>
        <w:rPr>
          <w:rFonts w:hint="default" w:ascii="Times New Roman" w:hAnsi="Times New Roman" w:eastAsia="方正仿宋_GBK" w:cs="Times New Roman"/>
          <w:sz w:val="32"/>
          <w:szCs w:val="32"/>
          <w:lang w:val="en-US" w:eastAsia="zh-CN"/>
        </w:rPr>
        <w:t>安排的用于购置固定资产、战略性和应急性储备、土地和无形资产，以及构建基础设施、大型修缮和财政支持企业更新改造所发生的支出。</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eastAsia="zh-CN"/>
        </w:rPr>
        <w:t>七、</w:t>
      </w:r>
      <w:r>
        <w:rPr>
          <w:rFonts w:hint="eastAsia" w:ascii="方正黑体_GBK" w:hAnsi="方正黑体_GBK" w:eastAsia="方正黑体_GBK" w:cs="方正黑体_GBK"/>
          <w:sz w:val="32"/>
          <w:szCs w:val="32"/>
        </w:rPr>
        <w:t>决算公开联系方式</w:t>
      </w:r>
    </w:p>
    <w:p>
      <w:pPr>
        <w:keepNext w:val="0"/>
        <w:keepLines w:val="0"/>
        <w:pageBreakBefore w:val="0"/>
        <w:widowControl/>
        <w:kinsoku/>
        <w:wordWrap/>
        <w:overflowPunct/>
        <w:topLinePunct w:val="0"/>
        <w:autoSpaceDE/>
        <w:autoSpaceDN/>
        <w:bidi w:val="0"/>
        <w:adjustRightInd/>
        <w:snapToGrid/>
        <w:spacing w:line="576"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本单位决算公开信息反馈和联系方式：</w:t>
      </w:r>
      <w:r>
        <w:rPr>
          <w:rFonts w:hint="default" w:ascii="Times New Roman" w:hAnsi="Times New Roman" w:eastAsia="方正仿宋_GBK" w:cs="Times New Roman"/>
          <w:sz w:val="32"/>
          <w:szCs w:val="32"/>
          <w:lang w:val="en-US" w:eastAsia="zh-CN"/>
        </w:rPr>
        <w:t>023-48671808</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rPr>
      </w:pPr>
    </w:p>
    <w:sectPr>
      <w:footerReference r:id="rId3" w:type="default"/>
      <w:pgSz w:w="11915" w:h="16851"/>
      <w:pgMar w:top="2098" w:right="1474" w:bottom="1984" w:left="1587" w:header="851" w:footer="992" w:gutter="0"/>
      <w:pgNumType w:fmt="decimal"/>
      <w:cols w:space="0" w:num="1"/>
      <w:rtlGutter w:val="0"/>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8"/>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SFJLyA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s0lY7tAAAAAFAQAADwAAAAAAAAABACAAAAA4AAAAZHJzL2Rvd25yZXYueG1sUEsBAhQA&#10;FAAAAAgAh07iQHZIUkvIAgAA7AUAAA4AAAAAAAAAAQAgAAAANQEAAGRycy9lMm9Eb2MueG1sUEsF&#10;BgAAAAAGAAYAWQEAAG8GAAAAAA==&#10;">
              <v:fill on="f" focussize="0,0"/>
              <v:stroke on="f" weight="0.5pt"/>
              <v:imagedata o:title=""/>
              <o:lock v:ext="edit" aspectratio="f"/>
              <v:textbox inset="0mm,0mm,0mm,0mm" style="mso-fit-shape-to-text:t;">
                <w:txbxContent>
                  <w:p>
                    <w:pPr>
                      <w:pStyle w:val="8"/>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true"/>
  <w:bordersDoNotSurroundHeader w:val="true"/>
  <w:bordersDoNotSurroundFooter w:val="true"/>
  <w:documentProtection w:enforcement="0"/>
  <w:defaultTabStop w:val="420"/>
  <w:drawingGridVerticalSpacing w:val="164"/>
  <w:displayHorizontalDrawingGridEvery w:val="1"/>
  <w:displayVerticalDrawingGridEvery w:val="2"/>
  <w:noPunctuationKerning w:val="true"/>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8923A8"/>
    <w:rsid w:val="06574AA0"/>
    <w:rsid w:val="07D2576D"/>
    <w:rsid w:val="08761163"/>
    <w:rsid w:val="09086088"/>
    <w:rsid w:val="0A0B4BF2"/>
    <w:rsid w:val="0B3A3DD0"/>
    <w:rsid w:val="0CC778ED"/>
    <w:rsid w:val="0CF67C63"/>
    <w:rsid w:val="0D133E75"/>
    <w:rsid w:val="0D496F5F"/>
    <w:rsid w:val="0D856854"/>
    <w:rsid w:val="15BD70BD"/>
    <w:rsid w:val="180B65E3"/>
    <w:rsid w:val="1B1F4ED6"/>
    <w:rsid w:val="1DCA5EFC"/>
    <w:rsid w:val="1EFC0257"/>
    <w:rsid w:val="20E928AA"/>
    <w:rsid w:val="220F75BA"/>
    <w:rsid w:val="2331659A"/>
    <w:rsid w:val="234B7A35"/>
    <w:rsid w:val="23765217"/>
    <w:rsid w:val="247A1687"/>
    <w:rsid w:val="26DB24DC"/>
    <w:rsid w:val="27316F2E"/>
    <w:rsid w:val="276573B4"/>
    <w:rsid w:val="2B5F0BAE"/>
    <w:rsid w:val="2BCA03D4"/>
    <w:rsid w:val="2C600806"/>
    <w:rsid w:val="2DAF4EE5"/>
    <w:rsid w:val="2E4709F5"/>
    <w:rsid w:val="306F14F6"/>
    <w:rsid w:val="319169BB"/>
    <w:rsid w:val="31AA1708"/>
    <w:rsid w:val="346774D1"/>
    <w:rsid w:val="347F5773"/>
    <w:rsid w:val="34AA4BE9"/>
    <w:rsid w:val="34AF31F4"/>
    <w:rsid w:val="34DD7060"/>
    <w:rsid w:val="35777428"/>
    <w:rsid w:val="39A7643D"/>
    <w:rsid w:val="39D30794"/>
    <w:rsid w:val="3A715698"/>
    <w:rsid w:val="3C0569E5"/>
    <w:rsid w:val="3CC10591"/>
    <w:rsid w:val="3CC81A4D"/>
    <w:rsid w:val="3DCD494D"/>
    <w:rsid w:val="3E475F2F"/>
    <w:rsid w:val="3EFF5147"/>
    <w:rsid w:val="3FFEB995"/>
    <w:rsid w:val="402D5666"/>
    <w:rsid w:val="40C161C7"/>
    <w:rsid w:val="41B90FA4"/>
    <w:rsid w:val="42102479"/>
    <w:rsid w:val="44402965"/>
    <w:rsid w:val="444D0382"/>
    <w:rsid w:val="450754B8"/>
    <w:rsid w:val="46846551"/>
    <w:rsid w:val="48132279"/>
    <w:rsid w:val="48F6066B"/>
    <w:rsid w:val="4B7E4C56"/>
    <w:rsid w:val="4C3D08B6"/>
    <w:rsid w:val="4E2836BD"/>
    <w:rsid w:val="51D05088"/>
    <w:rsid w:val="52D51A11"/>
    <w:rsid w:val="53CF580B"/>
    <w:rsid w:val="541A0B25"/>
    <w:rsid w:val="54F93A63"/>
    <w:rsid w:val="55CA5F67"/>
    <w:rsid w:val="5642425A"/>
    <w:rsid w:val="56BD0C7B"/>
    <w:rsid w:val="57D6706D"/>
    <w:rsid w:val="59240476"/>
    <w:rsid w:val="5A552907"/>
    <w:rsid w:val="5AB2436E"/>
    <w:rsid w:val="5B295975"/>
    <w:rsid w:val="5BEE25AB"/>
    <w:rsid w:val="5CDA47B0"/>
    <w:rsid w:val="5F4837D0"/>
    <w:rsid w:val="5FCD5E44"/>
    <w:rsid w:val="603564B5"/>
    <w:rsid w:val="61B9117B"/>
    <w:rsid w:val="61D70769"/>
    <w:rsid w:val="64051747"/>
    <w:rsid w:val="64CD19A8"/>
    <w:rsid w:val="656D7BCB"/>
    <w:rsid w:val="657173B3"/>
    <w:rsid w:val="67130243"/>
    <w:rsid w:val="67530048"/>
    <w:rsid w:val="68DE79C1"/>
    <w:rsid w:val="68E60B08"/>
    <w:rsid w:val="697E386D"/>
    <w:rsid w:val="6B806E3D"/>
    <w:rsid w:val="6C1B42FD"/>
    <w:rsid w:val="6E936FBE"/>
    <w:rsid w:val="70DF0171"/>
    <w:rsid w:val="71287CF7"/>
    <w:rsid w:val="74E6D07D"/>
    <w:rsid w:val="75C73D75"/>
    <w:rsid w:val="78E3612F"/>
    <w:rsid w:val="7A460C27"/>
    <w:rsid w:val="7A7F1D16"/>
    <w:rsid w:val="7A8B0A57"/>
    <w:rsid w:val="7AA87E07"/>
    <w:rsid w:val="7ACE61A3"/>
    <w:rsid w:val="7CA876E2"/>
    <w:rsid w:val="7E5F1168"/>
    <w:rsid w:val="7EE916A3"/>
    <w:rsid w:val="7F2547B8"/>
    <w:rsid w:val="7FA26B5C"/>
    <w:rsid w:val="7FBBCD69"/>
    <w:rsid w:val="BCFF4CA7"/>
    <w:rsid w:val="DDFF9D1F"/>
    <w:rsid w:val="DFB45FA5"/>
    <w:rsid w:val="DFFF20BB"/>
    <w:rsid w:val="F7FD3308"/>
    <w:rsid w:val="F92FEE4A"/>
    <w:rsid w:val="FD4B9AD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5">
    <w:name w:val="heading 4"/>
    <w:basedOn w:val="1"/>
    <w:next w:val="1"/>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6">
    <w:name w:val="heading 5"/>
    <w:basedOn w:val="1"/>
    <w:next w:val="1"/>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paragraph" w:styleId="7">
    <w:name w:val="heading 6"/>
    <w:basedOn w:val="1"/>
    <w:next w:val="1"/>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8">
    <w:name w:val="footer"/>
    <w:basedOn w:val="1"/>
    <w:uiPriority w:val="0"/>
    <w:pPr>
      <w:tabs>
        <w:tab w:val="center" w:pos="4153"/>
        <w:tab w:val="right" w:pos="8306"/>
      </w:tabs>
      <w:snapToGrid w:val="0"/>
      <w:jc w:val="left"/>
    </w:pPr>
    <w:rPr>
      <w:sz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4">
    <w:name w:val="Strong"/>
    <w:basedOn w:val="13"/>
    <w:qFormat/>
    <w:uiPriority w:val="0"/>
    <w:rPr>
      <w:b/>
    </w:rPr>
  </w:style>
  <w:style w:type="paragraph" w:customStyle="1" w:styleId="15">
    <w:name w:val="_Style 1"/>
    <w:basedOn w:val="1"/>
    <w:qFormat/>
    <w:uiPriority w:val="34"/>
    <w:pPr>
      <w:ind w:firstLine="420" w:firstLineChars="200"/>
    </w:pPr>
  </w:style>
  <w:style w:type="paragraph" w:customStyle="1" w:styleId="16">
    <w:name w:val="列出段落"/>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31</TotalTime>
  <ScaleCrop>false</ScaleCrop>
  <LinksUpToDate>false</LinksUpToDate>
  <Application>WPS Office_11.8.2.9958_F1E327BC-269C-435d-A152-05C5408002CA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2021-10-18T20:16:00Z</dcterms:created>
  <dc:creator>Administrator</dc:creator>
  <cp:lastModifiedBy>guest</cp:lastModifiedBy>
  <dcterms:modified xsi:type="dcterms:W3CDTF">2022-08-30T17:00:08Z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