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spacing w:before="0" w:beforeAutospacing="0" w:after="0" w:afterAutospacing="0" w:line="576" w:lineRule="exact"/>
        <w:jc w:val="center"/>
        <w:rPr>
          <w:rFonts w:ascii="方正小标宋_GBK" w:hAnsi="方正小标宋_GBK" w:eastAsia="方正小标宋_GBK" w:cs="方正小标宋_GBK"/>
          <w:sz w:val="44"/>
          <w:szCs w:val="44"/>
        </w:rPr>
      </w:pPr>
      <w:bookmarkStart w:id="0" w:name="_GoBack"/>
      <w:bookmarkEnd w:id="0"/>
      <w:r>
        <w:rPr>
          <w:rFonts w:hint="eastAsia" w:ascii="方正小标宋_GBK" w:hAnsi="方正小标宋_GBK" w:eastAsia="方正小标宋_GBK" w:cs="方正小标宋_GBK"/>
          <w:sz w:val="44"/>
          <w:szCs w:val="44"/>
          <w:shd w:val="clear" w:color="auto" w:fill="FFFFFF"/>
        </w:rPr>
        <w:t>綦江区</w:t>
      </w:r>
      <w:r>
        <w:rPr>
          <w:rFonts w:hint="eastAsia" w:ascii="方正小标宋_GBK" w:hAnsi="方正小标宋_GBK" w:eastAsia="方正小标宋_GBK" w:cs="方正小标宋_GBK"/>
          <w:sz w:val="44"/>
          <w:szCs w:val="44"/>
          <w:shd w:val="clear" w:color="auto" w:fill="FFFFFF"/>
          <w:lang w:eastAsia="zh-CN"/>
        </w:rPr>
        <w:t>法学会</w:t>
      </w:r>
    </w:p>
    <w:p>
      <w:pPr>
        <w:pStyle w:val="14"/>
        <w:spacing w:before="0" w:beforeAutospacing="0" w:after="0" w:afterAutospacing="0" w:line="576"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shd w:val="clear" w:color="auto" w:fill="FFFFFF"/>
        </w:rPr>
        <w:t>2020年度部门决算情况说明</w:t>
      </w:r>
    </w:p>
    <w:p>
      <w:pPr>
        <w:pStyle w:val="14"/>
        <w:spacing w:before="0" w:beforeAutospacing="0" w:after="0" w:afterAutospacing="0" w:line="576" w:lineRule="exact"/>
        <w:jc w:val="both"/>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shd w:val="clear" w:color="auto" w:fill="FFFFFF"/>
        </w:rPr>
        <w:t> </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Fonts w:ascii="方正黑体_GBK" w:hAnsi="方正黑体_GBK" w:eastAsia="方正黑体_GBK" w:cs="方正黑体_GBK"/>
          <w:bCs/>
          <w:sz w:val="32"/>
          <w:szCs w:val="32"/>
        </w:rPr>
      </w:pPr>
      <w:r>
        <w:rPr>
          <w:rStyle w:val="16"/>
          <w:rFonts w:hint="eastAsia" w:ascii="方正黑体_GBK" w:hAnsi="方正黑体_GBK" w:eastAsia="方正黑体_GBK" w:cs="方正黑体_GBK"/>
          <w:b w:val="0"/>
          <w:bCs/>
          <w:sz w:val="32"/>
          <w:szCs w:val="32"/>
          <w:shd w:val="clear" w:color="auto" w:fill="FFFFFF"/>
        </w:rPr>
        <w:t>一、部门基本情况</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Style w:val="16"/>
          <w:rFonts w:ascii="方正楷体_GBK" w:hAnsi="方正楷体_GBK" w:eastAsia="方正楷体_GBK" w:cs="方正楷体_GBK"/>
          <w:b w:val="0"/>
          <w:bCs/>
          <w:sz w:val="32"/>
          <w:szCs w:val="32"/>
          <w:shd w:val="clear" w:color="auto" w:fill="FFFFFF"/>
        </w:rPr>
      </w:pPr>
      <w:r>
        <w:rPr>
          <w:rStyle w:val="16"/>
          <w:rFonts w:hint="eastAsia" w:ascii="方正楷体_GBK" w:hAnsi="方正楷体_GBK" w:eastAsia="方正楷体_GBK" w:cs="方正楷体_GBK"/>
          <w:b w:val="0"/>
          <w:bCs/>
          <w:sz w:val="32"/>
          <w:szCs w:val="32"/>
          <w:shd w:val="clear" w:color="auto" w:fill="FFFFFF"/>
        </w:rPr>
        <w:t>（一）职能职责</w:t>
      </w:r>
    </w:p>
    <w:p>
      <w:pPr>
        <w:keepNext w:val="0"/>
        <w:keepLines w:val="0"/>
        <w:pageBreakBefore w:val="0"/>
        <w:widowControl/>
        <w:kinsoku/>
        <w:wordWrap/>
        <w:overflowPunct/>
        <w:topLinePunct/>
        <w:autoSpaceDE/>
        <w:autoSpaceDN/>
        <w:bidi w:val="0"/>
        <w:adjustRightInd/>
        <w:snapToGrid/>
        <w:spacing w:line="576" w:lineRule="exact"/>
        <w:ind w:left="0" w:leftChars="0" w:right="0" w:rightChars="0" w:firstLine="640" w:firstLineChars="200"/>
        <w:jc w:val="both"/>
        <w:textAlignment w:val="auto"/>
        <w:outlineLvl w:val="9"/>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坚持党的领导，始终坚持把法学会置于党的领导之下，自觉接受区委、区委政法委的领导，团结引领广大法学法律工作者坚决贯彻党的路线、方针、政策和区委的决策部署，严守政治纪律和政治规矩，紧密团结在党的周围，坚定不移地走中国特色社会主义道路。</w:t>
      </w:r>
    </w:p>
    <w:p>
      <w:pPr>
        <w:keepNext w:val="0"/>
        <w:keepLines w:val="0"/>
        <w:pageBreakBefore w:val="0"/>
        <w:widowControl/>
        <w:kinsoku/>
        <w:wordWrap/>
        <w:overflowPunct/>
        <w:topLinePunct/>
        <w:autoSpaceDE/>
        <w:autoSpaceDN/>
        <w:bidi w:val="0"/>
        <w:adjustRightInd/>
        <w:snapToGrid/>
        <w:spacing w:line="576" w:lineRule="exact"/>
        <w:ind w:left="0" w:leftChars="0" w:right="0" w:rightChars="0" w:firstLine="640" w:firstLineChars="200"/>
        <w:jc w:val="both"/>
        <w:textAlignment w:val="auto"/>
        <w:outlineLvl w:val="9"/>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强化政治引领，引领广大法学法律工作者用中国特色社会主义法治理论武装头脑、指导实践，在大是大非面前立场坚定、旗帜鲜明，始终与党中央保持高度一致，确保法学研究、法治教育、法治人才培养等各项工作沿着正确的政治方向和学术方向推进。</w:t>
      </w:r>
    </w:p>
    <w:p>
      <w:pPr>
        <w:keepNext w:val="0"/>
        <w:keepLines w:val="0"/>
        <w:pageBreakBefore w:val="0"/>
        <w:widowControl/>
        <w:kinsoku/>
        <w:wordWrap/>
        <w:overflowPunct/>
        <w:topLinePunct/>
        <w:autoSpaceDE/>
        <w:autoSpaceDN/>
        <w:bidi w:val="0"/>
        <w:adjustRightInd/>
        <w:snapToGrid/>
        <w:spacing w:line="576" w:lineRule="exact"/>
        <w:ind w:left="0" w:leftChars="0" w:right="0" w:rightChars="0" w:firstLine="640" w:firstLineChars="200"/>
        <w:jc w:val="both"/>
        <w:textAlignment w:val="auto"/>
        <w:outlineLvl w:val="9"/>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大力开展法治宣传，组织法学法律专家讲师团，开辟法治讲坛、政法讲坛等，深入机关、企业、学校、农村，广泛开展法治宣传教育，努力营造全民学法、尊法、守法的社会氛围。</w:t>
      </w:r>
    </w:p>
    <w:p>
      <w:pPr>
        <w:keepNext w:val="0"/>
        <w:keepLines w:val="0"/>
        <w:pageBreakBefore w:val="0"/>
        <w:widowControl/>
        <w:kinsoku/>
        <w:wordWrap/>
        <w:overflowPunct/>
        <w:topLinePunct/>
        <w:autoSpaceDE/>
        <w:autoSpaceDN/>
        <w:bidi w:val="0"/>
        <w:adjustRightInd/>
        <w:snapToGrid/>
        <w:spacing w:line="576" w:lineRule="exact"/>
        <w:ind w:left="0" w:leftChars="0" w:right="0" w:rightChars="0" w:firstLine="640" w:firstLineChars="200"/>
        <w:jc w:val="both"/>
        <w:textAlignment w:val="auto"/>
        <w:outlineLvl w:val="9"/>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扎实开展法律服务，充分利用法学会的资源优势，开展多种形式的法律服务，进一步规范和加强基层法律诊所、法律服务站和社区法律顾问等平台建设，不断提高为基层群众提供法律服务的能力水平。</w:t>
      </w:r>
    </w:p>
    <w:p>
      <w:pPr>
        <w:keepNext w:val="0"/>
        <w:keepLines w:val="0"/>
        <w:pageBreakBefore w:val="0"/>
        <w:widowControl/>
        <w:kinsoku/>
        <w:wordWrap/>
        <w:overflowPunct/>
        <w:topLinePunct/>
        <w:autoSpaceDE/>
        <w:autoSpaceDN/>
        <w:bidi w:val="0"/>
        <w:adjustRightInd/>
        <w:snapToGrid/>
        <w:spacing w:line="576" w:lineRule="exact"/>
        <w:ind w:left="0" w:leftChars="0" w:right="0" w:rightChars="0" w:firstLine="640" w:firstLineChars="200"/>
        <w:jc w:val="both"/>
        <w:textAlignment w:val="auto"/>
        <w:outlineLvl w:val="9"/>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积极推进依法治区，认真落实依法治区各项工作，深入研究风险防控、司法体制改革、执法司法规范化建设、提高法治宣传教育实效性等重大问题，切实发挥好智囊团和参谋助手作用。</w:t>
      </w:r>
    </w:p>
    <w:p>
      <w:pPr>
        <w:keepNext w:val="0"/>
        <w:keepLines w:val="0"/>
        <w:pageBreakBefore w:val="0"/>
        <w:widowControl/>
        <w:kinsoku/>
        <w:wordWrap/>
        <w:overflowPunct/>
        <w:topLinePunct/>
        <w:autoSpaceDE/>
        <w:autoSpaceDN/>
        <w:bidi w:val="0"/>
        <w:adjustRightInd/>
        <w:snapToGrid/>
        <w:spacing w:line="576"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rPr>
        <w:t>积极参与政府重大行政决策合法性审查和法律风险评估，做好政策解读和引导工作，积极承接政府下放职能，主动承担部分社会管理服务职能，积极参与政府购买公共服务，</w:t>
      </w:r>
      <w:r>
        <w:rPr>
          <w:rFonts w:hint="eastAsia" w:ascii="方正仿宋_GBK" w:hAnsi="方正仿宋_GBK" w:eastAsia="方正仿宋_GBK" w:cs="方正仿宋_GBK"/>
          <w:sz w:val="32"/>
          <w:szCs w:val="32"/>
        </w:rPr>
        <w:t>进一步拓展工作范围，延伸服务领域，为“四区一城”建设、供给侧结构性改革等提供有力的法治服务和保障。</w:t>
      </w:r>
    </w:p>
    <w:p>
      <w:pPr>
        <w:keepNext w:val="0"/>
        <w:keepLines w:val="0"/>
        <w:pageBreakBefore w:val="0"/>
        <w:widowControl/>
        <w:kinsoku/>
        <w:wordWrap/>
        <w:overflowPunct/>
        <w:topLinePunct/>
        <w:autoSpaceDE/>
        <w:autoSpaceDN/>
        <w:bidi w:val="0"/>
        <w:adjustRightInd/>
        <w:snapToGrid/>
        <w:spacing w:line="576" w:lineRule="exact"/>
        <w:ind w:left="0" w:leftChars="0" w:right="0" w:rightChars="0" w:firstLine="640" w:firstLineChars="200"/>
        <w:jc w:val="both"/>
        <w:textAlignment w:val="auto"/>
        <w:outlineLvl w:val="9"/>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完成</w:t>
      </w:r>
      <w:r>
        <w:rPr>
          <w:rFonts w:hint="eastAsia" w:ascii="方正仿宋_GBK" w:hAnsi="方正仿宋_GBK" w:eastAsia="方正仿宋_GBK" w:cs="方正仿宋_GBK"/>
          <w:bCs/>
          <w:sz w:val="32"/>
          <w:szCs w:val="32"/>
        </w:rPr>
        <w:t>区委、区政府和上级部门</w:t>
      </w:r>
      <w:r>
        <w:rPr>
          <w:rFonts w:hint="eastAsia" w:ascii="方正仿宋_GBK" w:hAnsi="方正仿宋_GBK" w:eastAsia="方正仿宋_GBK" w:cs="方正仿宋_GBK"/>
          <w:sz w:val="32"/>
          <w:szCs w:val="32"/>
        </w:rPr>
        <w:t>交办的其他事项。</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Style w:val="16"/>
          <w:rFonts w:ascii="方正楷体_GBK" w:hAnsi="方正楷体_GBK" w:eastAsia="方正楷体_GBK" w:cs="方正楷体_GBK"/>
          <w:b w:val="0"/>
          <w:bCs/>
          <w:sz w:val="32"/>
          <w:szCs w:val="32"/>
          <w:shd w:val="clear" w:color="auto" w:fill="FFFFFF"/>
        </w:rPr>
      </w:pPr>
      <w:r>
        <w:rPr>
          <w:rStyle w:val="16"/>
          <w:rFonts w:hint="eastAsia" w:ascii="方正楷体_GBK" w:hAnsi="方正楷体_GBK" w:eastAsia="方正楷体_GBK" w:cs="方正楷体_GBK"/>
          <w:b w:val="0"/>
          <w:bCs/>
          <w:sz w:val="32"/>
          <w:szCs w:val="32"/>
          <w:shd w:val="clear" w:color="auto" w:fill="FFFFFF"/>
        </w:rPr>
        <w:t>（二）机构设置</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设置秘书处，具体负责机关日常工作。</w:t>
      </w:r>
    </w:p>
    <w:p>
      <w:pPr>
        <w:keepNext w:val="0"/>
        <w:keepLines w:val="0"/>
        <w:pageBreakBefore w:val="0"/>
        <w:widowControl/>
        <w:numPr>
          <w:ilvl w:val="0"/>
          <w:numId w:val="1"/>
        </w:numPr>
        <w:kinsoku/>
        <w:wordWrap/>
        <w:overflowPunct/>
        <w:autoSpaceDE/>
        <w:autoSpaceDN/>
        <w:bidi w:val="0"/>
        <w:adjustRightInd/>
        <w:snapToGrid/>
        <w:spacing w:line="576" w:lineRule="exact"/>
        <w:ind w:left="0" w:leftChars="0" w:right="0" w:rightChars="0" w:firstLine="640" w:firstLineChars="200"/>
        <w:jc w:val="both"/>
        <w:textAlignment w:val="auto"/>
        <w:outlineLvl w:val="9"/>
        <w:rPr>
          <w:rStyle w:val="16"/>
          <w:rFonts w:ascii="方正楷体_GBK" w:hAnsi="方正楷体_GBK" w:eastAsia="方正楷体_GBK" w:cs="方正楷体_GBK"/>
          <w:b w:val="0"/>
          <w:bCs/>
          <w:sz w:val="32"/>
          <w:szCs w:val="32"/>
          <w:shd w:val="clear" w:color="auto" w:fill="FFFFFF"/>
        </w:rPr>
      </w:pPr>
      <w:r>
        <w:rPr>
          <w:rStyle w:val="16"/>
          <w:rFonts w:hint="eastAsia" w:ascii="方正楷体_GBK" w:hAnsi="方正楷体_GBK" w:eastAsia="方正楷体_GBK" w:cs="方正楷体_GBK"/>
          <w:b w:val="0"/>
          <w:bCs/>
          <w:sz w:val="32"/>
          <w:szCs w:val="32"/>
          <w:shd w:val="clear" w:color="auto" w:fill="FFFFFF"/>
        </w:rPr>
        <w:t>单位构成</w:t>
      </w:r>
    </w:p>
    <w:p>
      <w:pPr>
        <w:keepNext w:val="0"/>
        <w:keepLines w:val="0"/>
        <w:pageBreakBefore w:val="0"/>
        <w:widowControl/>
        <w:kinsoku/>
        <w:wordWrap/>
        <w:overflowPunct/>
        <w:autoSpaceDE/>
        <w:autoSpaceDN/>
        <w:bidi w:val="0"/>
        <w:adjustRightInd/>
        <w:snapToGrid/>
        <w:spacing w:line="576" w:lineRule="exact"/>
        <w:ind w:left="0" w:leftChars="0" w:right="0" w:rightChars="0" w:firstLine="640" w:firstLineChars="200"/>
        <w:jc w:val="both"/>
        <w:textAlignment w:val="auto"/>
        <w:outlineLvl w:val="9"/>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从预算单位构成看，</w:t>
      </w:r>
      <w:r>
        <w:rPr>
          <w:rFonts w:hint="eastAsia" w:ascii="方正仿宋_GBK" w:hAnsi="方正仿宋_GBK" w:eastAsia="方正仿宋_GBK" w:cs="方正仿宋_GBK"/>
          <w:color w:val="auto"/>
          <w:sz w:val="32"/>
          <w:szCs w:val="32"/>
          <w:lang w:eastAsia="zh-CN"/>
        </w:rPr>
        <w:t>区法学会已</w:t>
      </w:r>
      <w:r>
        <w:rPr>
          <w:rFonts w:hint="eastAsia" w:ascii="方正仿宋_GBK" w:hAnsi="方正仿宋_GBK" w:eastAsia="方正仿宋_GBK" w:cs="方正仿宋_GBK"/>
          <w:color w:val="auto"/>
          <w:sz w:val="32"/>
          <w:szCs w:val="32"/>
        </w:rPr>
        <w:t>纳入2020年度决算编制的二级预算单位</w:t>
      </w:r>
      <w:r>
        <w:rPr>
          <w:rFonts w:hint="eastAsia" w:ascii="方正仿宋_GBK" w:hAnsi="方正仿宋_GBK" w:eastAsia="方正仿宋_GBK" w:cs="方正仿宋_GBK"/>
          <w:color w:val="auto"/>
          <w:sz w:val="32"/>
          <w:szCs w:val="32"/>
          <w:lang w:eastAsia="zh-CN"/>
        </w:rPr>
        <w:t>。</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Style w:val="16"/>
          <w:rFonts w:ascii="方正黑体_GBK" w:hAnsi="方正黑体_GBK" w:eastAsia="方正黑体_GBK" w:cs="方正黑体_GBK"/>
          <w:b w:val="0"/>
          <w:bCs/>
          <w:sz w:val="32"/>
          <w:szCs w:val="32"/>
          <w:shd w:val="clear" w:color="auto" w:fill="FFFFFF"/>
        </w:rPr>
      </w:pPr>
      <w:r>
        <w:rPr>
          <w:rStyle w:val="16"/>
          <w:rFonts w:hint="eastAsia" w:ascii="方正黑体_GBK" w:hAnsi="方正黑体_GBK" w:eastAsia="方正黑体_GBK" w:cs="方正黑体_GBK"/>
          <w:b w:val="0"/>
          <w:bCs/>
          <w:sz w:val="32"/>
          <w:szCs w:val="32"/>
          <w:shd w:val="clear" w:color="auto" w:fill="FFFFFF"/>
        </w:rPr>
        <w:t>二、部门决算情况说明</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Style w:val="16"/>
          <w:rFonts w:ascii="方正楷体_GBK" w:hAnsi="方正楷体_GBK" w:eastAsia="方正楷体_GBK" w:cs="方正楷体_GBK"/>
          <w:b w:val="0"/>
          <w:bCs/>
          <w:sz w:val="32"/>
          <w:szCs w:val="32"/>
          <w:shd w:val="clear" w:color="auto" w:fill="FFFFFF"/>
        </w:rPr>
      </w:pPr>
      <w:r>
        <w:rPr>
          <w:rStyle w:val="16"/>
          <w:rFonts w:hint="eastAsia" w:ascii="方正楷体_GBK" w:hAnsi="方正楷体_GBK" w:eastAsia="方正楷体_GBK" w:cs="方正楷体_GBK"/>
          <w:b w:val="0"/>
          <w:bCs/>
          <w:sz w:val="32"/>
          <w:szCs w:val="32"/>
          <w:shd w:val="clear" w:color="auto" w:fill="FFFFFF"/>
        </w:rPr>
        <w:t>（一）收入支出决算总体情况说明</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3" w:firstLineChars="200"/>
        <w:jc w:val="both"/>
        <w:textAlignment w:val="auto"/>
        <w:outlineLvl w:val="9"/>
        <w:rPr>
          <w:rFonts w:ascii="方正仿宋_GBK" w:hAnsi="方正仿宋_GBK" w:eastAsia="方正仿宋_GBK" w:cs="方正仿宋_GBK"/>
          <w:sz w:val="32"/>
          <w:szCs w:val="32"/>
        </w:rPr>
      </w:pPr>
      <w:r>
        <w:rPr>
          <w:rStyle w:val="16"/>
          <w:rFonts w:hint="eastAsia" w:ascii="方正仿宋_GBK" w:hAnsi="方正仿宋_GBK" w:eastAsia="方正仿宋_GBK" w:cs="方正仿宋_GBK"/>
          <w:sz w:val="32"/>
          <w:szCs w:val="32"/>
          <w:shd w:val="clear" w:color="auto" w:fill="FFFFFF"/>
        </w:rPr>
        <w:t>1.总体情况</w:t>
      </w:r>
      <w:r>
        <w:rPr>
          <w:rFonts w:hint="eastAsia" w:ascii="方正仿宋_GBK" w:hAnsi="方正仿宋_GBK" w:eastAsia="方正仿宋_GBK" w:cs="方正仿宋_GBK"/>
          <w:sz w:val="32"/>
          <w:szCs w:val="32"/>
          <w:shd w:val="clear" w:color="auto" w:fill="FFFFFF"/>
        </w:rPr>
        <w:t>。</w:t>
      </w:r>
      <w:r>
        <w:rPr>
          <w:rFonts w:hint="eastAsia" w:ascii="方正仿宋_GBK" w:hAnsi="方正仿宋_GBK" w:eastAsia="方正仿宋_GBK" w:cs="方正仿宋_GBK"/>
          <w:sz w:val="32"/>
          <w:szCs w:val="32"/>
          <w:shd w:val="clear" w:color="auto" w:fill="FFFFFF"/>
          <w:lang w:eastAsia="zh-Hans"/>
        </w:rPr>
        <w:t>2020年度收入总计48.06万元，支出总计48.06万元。收支较上年决算数增加31.52万元、 增长 190.6%</w:t>
      </w:r>
      <w:r>
        <w:rPr>
          <w:rFonts w:hint="eastAsia" w:ascii="方正仿宋_GBK" w:hAnsi="方正仿宋_GBK" w:eastAsia="方正仿宋_GBK" w:cs="方正仿宋_GBK"/>
          <w:sz w:val="32"/>
          <w:szCs w:val="32"/>
          <w:shd w:val="clear" w:color="auto" w:fill="FFFFFF"/>
        </w:rPr>
        <w:t>。</w:t>
      </w:r>
      <w:r>
        <w:rPr>
          <w:rFonts w:hint="eastAsia" w:ascii="方正仿宋_GBK" w:hAnsi="方正仿宋_GBK" w:eastAsia="方正仿宋_GBK" w:cs="方正仿宋_GBK"/>
          <w:sz w:val="32"/>
          <w:szCs w:val="32"/>
          <w:shd w:val="clear" w:color="auto" w:fill="FFFFFF"/>
          <w:lang w:eastAsia="zh-CN"/>
        </w:rPr>
        <w:t>人员增加，经费增加。</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3" w:firstLineChars="200"/>
        <w:jc w:val="both"/>
        <w:textAlignment w:val="auto"/>
        <w:outlineLvl w:val="9"/>
        <w:rPr>
          <w:rFonts w:hint="eastAsia" w:ascii="方正仿宋_GBK" w:hAnsi="方正仿宋_GBK" w:eastAsia="方正仿宋_GBK" w:cs="方正仿宋_GBK"/>
          <w:sz w:val="32"/>
          <w:szCs w:val="32"/>
          <w:shd w:val="clear" w:color="auto" w:fill="FFFFFF"/>
        </w:rPr>
      </w:pPr>
      <w:r>
        <w:rPr>
          <w:rStyle w:val="16"/>
          <w:rFonts w:hint="eastAsia" w:ascii="方正仿宋_GBK" w:hAnsi="方正仿宋_GBK" w:eastAsia="方正仿宋_GBK" w:cs="方正仿宋_GBK"/>
          <w:sz w:val="32"/>
          <w:szCs w:val="32"/>
          <w:shd w:val="clear" w:color="auto" w:fill="FFFFFF"/>
        </w:rPr>
        <w:t>2.收入情况。</w:t>
      </w:r>
      <w:r>
        <w:rPr>
          <w:rFonts w:hint="eastAsia" w:ascii="方正仿宋_GBK" w:hAnsi="方正仿宋_GBK" w:eastAsia="方正仿宋_GBK" w:cs="方正仿宋_GBK"/>
          <w:sz w:val="32"/>
          <w:szCs w:val="32"/>
          <w:shd w:val="clear" w:color="auto" w:fill="FFFFFF"/>
          <w:lang w:eastAsia="zh-Hans"/>
        </w:rPr>
        <w:t>2020年度收入合计48.06万元，较上年决算数增加33.63万元，增长233.1%，</w:t>
      </w:r>
      <w:r>
        <w:rPr>
          <w:rFonts w:hint="eastAsia" w:ascii="方正仿宋_GBK" w:hAnsi="方正仿宋_GBK" w:eastAsia="方正仿宋_GBK" w:cs="方正仿宋_GBK"/>
          <w:sz w:val="32"/>
          <w:szCs w:val="32"/>
          <w:shd w:val="clear" w:color="auto" w:fill="FFFFFF"/>
        </w:rPr>
        <w:t>其中：财政拨款收入48.06万元，占100%。</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3" w:firstLineChars="200"/>
        <w:jc w:val="both"/>
        <w:textAlignment w:val="auto"/>
        <w:outlineLvl w:val="9"/>
        <w:rPr>
          <w:rFonts w:hint="eastAsia" w:ascii="方正仿宋_GBK" w:hAnsi="方正仿宋_GBK" w:eastAsia="方正仿宋_GBK" w:cs="方正仿宋_GBK"/>
          <w:sz w:val="32"/>
          <w:szCs w:val="32"/>
          <w:shd w:val="clear" w:color="auto" w:fill="FFFFFF"/>
          <w:lang w:eastAsia="zh-CN"/>
        </w:rPr>
      </w:pPr>
      <w:r>
        <w:rPr>
          <w:rStyle w:val="16"/>
          <w:rFonts w:hint="eastAsia" w:ascii="方正仿宋_GBK" w:hAnsi="方正仿宋_GBK" w:eastAsia="方正仿宋_GBK" w:cs="方正仿宋_GBK"/>
          <w:sz w:val="32"/>
          <w:szCs w:val="32"/>
          <w:shd w:val="clear" w:color="auto" w:fill="FFFFFF"/>
        </w:rPr>
        <w:t>3.支出情况。</w:t>
      </w:r>
      <w:r>
        <w:rPr>
          <w:rStyle w:val="16"/>
          <w:rFonts w:hint="eastAsia" w:ascii="方正仿宋_GBK" w:hAnsi="方正仿宋_GBK" w:eastAsia="方正仿宋_GBK" w:cs="方正仿宋_GBK"/>
          <w:b w:val="0"/>
          <w:bCs/>
          <w:sz w:val="32"/>
          <w:szCs w:val="32"/>
          <w:shd w:val="clear" w:color="auto" w:fill="FFFFFF"/>
          <w:lang w:eastAsia="zh-Hans"/>
        </w:rPr>
        <w:t>2020年度支出合计48.06万元，较上年决算数增加31.65万元，增长192.9%</w:t>
      </w:r>
      <w:r>
        <w:rPr>
          <w:rFonts w:hint="eastAsia" w:ascii="方正仿宋_GBK" w:hAnsi="方正仿宋_GBK" w:eastAsia="方正仿宋_GBK" w:cs="方正仿宋_GBK"/>
          <w:b w:val="0"/>
          <w:bCs/>
          <w:sz w:val="32"/>
          <w:szCs w:val="32"/>
          <w:shd w:val="clear" w:color="auto" w:fill="FFFFFF"/>
        </w:rPr>
        <w:t>。</w:t>
      </w:r>
      <w:r>
        <w:rPr>
          <w:rFonts w:hint="eastAsia" w:ascii="方正仿宋_GBK" w:hAnsi="方正仿宋_GBK" w:eastAsia="方正仿宋_GBK" w:cs="方正仿宋_GBK"/>
          <w:b w:val="0"/>
          <w:bCs/>
          <w:sz w:val="32"/>
          <w:szCs w:val="32"/>
          <w:shd w:val="clear" w:color="auto" w:fill="FFFFFF"/>
          <w:lang w:eastAsia="zh-Hans"/>
        </w:rPr>
        <w:t>主</w:t>
      </w:r>
      <w:r>
        <w:rPr>
          <w:rFonts w:hint="eastAsia" w:ascii="方正仿宋_GBK" w:hAnsi="方正仿宋_GBK" w:eastAsia="方正仿宋_GBK" w:cs="方正仿宋_GBK"/>
          <w:sz w:val="32"/>
          <w:szCs w:val="32"/>
          <w:shd w:val="clear" w:color="auto" w:fill="FFFFFF"/>
          <w:lang w:eastAsia="zh-Hans"/>
        </w:rPr>
        <w:t>要原因</w:t>
      </w:r>
      <w:r>
        <w:rPr>
          <w:rFonts w:hint="eastAsia" w:ascii="方正仿宋_GBK" w:hAnsi="方正仿宋_GBK" w:eastAsia="方正仿宋_GBK" w:cs="方正仿宋_GBK"/>
          <w:sz w:val="32"/>
          <w:szCs w:val="32"/>
          <w:shd w:val="clear" w:color="auto" w:fill="FFFFFF"/>
          <w:lang w:eastAsia="zh-CN"/>
        </w:rPr>
        <w:t>是人员增加，</w:t>
      </w:r>
      <w:r>
        <w:rPr>
          <w:rFonts w:hint="eastAsia" w:ascii="方正仿宋_GBK" w:hAnsi="方正仿宋_GBK" w:eastAsia="方正仿宋_GBK" w:cs="方正仿宋_GBK"/>
          <w:sz w:val="32"/>
          <w:szCs w:val="32"/>
          <w:shd w:val="clear" w:color="auto" w:fill="FFFFFF"/>
          <w:lang w:eastAsia="zh-Hans"/>
        </w:rPr>
        <w:t>其中：基本支出 26.76万元，占55.7%；项目支出21.30万元，占44.3%</w:t>
      </w:r>
      <w:r>
        <w:rPr>
          <w:rFonts w:hint="eastAsia" w:ascii="方正仿宋_GBK" w:hAnsi="方正仿宋_GBK" w:eastAsia="方正仿宋_GBK" w:cs="方正仿宋_GBK"/>
          <w:sz w:val="32"/>
          <w:szCs w:val="32"/>
          <w:shd w:val="clear" w:color="auto" w:fill="FFFFFF"/>
          <w:lang w:eastAsia="zh-CN"/>
        </w:rPr>
        <w:t>。</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3" w:firstLineChars="200"/>
        <w:jc w:val="both"/>
        <w:textAlignment w:val="auto"/>
        <w:outlineLvl w:val="9"/>
        <w:rPr>
          <w:rFonts w:hint="eastAsia" w:ascii="方正仿宋_GBK" w:hAnsi="方正仿宋_GBK" w:eastAsia="方正仿宋_GBK" w:cs="方正仿宋_GBK"/>
          <w:sz w:val="32"/>
          <w:szCs w:val="32"/>
          <w:shd w:val="clear" w:color="auto" w:fill="FFFFFF"/>
          <w:lang w:val="en-US" w:eastAsia="zh-CN"/>
        </w:rPr>
      </w:pPr>
      <w:r>
        <w:rPr>
          <w:rFonts w:hint="eastAsia" w:ascii="方正仿宋_GBK" w:hAnsi="方正仿宋_GBK" w:eastAsia="方正仿宋_GBK" w:cs="方正仿宋_GBK"/>
          <w:b/>
          <w:bCs/>
          <w:sz w:val="32"/>
          <w:szCs w:val="32"/>
          <w:shd w:val="clear" w:color="auto" w:fill="FFFFFF"/>
          <w:lang w:val="en-US" w:eastAsia="zh-CN"/>
        </w:rPr>
        <w:t>4.结转结余情况。</w:t>
      </w:r>
      <w:r>
        <w:rPr>
          <w:rFonts w:hint="eastAsia" w:ascii="方正仿宋_GBK" w:hAnsi="方正仿宋_GBK" w:eastAsia="方正仿宋_GBK" w:cs="方正仿宋_GBK"/>
          <w:sz w:val="32"/>
          <w:szCs w:val="32"/>
          <w:shd w:val="clear" w:color="auto" w:fill="FFFFFF"/>
          <w:lang w:val="en-US" w:eastAsia="zh-CN"/>
        </w:rPr>
        <w:t>2020年度年末结转和结余0.00万元，较上年决算数减少0.13万元，下降100%，主要原因是</w:t>
      </w:r>
      <w:r>
        <w:rPr>
          <w:rFonts w:hint="eastAsia" w:ascii="方正仿宋_GBK" w:hAnsi="方正仿宋_GBK" w:eastAsia="方正仿宋_GBK" w:cs="方正仿宋_GBK"/>
          <w:sz w:val="32"/>
          <w:szCs w:val="32"/>
          <w:shd w:val="clear" w:color="auto" w:fill="FFFFFF"/>
        </w:rPr>
        <w:t>项目经费当年支付基本完成</w:t>
      </w:r>
      <w:r>
        <w:rPr>
          <w:rFonts w:hint="eastAsia" w:ascii="方正仿宋_GBK" w:hAnsi="方正仿宋_GBK" w:eastAsia="方正仿宋_GBK" w:cs="方正仿宋_GBK"/>
          <w:sz w:val="32"/>
          <w:szCs w:val="32"/>
          <w:shd w:val="clear" w:color="auto" w:fill="FFFFFF"/>
          <w:lang w:eastAsia="zh-CN"/>
        </w:rPr>
        <w:t>。</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Style w:val="16"/>
          <w:rFonts w:ascii="方正楷体_GBK" w:hAnsi="方正楷体_GBK" w:eastAsia="方正楷体_GBK" w:cs="方正楷体_GBK"/>
          <w:b w:val="0"/>
          <w:bCs/>
          <w:sz w:val="32"/>
          <w:szCs w:val="32"/>
          <w:shd w:val="clear" w:color="auto" w:fill="FFFFFF"/>
        </w:rPr>
      </w:pPr>
      <w:r>
        <w:rPr>
          <w:rStyle w:val="16"/>
          <w:rFonts w:hint="eastAsia" w:ascii="方正楷体_GBK" w:hAnsi="方正楷体_GBK" w:eastAsia="方正楷体_GBK" w:cs="方正楷体_GBK"/>
          <w:b w:val="0"/>
          <w:bCs/>
          <w:sz w:val="32"/>
          <w:szCs w:val="32"/>
          <w:shd w:val="clear" w:color="auto" w:fill="FFFFFF"/>
        </w:rPr>
        <w:t>（二）财政拨款收入支出决算总体情况说明</w:t>
      </w:r>
    </w:p>
    <w:p>
      <w:pPr>
        <w:pStyle w:val="14"/>
        <w:keepNext w:val="0"/>
        <w:keepLines w:val="0"/>
        <w:pageBreakBefore w:val="0"/>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shd w:val="clear" w:color="auto" w:fill="FFFFFF"/>
          <w:lang w:eastAsia="zh-Hans"/>
        </w:rPr>
        <w:t>2020年度财政拨款收、支总计48.06万元。与2019年相比，财政拨款收、支总计各增加31.52万 元，增长190.6%。</w:t>
      </w:r>
      <w:r>
        <w:rPr>
          <w:rFonts w:hint="eastAsia" w:ascii="方正仿宋_GBK" w:hAnsi="方正仿宋_GBK" w:eastAsia="方正仿宋_GBK" w:cs="方正仿宋_GBK"/>
          <w:sz w:val="32"/>
          <w:szCs w:val="32"/>
          <w:shd w:val="clear" w:color="auto" w:fill="FFFFFF"/>
          <w:lang w:eastAsia="zh-CN"/>
        </w:rPr>
        <w:t>主要是</w:t>
      </w:r>
      <w:r>
        <w:rPr>
          <w:rFonts w:hint="eastAsia" w:ascii="方正仿宋_GBK" w:hAnsi="方正仿宋_GBK" w:eastAsia="方正仿宋_GBK" w:cs="方正仿宋_GBK"/>
          <w:sz w:val="32"/>
          <w:szCs w:val="32"/>
          <w:shd w:val="clear" w:color="auto" w:fill="FFFFFF"/>
        </w:rPr>
        <w:t>人员经费增加，专项业务项目经费增加。</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Style w:val="16"/>
          <w:rFonts w:ascii="方正楷体_GBK" w:hAnsi="方正楷体_GBK" w:eastAsia="方正楷体_GBK" w:cs="方正楷体_GBK"/>
          <w:b w:val="0"/>
          <w:bCs/>
          <w:sz w:val="32"/>
          <w:szCs w:val="32"/>
          <w:shd w:val="clear" w:color="auto" w:fill="FFFFFF"/>
        </w:rPr>
      </w:pPr>
      <w:r>
        <w:rPr>
          <w:rStyle w:val="16"/>
          <w:rFonts w:hint="eastAsia" w:ascii="方正楷体_GBK" w:hAnsi="方正楷体_GBK" w:eastAsia="方正楷体_GBK" w:cs="方正楷体_GBK"/>
          <w:b w:val="0"/>
          <w:bCs/>
          <w:sz w:val="32"/>
          <w:szCs w:val="32"/>
          <w:shd w:val="clear" w:color="auto" w:fill="FFFFFF"/>
        </w:rPr>
        <w:t>（三）一般公共预算财政拨款支出决算情况说明</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3" w:firstLineChars="200"/>
        <w:jc w:val="both"/>
        <w:textAlignment w:val="auto"/>
        <w:outlineLvl w:val="9"/>
        <w:rPr>
          <w:rFonts w:hint="eastAsia" w:ascii="方正仿宋_GBK" w:hAnsi="方正仿宋_GBK" w:eastAsia="方正仿宋_GBK" w:cs="方正仿宋_GBK"/>
          <w:sz w:val="32"/>
          <w:szCs w:val="32"/>
          <w:shd w:val="clear" w:color="auto" w:fill="FFFFFF"/>
        </w:rPr>
      </w:pPr>
      <w:r>
        <w:rPr>
          <w:rStyle w:val="16"/>
          <w:rFonts w:hint="eastAsia" w:ascii="方正仿宋_GBK" w:hAnsi="方正仿宋_GBK" w:eastAsia="方正仿宋_GBK" w:cs="方正仿宋_GBK"/>
          <w:sz w:val="32"/>
          <w:szCs w:val="32"/>
          <w:shd w:val="clear" w:color="auto" w:fill="FFFFFF"/>
        </w:rPr>
        <w:t>1.收入情况。</w:t>
      </w:r>
      <w:r>
        <w:rPr>
          <w:rFonts w:hint="eastAsia" w:ascii="方正仿宋_GBK" w:hAnsi="方正仿宋_GBK" w:eastAsia="方正仿宋_GBK" w:cs="方正仿宋_GBK"/>
          <w:sz w:val="32"/>
          <w:szCs w:val="32"/>
          <w:shd w:val="clear" w:color="auto" w:fill="FFFFFF"/>
          <w:lang w:eastAsia="zh-Hans"/>
        </w:rPr>
        <w:t>2020年度一般公共预算财政拨款收入48.06万元，较上年决算数增加33.63万元，增长233.1%。</w:t>
      </w:r>
      <w:r>
        <w:rPr>
          <w:rFonts w:hint="eastAsia" w:ascii="方正仿宋_GBK" w:hAnsi="方正仿宋_GBK" w:eastAsia="方正仿宋_GBK" w:cs="方正仿宋_GBK"/>
          <w:sz w:val="32"/>
          <w:szCs w:val="32"/>
          <w:shd w:val="clear" w:color="auto" w:fill="FFFFFF"/>
        </w:rPr>
        <w:t>主要原因是增加</w:t>
      </w:r>
      <w:r>
        <w:rPr>
          <w:rFonts w:hint="eastAsia" w:ascii="方正仿宋_GBK" w:hAnsi="方正仿宋_GBK" w:eastAsia="方正仿宋_GBK" w:cs="方正仿宋_GBK"/>
          <w:sz w:val="32"/>
          <w:szCs w:val="32"/>
          <w:shd w:val="clear" w:color="auto" w:fill="FFFFFF"/>
          <w:lang w:eastAsia="zh-CN"/>
        </w:rPr>
        <w:t>人员增加</w:t>
      </w:r>
      <w:r>
        <w:rPr>
          <w:rFonts w:hint="eastAsia" w:ascii="方正仿宋_GBK" w:hAnsi="方正仿宋_GBK" w:eastAsia="方正仿宋_GBK" w:cs="方正仿宋_GBK"/>
          <w:sz w:val="32"/>
          <w:szCs w:val="32"/>
          <w:shd w:val="clear" w:color="auto" w:fill="FFFFFF"/>
        </w:rPr>
        <w:t>。</w:t>
      </w:r>
      <w:r>
        <w:rPr>
          <w:rFonts w:hint="eastAsia" w:ascii="方正仿宋_GBK" w:hAnsi="方正仿宋_GBK" w:eastAsia="方正仿宋_GBK" w:cs="方正仿宋_GBK"/>
          <w:sz w:val="32"/>
          <w:szCs w:val="32"/>
          <w:shd w:val="clear" w:color="auto" w:fill="FFFFFF"/>
          <w:lang w:eastAsia="zh-Hans"/>
        </w:rPr>
        <w:t>较年初预算数增加12.19万元，增长34%。</w:t>
      </w:r>
      <w:r>
        <w:rPr>
          <w:rFonts w:hint="eastAsia" w:ascii="方正仿宋_GBK" w:hAnsi="方正仿宋_GBK" w:eastAsia="方正仿宋_GBK" w:cs="方正仿宋_GBK"/>
          <w:sz w:val="32"/>
          <w:szCs w:val="32"/>
          <w:shd w:val="clear" w:color="auto" w:fill="FFFFFF"/>
        </w:rPr>
        <w:t>主要原因</w:t>
      </w:r>
      <w:r>
        <w:rPr>
          <w:rFonts w:ascii="Times New Roman" w:hAnsi="Times New Roman" w:eastAsia="方正仿宋_GBK"/>
          <w:sz w:val="32"/>
        </w:rPr>
        <w:t>主要用于保障在职人员工资福利及社会保险缴费，离休人员离休费，退休人员补助等，保障部门正常运转的各项商品服务支出</w:t>
      </w:r>
      <w:r>
        <w:rPr>
          <w:rFonts w:hint="eastAsia" w:ascii="方正仿宋_GBK" w:hAnsi="方正仿宋_GBK" w:eastAsia="方正仿宋_GBK" w:cs="方正仿宋_GBK"/>
          <w:sz w:val="32"/>
          <w:szCs w:val="32"/>
          <w:shd w:val="clear" w:color="auto" w:fill="FFFFFF"/>
        </w:rPr>
        <w:t>。</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3" w:firstLineChars="200"/>
        <w:jc w:val="both"/>
        <w:textAlignment w:val="auto"/>
        <w:outlineLvl w:val="9"/>
        <w:rPr>
          <w:rFonts w:ascii="方正仿宋_GBK" w:hAnsi="方正仿宋_GBK" w:eastAsia="方正仿宋_GBK" w:cs="方正仿宋_GBK"/>
          <w:color w:val="E46C0A" w:themeColor="accent6" w:themeShade="BF"/>
          <w:sz w:val="32"/>
          <w:szCs w:val="32"/>
        </w:rPr>
      </w:pPr>
      <w:r>
        <w:rPr>
          <w:rStyle w:val="16"/>
          <w:rFonts w:hint="eastAsia" w:ascii="方正仿宋_GBK" w:hAnsi="方正仿宋_GBK" w:eastAsia="方正仿宋_GBK" w:cs="方正仿宋_GBK"/>
          <w:sz w:val="32"/>
          <w:szCs w:val="32"/>
          <w:shd w:val="clear" w:color="auto" w:fill="FFFFFF"/>
        </w:rPr>
        <w:t>2.支出情况。</w:t>
      </w:r>
      <w:r>
        <w:rPr>
          <w:rFonts w:hint="eastAsia" w:ascii="Times New Roman" w:hAnsi="Times New Roman" w:eastAsia="方正仿宋_GBK"/>
          <w:sz w:val="32"/>
          <w:szCs w:val="22"/>
          <w:lang w:eastAsia="zh-Hans"/>
        </w:rPr>
        <w:t>2020年度一般公共预算财政拨款支出48.06万元，较上年决算数增加31.65万元，增长192.9%</w:t>
      </w:r>
      <w:r>
        <w:rPr>
          <w:rFonts w:hint="eastAsia" w:ascii="Times New Roman" w:hAnsi="Times New Roman" w:eastAsia="方正仿宋_GBK"/>
          <w:sz w:val="32"/>
          <w:szCs w:val="22"/>
        </w:rPr>
        <w:t>。主要原因是基本支出人员经费增加</w:t>
      </w:r>
      <w:r>
        <w:rPr>
          <w:rFonts w:hint="eastAsia" w:ascii="Times New Roman" w:hAnsi="Times New Roman" w:eastAsia="方正仿宋_GBK"/>
          <w:sz w:val="32"/>
          <w:szCs w:val="22"/>
          <w:lang w:eastAsia="zh-CN"/>
        </w:rPr>
        <w:t>，专项经费增加</w:t>
      </w:r>
      <w:r>
        <w:rPr>
          <w:rFonts w:hint="eastAsia" w:ascii="Times New Roman" w:hAnsi="Times New Roman" w:eastAsia="方正仿宋_GBK"/>
          <w:sz w:val="32"/>
          <w:szCs w:val="22"/>
        </w:rPr>
        <w:t>。</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3" w:firstLineChars="200"/>
        <w:jc w:val="both"/>
        <w:textAlignment w:val="auto"/>
        <w:outlineLvl w:val="9"/>
        <w:rPr>
          <w:rStyle w:val="16"/>
          <w:rFonts w:hint="eastAsia" w:ascii="方正仿宋_GBK" w:hAnsi="方正仿宋_GBK" w:eastAsia="方正仿宋_GBK" w:cs="方正仿宋_GBK"/>
          <w:sz w:val="32"/>
          <w:szCs w:val="32"/>
          <w:shd w:val="clear" w:color="auto" w:fill="FFFFFF"/>
          <w:lang w:eastAsia="zh-Hans"/>
        </w:rPr>
      </w:pPr>
      <w:r>
        <w:rPr>
          <w:rStyle w:val="16"/>
          <w:rFonts w:hint="eastAsia" w:ascii="方正仿宋_GBK" w:hAnsi="方正仿宋_GBK" w:eastAsia="方正仿宋_GBK" w:cs="方正仿宋_GBK"/>
          <w:sz w:val="32"/>
          <w:szCs w:val="32"/>
          <w:shd w:val="clear" w:color="auto" w:fill="FFFFFF"/>
        </w:rPr>
        <w:t>3.结转结余情况。</w:t>
      </w:r>
      <w:r>
        <w:rPr>
          <w:rStyle w:val="16"/>
          <w:rFonts w:hint="eastAsia" w:ascii="方正仿宋_GBK" w:hAnsi="方正仿宋_GBK" w:eastAsia="方正仿宋_GBK" w:cs="方正仿宋_GBK"/>
          <w:sz w:val="32"/>
          <w:szCs w:val="32"/>
          <w:shd w:val="clear" w:color="auto" w:fill="FFFFFF"/>
          <w:lang w:eastAsia="zh-Hans"/>
        </w:rPr>
        <w:t>2</w:t>
      </w:r>
      <w:r>
        <w:rPr>
          <w:rFonts w:hint="eastAsia" w:ascii="Times New Roman" w:hAnsi="Times New Roman" w:eastAsia="方正仿宋_GBK"/>
          <w:sz w:val="32"/>
          <w:szCs w:val="22"/>
          <w:lang w:eastAsia="zh-Hans"/>
        </w:rPr>
        <w:t>020年度年末一般公共预算财政拨款结转和结余0.00万元，较上年决算数减少0.13万元，下降100%</w:t>
      </w:r>
      <w:r>
        <w:rPr>
          <w:rFonts w:hint="eastAsia" w:ascii="Times New Roman" w:hAnsi="Times New Roman" w:eastAsia="方正仿宋_GBK"/>
          <w:sz w:val="32"/>
          <w:szCs w:val="22"/>
          <w:lang w:eastAsia="zh-CN"/>
        </w:rPr>
        <w:t>，</w:t>
      </w:r>
      <w:r>
        <w:rPr>
          <w:rFonts w:hint="eastAsia" w:ascii="方正仿宋_GBK" w:hAnsi="方正仿宋_GBK" w:eastAsia="方正仿宋_GBK" w:cs="方正仿宋_GBK"/>
          <w:sz w:val="32"/>
          <w:szCs w:val="32"/>
          <w:shd w:val="clear" w:color="auto" w:fill="FFFFFF"/>
        </w:rPr>
        <w:t>主要原因是项目经费当年支付基本完成</w:t>
      </w:r>
      <w:r>
        <w:rPr>
          <w:rFonts w:hint="eastAsia" w:ascii="方正仿宋_GBK" w:hAnsi="方正仿宋_GBK" w:eastAsia="方正仿宋_GBK" w:cs="方正仿宋_GBK"/>
          <w:sz w:val="32"/>
          <w:szCs w:val="32"/>
          <w:shd w:val="clear" w:color="auto" w:fill="FFFFFF"/>
          <w:lang w:eastAsia="zh-CN"/>
        </w:rPr>
        <w:t>。</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3" w:firstLineChars="200"/>
        <w:jc w:val="both"/>
        <w:textAlignment w:val="auto"/>
        <w:outlineLvl w:val="9"/>
        <w:rPr>
          <w:rFonts w:ascii="方正仿宋_GBK" w:hAnsi="方正仿宋_GBK" w:eastAsia="方正仿宋_GBK" w:cs="方正仿宋_GBK"/>
          <w:sz w:val="32"/>
          <w:szCs w:val="32"/>
          <w:shd w:val="clear" w:color="auto" w:fill="FFFFFF"/>
        </w:rPr>
      </w:pPr>
      <w:r>
        <w:rPr>
          <w:rStyle w:val="16"/>
          <w:rFonts w:hint="eastAsia" w:ascii="方正仿宋_GBK" w:hAnsi="方正仿宋_GBK" w:eastAsia="方正仿宋_GBK" w:cs="方正仿宋_GBK"/>
          <w:sz w:val="32"/>
          <w:szCs w:val="32"/>
          <w:shd w:val="clear" w:color="auto" w:fill="FFFFFF"/>
        </w:rPr>
        <w:t>4.比较情况</w:t>
      </w:r>
      <w:r>
        <w:rPr>
          <w:rFonts w:hint="eastAsia" w:ascii="方正仿宋_GBK" w:hAnsi="方正仿宋_GBK" w:eastAsia="方正仿宋_GBK" w:cs="方正仿宋_GBK"/>
          <w:sz w:val="32"/>
          <w:szCs w:val="32"/>
          <w:shd w:val="clear" w:color="auto" w:fill="FFFFFF"/>
        </w:rPr>
        <w:t>。本部门2020年度一般公共预算财政拨款支出主要用于以下几个方面：</w:t>
      </w:r>
    </w:p>
    <w:p>
      <w:pPr>
        <w:pStyle w:val="14"/>
        <w:keepNext w:val="0"/>
        <w:keepLines w:val="0"/>
        <w:pageBreakBefore w:val="0"/>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shd w:val="clear" w:color="auto" w:fill="FFFFFF"/>
        </w:rPr>
      </w:pPr>
      <w:r>
        <w:rPr>
          <w:rFonts w:hint="eastAsia" w:ascii="方正仿宋_GBK" w:hAnsi="方正仿宋_GBK" w:eastAsia="方正仿宋_GBK" w:cs="方正仿宋_GBK"/>
          <w:sz w:val="32"/>
          <w:szCs w:val="32"/>
          <w:shd w:val="clear" w:color="auto" w:fill="FFFFFF"/>
        </w:rPr>
        <w:t>（1）</w:t>
      </w:r>
      <w:r>
        <w:rPr>
          <w:rFonts w:hint="eastAsia" w:ascii="方正仿宋_GBK" w:hAnsi="方正仿宋_GBK" w:eastAsia="方正仿宋_GBK" w:cs="方正仿宋_GBK"/>
          <w:sz w:val="32"/>
          <w:szCs w:val="32"/>
          <w:shd w:val="clear" w:color="auto" w:fill="FFFFFF"/>
          <w:lang w:eastAsia="zh-Hans"/>
        </w:rPr>
        <w:t>一般公共服务支出47.17万元，占98.1%，较年初预算数增加14.83万 元，增长45.9%</w:t>
      </w:r>
      <w:r>
        <w:rPr>
          <w:rFonts w:hint="eastAsia" w:ascii="方正仿宋_GBK" w:hAnsi="方正仿宋_GBK" w:eastAsia="方正仿宋_GBK" w:cs="方正仿宋_GBK"/>
          <w:sz w:val="32"/>
          <w:szCs w:val="32"/>
          <w:shd w:val="clear" w:color="auto" w:fill="FFFFFF"/>
        </w:rPr>
        <w:t>，要原因是人员增加，工资基数调标、项目增加等。</w:t>
      </w:r>
    </w:p>
    <w:p>
      <w:pPr>
        <w:pStyle w:val="14"/>
        <w:keepNext w:val="0"/>
        <w:keepLines w:val="0"/>
        <w:pageBreakBefore w:val="0"/>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shd w:val="clear" w:color="auto" w:fill="FFFFFF"/>
        </w:rPr>
      </w:pPr>
      <w:r>
        <w:rPr>
          <w:rFonts w:hint="eastAsia" w:ascii="方正仿宋_GBK" w:hAnsi="方正仿宋_GBK" w:eastAsia="方正仿宋_GBK" w:cs="方正仿宋_GBK"/>
          <w:sz w:val="32"/>
          <w:szCs w:val="32"/>
          <w:shd w:val="clear" w:color="auto" w:fill="FFFFFF"/>
          <w:lang w:eastAsia="zh-CN"/>
        </w:rPr>
        <w:t>（</w:t>
      </w:r>
      <w:r>
        <w:rPr>
          <w:rFonts w:hint="eastAsia" w:ascii="方正仿宋_GBK" w:hAnsi="方正仿宋_GBK" w:eastAsia="方正仿宋_GBK" w:cs="方正仿宋_GBK"/>
          <w:sz w:val="32"/>
          <w:szCs w:val="32"/>
          <w:shd w:val="clear" w:color="auto" w:fill="FFFFFF"/>
          <w:lang w:val="en-US" w:eastAsia="zh-CN"/>
        </w:rPr>
        <w:t>2）社会保障与就业支出0.00万元，占0%，较年初预算数减少1.87万 元，下降98.4%，</w:t>
      </w:r>
      <w:r>
        <w:rPr>
          <w:rFonts w:hint="eastAsia" w:ascii="方正仿宋_GBK" w:hAnsi="方正仿宋_GBK" w:eastAsia="方正仿宋_GBK" w:cs="方正仿宋_GBK"/>
          <w:sz w:val="32"/>
          <w:szCs w:val="32"/>
          <w:shd w:val="clear" w:color="auto" w:fill="FFFFFF"/>
        </w:rPr>
        <w:t>主要原因是人员变化和缴费基数调整。</w:t>
      </w:r>
    </w:p>
    <w:p>
      <w:pPr>
        <w:pStyle w:val="14"/>
        <w:keepNext w:val="0"/>
        <w:keepLines w:val="0"/>
        <w:pageBreakBefore w:val="0"/>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shd w:val="clear" w:color="auto" w:fill="FFFFFF"/>
          <w:lang w:eastAsia="zh-CN"/>
        </w:rPr>
      </w:pPr>
      <w:r>
        <w:rPr>
          <w:rFonts w:hint="eastAsia" w:ascii="方正仿宋_GBK" w:hAnsi="方正仿宋_GBK" w:eastAsia="方正仿宋_GBK" w:cs="方正仿宋_GBK"/>
          <w:sz w:val="32"/>
          <w:szCs w:val="32"/>
          <w:shd w:val="clear" w:color="auto" w:fill="FFFFFF"/>
          <w:lang w:eastAsia="zh-CN"/>
        </w:rPr>
        <w:t>（</w:t>
      </w:r>
      <w:r>
        <w:rPr>
          <w:rFonts w:hint="eastAsia" w:ascii="方正仿宋_GBK" w:hAnsi="方正仿宋_GBK" w:eastAsia="方正仿宋_GBK" w:cs="方正仿宋_GBK"/>
          <w:sz w:val="32"/>
          <w:szCs w:val="32"/>
          <w:shd w:val="clear" w:color="auto" w:fill="FFFFFF"/>
          <w:lang w:val="en-US" w:eastAsia="zh-CN"/>
        </w:rPr>
        <w:t>3）卫生健康支出0.00万元，占0%，较年初预算数减少0.90万 元，下降100%，</w:t>
      </w:r>
      <w:r>
        <w:rPr>
          <w:rFonts w:hint="eastAsia" w:ascii="方正仿宋_GBK" w:hAnsi="方正仿宋_GBK" w:eastAsia="方正仿宋_GBK" w:cs="方正仿宋_GBK"/>
          <w:sz w:val="32"/>
          <w:szCs w:val="32"/>
          <w:shd w:val="clear" w:color="auto" w:fill="FFFFFF"/>
        </w:rPr>
        <w:t>主要原因是人员变化和缴费基数调整。</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shd w:val="clear" w:color="auto" w:fill="FFFFFF"/>
        </w:rPr>
        <w:t>（4）</w:t>
      </w:r>
      <w:r>
        <w:rPr>
          <w:rFonts w:hint="eastAsia" w:ascii="方正仿宋_GBK" w:hAnsi="方正仿宋_GBK" w:eastAsia="方正仿宋_GBK" w:cs="方正仿宋_GBK"/>
          <w:sz w:val="32"/>
          <w:szCs w:val="32"/>
          <w:shd w:val="clear" w:color="auto" w:fill="FFFFFF"/>
          <w:lang w:eastAsia="zh-Hans"/>
        </w:rPr>
        <w:t>住房保障支出0.89万元，占1.9%，较年初预算数增加0.00万 元，增长0%，</w:t>
      </w:r>
      <w:r>
        <w:rPr>
          <w:rFonts w:hint="eastAsia" w:ascii="方正仿宋_GBK" w:hAnsi="方正仿宋_GBK" w:eastAsia="方正仿宋_GBK" w:cs="方正仿宋_GBK"/>
          <w:sz w:val="32"/>
          <w:szCs w:val="32"/>
          <w:shd w:val="clear" w:color="auto" w:fill="FFFFFF"/>
        </w:rPr>
        <w:t>主要原因是人员变化和缴费基数调整。</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Style w:val="16"/>
          <w:rFonts w:ascii="方正楷体_GBK" w:hAnsi="方正楷体_GBK" w:eastAsia="方正楷体_GBK" w:cs="方正楷体_GBK"/>
          <w:b w:val="0"/>
          <w:bCs/>
          <w:sz w:val="32"/>
          <w:szCs w:val="32"/>
          <w:shd w:val="clear" w:color="auto" w:fill="FFFFFF"/>
        </w:rPr>
      </w:pPr>
      <w:r>
        <w:rPr>
          <w:rStyle w:val="16"/>
          <w:rFonts w:hint="eastAsia" w:ascii="方正楷体_GBK" w:hAnsi="方正楷体_GBK" w:eastAsia="方正楷体_GBK" w:cs="方正楷体_GBK"/>
          <w:b w:val="0"/>
          <w:bCs/>
          <w:sz w:val="32"/>
          <w:szCs w:val="32"/>
          <w:shd w:val="clear" w:color="auto" w:fill="FFFFFF"/>
        </w:rPr>
        <w:t>（四）一般公共预算财政拨款基本支出决算情况说明</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shd w:val="clear" w:color="auto" w:fill="FFFFFF"/>
        </w:rPr>
      </w:pPr>
      <w:r>
        <w:rPr>
          <w:rFonts w:hint="eastAsia" w:ascii="方正仿宋_GBK" w:hAnsi="方正仿宋_GBK" w:eastAsia="方正仿宋_GBK" w:cs="方正仿宋_GBK"/>
          <w:sz w:val="32"/>
          <w:szCs w:val="32"/>
          <w:shd w:val="clear" w:color="auto" w:fill="FFFFFF"/>
          <w:lang w:eastAsia="zh-Hans"/>
        </w:rPr>
        <w:t>2020年度一般公共财政拨款基本支出26.76万元。其中：人员经费26.76万元，较上年决算数增加15.35万 元，增长134.5%</w:t>
      </w:r>
      <w:r>
        <w:rPr>
          <w:rFonts w:hint="eastAsia"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rPr>
        <w:t>人员经费增加和项目经费增加</w:t>
      </w:r>
      <w:r>
        <w:rPr>
          <w:rFonts w:hint="eastAsia" w:ascii="方正仿宋_GBK" w:hAnsi="方正仿宋_GBK" w:eastAsia="方正仿宋_GBK" w:cs="方正仿宋_GBK"/>
          <w:sz w:val="32"/>
          <w:szCs w:val="32"/>
          <w:shd w:val="clear" w:color="auto" w:fill="FFFFFF"/>
        </w:rPr>
        <w:t>。人员经费用途主要包括基本工资、津贴补贴、奖金、社会保障缴费、其它工资福利支出。</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Style w:val="16"/>
          <w:rFonts w:ascii="方正楷体_GBK" w:hAnsi="方正楷体_GBK" w:eastAsia="方正楷体_GBK" w:cs="方正楷体_GBK"/>
          <w:b w:val="0"/>
          <w:bCs/>
          <w:sz w:val="32"/>
          <w:szCs w:val="32"/>
          <w:shd w:val="clear" w:color="auto" w:fill="FFFFFF"/>
        </w:rPr>
      </w:pPr>
      <w:r>
        <w:rPr>
          <w:rStyle w:val="16"/>
          <w:rFonts w:hint="eastAsia" w:ascii="方正楷体_GBK" w:hAnsi="方正楷体_GBK" w:eastAsia="方正楷体_GBK" w:cs="方正楷体_GBK"/>
          <w:b w:val="0"/>
          <w:bCs/>
          <w:sz w:val="32"/>
          <w:szCs w:val="32"/>
          <w:shd w:val="clear" w:color="auto" w:fill="FFFFFF"/>
        </w:rPr>
        <w:t>（五）政府性基金预算收支决算情况说明</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本部门2020年度无政府性基金预算财政拨款收支。</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Fonts w:ascii="方正仿宋_GBK" w:hAnsi="方正仿宋_GBK" w:eastAsia="方正仿宋_GBK" w:cs="方正仿宋_GBK"/>
          <w:sz w:val="32"/>
          <w:szCs w:val="32"/>
          <w:shd w:val="clear" w:color="auto" w:fill="FFFFFF"/>
        </w:rPr>
      </w:pPr>
      <w:r>
        <w:rPr>
          <w:rStyle w:val="16"/>
          <w:rFonts w:hint="eastAsia" w:ascii="方正楷体_GBK" w:hAnsi="方正楷体_GBK" w:eastAsia="方正楷体_GBK" w:cs="方正楷体_GBK"/>
          <w:b w:val="0"/>
          <w:bCs/>
          <w:sz w:val="32"/>
          <w:szCs w:val="32"/>
          <w:shd w:val="clear" w:color="auto" w:fill="FFFFFF"/>
        </w:rPr>
        <w:t>（六）国有资本经营预算财政拨款支决算情况说明</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sz w:val="32"/>
          <w:szCs w:val="32"/>
        </w:rPr>
        <w:t>本部门2020年度无国有资本经营预算财政拨款支出。</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Style w:val="16"/>
          <w:rFonts w:ascii="方正黑体_GBK" w:hAnsi="方正黑体_GBK" w:eastAsia="方正黑体_GBK" w:cs="方正黑体_GBK"/>
          <w:b w:val="0"/>
          <w:bCs/>
          <w:sz w:val="32"/>
          <w:szCs w:val="32"/>
          <w:shd w:val="clear" w:color="auto" w:fill="FFFFFF"/>
        </w:rPr>
      </w:pPr>
      <w:r>
        <w:rPr>
          <w:rStyle w:val="16"/>
          <w:rFonts w:hint="eastAsia" w:ascii="方正黑体_GBK" w:hAnsi="方正黑体_GBK" w:eastAsia="方正黑体_GBK" w:cs="方正黑体_GBK"/>
          <w:b w:val="0"/>
          <w:bCs/>
          <w:sz w:val="32"/>
          <w:szCs w:val="32"/>
          <w:shd w:val="clear" w:color="auto" w:fill="FFFFFF"/>
        </w:rPr>
        <w:t>三、“三公”经费情况说明</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Style w:val="16"/>
          <w:rFonts w:ascii="方正楷体_GBK" w:hAnsi="方正楷体_GBK" w:eastAsia="方正楷体_GBK" w:cs="方正楷体_GBK"/>
          <w:b w:val="0"/>
          <w:bCs/>
          <w:sz w:val="32"/>
          <w:szCs w:val="32"/>
          <w:shd w:val="clear" w:color="auto" w:fill="FFFFFF"/>
        </w:rPr>
      </w:pPr>
      <w:r>
        <w:rPr>
          <w:rStyle w:val="16"/>
          <w:rFonts w:hint="eastAsia" w:ascii="方正楷体_GBK" w:hAnsi="方正楷体_GBK" w:eastAsia="方正楷体_GBK" w:cs="方正楷体_GBK"/>
          <w:b w:val="0"/>
          <w:bCs/>
          <w:sz w:val="32"/>
          <w:szCs w:val="32"/>
          <w:shd w:val="clear" w:color="auto" w:fill="FFFFFF"/>
        </w:rPr>
        <w:t>（一）“三公”经费支出总体情况说明</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Fonts w:eastAsia="方正仿宋_GBK"/>
          <w:sz w:val="32"/>
          <w:szCs w:val="32"/>
        </w:rPr>
      </w:pPr>
      <w:r>
        <w:rPr>
          <w:rFonts w:hint="eastAsia" w:ascii="方正仿宋_GBK" w:hAnsi="方正仿宋_GBK" w:eastAsia="方正仿宋_GBK" w:cs="方正仿宋_GBK"/>
          <w:sz w:val="32"/>
          <w:szCs w:val="32"/>
          <w:shd w:val="clear" w:color="auto" w:fill="FFFFFF"/>
        </w:rPr>
        <w:t>本单位2020年度</w:t>
      </w:r>
      <w:r>
        <w:rPr>
          <w:rFonts w:hint="eastAsia" w:ascii="方正仿宋_GBK" w:hAnsi="方正仿宋_GBK" w:eastAsia="方正仿宋_GBK" w:cs="方正仿宋_GBK"/>
          <w:sz w:val="32"/>
          <w:szCs w:val="32"/>
        </w:rPr>
        <w:t>无“三公”经费预算财政拨款支出。</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Style w:val="16"/>
          <w:rFonts w:ascii="方正楷体_GBK" w:hAnsi="方正楷体_GBK" w:eastAsia="方正楷体_GBK" w:cs="方正楷体_GBK"/>
          <w:b w:val="0"/>
          <w:bCs/>
          <w:sz w:val="32"/>
          <w:szCs w:val="32"/>
          <w:shd w:val="clear" w:color="auto" w:fill="FFFFFF"/>
        </w:rPr>
      </w:pPr>
      <w:r>
        <w:rPr>
          <w:rStyle w:val="16"/>
          <w:rFonts w:hint="eastAsia" w:ascii="方正楷体_GBK" w:hAnsi="方正楷体_GBK" w:eastAsia="方正楷体_GBK" w:cs="方正楷体_GBK"/>
          <w:b w:val="0"/>
          <w:bCs/>
          <w:sz w:val="32"/>
          <w:szCs w:val="32"/>
          <w:shd w:val="clear" w:color="auto" w:fill="FFFFFF"/>
        </w:rPr>
        <w:t>（二）“三公”经费分项支出情况</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shd w:val="clear" w:color="auto" w:fill="FFFFFF"/>
        </w:rPr>
      </w:pPr>
      <w:r>
        <w:rPr>
          <w:rFonts w:hint="eastAsia" w:ascii="方正仿宋_GBK" w:hAnsi="方正仿宋_GBK" w:eastAsia="方正仿宋_GBK" w:cs="方正仿宋_GBK"/>
          <w:sz w:val="32"/>
          <w:szCs w:val="32"/>
          <w:shd w:val="clear" w:color="auto" w:fill="FFFFFF"/>
        </w:rPr>
        <w:t>本单位2020年度未发生因公出国（境）费用。</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shd w:val="clear" w:color="auto" w:fill="FFFFFF"/>
        </w:rPr>
        <w:t>本单位2020年度未发生公务车</w:t>
      </w:r>
      <w:r>
        <w:rPr>
          <w:rFonts w:hint="eastAsia" w:ascii="方正仿宋_GBK" w:hAnsi="方正仿宋_GBK" w:eastAsia="方正仿宋_GBK" w:cs="方正仿宋_GBK"/>
          <w:sz w:val="32"/>
          <w:szCs w:val="32"/>
          <w:shd w:val="clear" w:color="auto" w:fill="FFFFFF"/>
          <w:lang w:eastAsia="zh-CN"/>
        </w:rPr>
        <w:t>有关</w:t>
      </w:r>
      <w:r>
        <w:rPr>
          <w:rFonts w:hint="eastAsia" w:ascii="方正仿宋_GBK" w:hAnsi="方正仿宋_GBK" w:eastAsia="方正仿宋_GBK" w:cs="方正仿宋_GBK"/>
          <w:sz w:val="32"/>
          <w:szCs w:val="32"/>
          <w:shd w:val="clear" w:color="auto" w:fill="FFFFFF"/>
        </w:rPr>
        <w:t>费</w:t>
      </w:r>
      <w:r>
        <w:rPr>
          <w:rFonts w:hint="eastAsia" w:ascii="方正仿宋_GBK" w:hAnsi="方正仿宋_GBK" w:eastAsia="方正仿宋_GBK" w:cs="方正仿宋_GBK"/>
          <w:sz w:val="32"/>
          <w:szCs w:val="32"/>
          <w:shd w:val="clear" w:color="auto" w:fill="FFFFFF"/>
          <w:lang w:eastAsia="zh-CN"/>
        </w:rPr>
        <w:t>用</w:t>
      </w:r>
      <w:r>
        <w:rPr>
          <w:rFonts w:hint="eastAsia" w:ascii="方正仿宋_GBK" w:hAnsi="方正仿宋_GBK" w:eastAsia="方正仿宋_GBK" w:cs="方正仿宋_GBK"/>
          <w:sz w:val="32"/>
          <w:szCs w:val="32"/>
          <w:shd w:val="clear" w:color="auto" w:fill="FFFFFF"/>
        </w:rPr>
        <w:t>。</w:t>
      </w:r>
    </w:p>
    <w:p>
      <w:pPr>
        <w:pStyle w:val="14"/>
        <w:keepNext w:val="0"/>
        <w:keepLines w:val="0"/>
        <w:pageBreakBefore w:val="0"/>
        <w:widowControl/>
        <w:shd w:val="clear" w:color="auto" w:fill="FFFFFF"/>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Fonts w:eastAsia="方正仿宋_GBK"/>
          <w:color w:val="E46C0A" w:themeColor="accent6" w:themeShade="BF"/>
          <w:sz w:val="32"/>
          <w:szCs w:val="32"/>
        </w:rPr>
      </w:pPr>
      <w:r>
        <w:rPr>
          <w:rFonts w:hint="eastAsia" w:ascii="方正仿宋_GBK" w:hAnsi="方正仿宋_GBK" w:eastAsia="方正仿宋_GBK" w:cs="方正仿宋_GBK"/>
          <w:sz w:val="32"/>
          <w:szCs w:val="32"/>
          <w:shd w:val="clear" w:color="auto" w:fill="FFFFFF"/>
        </w:rPr>
        <w:t>本单位2020年度未发生公务接待</w:t>
      </w:r>
      <w:r>
        <w:rPr>
          <w:rFonts w:hint="eastAsia" w:ascii="方正仿宋_GBK" w:hAnsi="方正仿宋_GBK" w:eastAsia="方正仿宋_GBK" w:cs="方正仿宋_GBK"/>
          <w:sz w:val="32"/>
          <w:szCs w:val="32"/>
          <w:shd w:val="clear" w:color="auto" w:fill="FFFFFF"/>
          <w:lang w:eastAsia="zh-CN"/>
        </w:rPr>
        <w:t>有关</w:t>
      </w:r>
      <w:r>
        <w:rPr>
          <w:rFonts w:hint="eastAsia" w:ascii="方正仿宋_GBK" w:hAnsi="方正仿宋_GBK" w:eastAsia="方正仿宋_GBK" w:cs="方正仿宋_GBK"/>
          <w:sz w:val="32"/>
          <w:szCs w:val="32"/>
          <w:shd w:val="clear" w:color="auto" w:fill="FFFFFF"/>
        </w:rPr>
        <w:t>费</w:t>
      </w:r>
      <w:r>
        <w:rPr>
          <w:rFonts w:hint="eastAsia" w:ascii="方正仿宋_GBK" w:hAnsi="方正仿宋_GBK" w:eastAsia="方正仿宋_GBK" w:cs="方正仿宋_GBK"/>
          <w:sz w:val="32"/>
          <w:szCs w:val="32"/>
          <w:shd w:val="clear" w:color="auto" w:fill="FFFFFF"/>
          <w:lang w:eastAsia="zh-CN"/>
        </w:rPr>
        <w:t>用</w:t>
      </w:r>
      <w:r>
        <w:rPr>
          <w:rFonts w:hint="eastAsia" w:ascii="方正仿宋_GBK" w:hAnsi="方正仿宋_GBK" w:eastAsia="方正仿宋_GBK" w:cs="方正仿宋_GBK"/>
          <w:sz w:val="32"/>
          <w:szCs w:val="32"/>
          <w:shd w:val="clear" w:color="auto" w:fill="FFFFFF"/>
        </w:rPr>
        <w:t>。</w:t>
      </w:r>
    </w:p>
    <w:p>
      <w:pPr>
        <w:pStyle w:val="14"/>
        <w:keepNext w:val="0"/>
        <w:keepLines w:val="0"/>
        <w:pageBreakBefore w:val="0"/>
        <w:widowControl/>
        <w:kinsoku/>
        <w:wordWrap/>
        <w:overflowPunct/>
        <w:autoSpaceDE/>
        <w:autoSpaceDN/>
        <w:bidi w:val="0"/>
        <w:adjustRightInd/>
        <w:snapToGrid/>
        <w:spacing w:before="0" w:beforeAutospacing="0" w:after="0" w:afterAutospacing="0" w:line="576" w:lineRule="exact"/>
        <w:ind w:left="0" w:leftChars="0" w:right="0" w:rightChars="0" w:firstLine="640" w:firstLineChars="200"/>
        <w:jc w:val="both"/>
        <w:textAlignment w:val="auto"/>
        <w:outlineLvl w:val="9"/>
        <w:rPr>
          <w:rStyle w:val="16"/>
          <w:rFonts w:ascii="方正楷体_GBK" w:hAnsi="方正楷体_GBK" w:eastAsia="方正楷体_GBK" w:cs="方正楷体_GBK"/>
          <w:b w:val="0"/>
          <w:bCs/>
          <w:sz w:val="32"/>
          <w:szCs w:val="32"/>
          <w:shd w:val="clear" w:color="auto" w:fill="FFFFFF"/>
        </w:rPr>
      </w:pPr>
      <w:r>
        <w:rPr>
          <w:rStyle w:val="16"/>
          <w:rFonts w:hint="eastAsia" w:ascii="方正楷体_GBK" w:hAnsi="方正楷体_GBK" w:eastAsia="方正楷体_GBK" w:cs="方正楷体_GBK"/>
          <w:b w:val="0"/>
          <w:bCs/>
          <w:sz w:val="32"/>
          <w:szCs w:val="32"/>
          <w:shd w:val="clear" w:color="auto" w:fill="FFFFFF"/>
        </w:rPr>
        <w:t>（三）“三公”经费实物量情况</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556" w:lineRule="exact"/>
        <w:ind w:left="0" w:leftChars="0" w:right="0" w:rightChars="0" w:firstLine="640" w:firstLineChars="200"/>
        <w:jc w:val="both"/>
        <w:textAlignment w:val="auto"/>
        <w:outlineLvl w:val="9"/>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shd w:val="clear" w:color="auto" w:fill="FFFFFF"/>
        </w:rPr>
        <w:t>2020年度本部门因公出国（境）共计0个团组，0人；公务用车购置0辆，公务车保有量为</w:t>
      </w:r>
      <w:r>
        <w:rPr>
          <w:rFonts w:hint="eastAsia" w:ascii="方正仿宋_GBK" w:hAnsi="方正仿宋_GBK" w:eastAsia="方正仿宋_GBK" w:cs="方正仿宋_GBK"/>
          <w:sz w:val="32"/>
          <w:szCs w:val="32"/>
          <w:shd w:val="clear" w:color="auto" w:fill="FFFFFF"/>
          <w:lang w:val="en-US" w:eastAsia="zh-CN"/>
        </w:rPr>
        <w:t>0</w:t>
      </w:r>
      <w:r>
        <w:rPr>
          <w:rFonts w:hint="eastAsia" w:ascii="方正仿宋_GBK" w:hAnsi="方正仿宋_GBK" w:eastAsia="方正仿宋_GBK" w:cs="方正仿宋_GBK"/>
          <w:sz w:val="32"/>
          <w:szCs w:val="32"/>
          <w:shd w:val="clear" w:color="auto" w:fill="FFFFFF"/>
        </w:rPr>
        <w:t>辆；国内公务接待人，其中：国内外事接待0批次，0人；国（境）外公务接待0批次，0人。2020年本部门人均接待费</w:t>
      </w:r>
      <w:r>
        <w:rPr>
          <w:rFonts w:hint="eastAsia" w:ascii="方正仿宋_GBK" w:hAnsi="方正仿宋_GBK" w:eastAsia="方正仿宋_GBK" w:cs="方正仿宋_GBK"/>
          <w:sz w:val="32"/>
          <w:szCs w:val="32"/>
          <w:shd w:val="clear" w:color="auto" w:fill="FFFFFF"/>
          <w:lang w:val="en-US" w:eastAsia="zh-CN"/>
        </w:rPr>
        <w:t>0</w:t>
      </w:r>
      <w:r>
        <w:rPr>
          <w:rFonts w:hint="eastAsia" w:ascii="方正仿宋_GBK" w:hAnsi="方正仿宋_GBK" w:eastAsia="方正仿宋_GBK" w:cs="方正仿宋_GBK"/>
          <w:sz w:val="32"/>
          <w:szCs w:val="32"/>
          <w:shd w:val="clear" w:color="auto" w:fill="FFFFFF"/>
        </w:rPr>
        <w:t>元，车均购置费0.00万元，车均维护费</w:t>
      </w:r>
      <w:r>
        <w:rPr>
          <w:rFonts w:hint="eastAsia" w:ascii="方正仿宋_GBK" w:hAnsi="方正仿宋_GBK" w:eastAsia="方正仿宋_GBK" w:cs="方正仿宋_GBK"/>
          <w:sz w:val="32"/>
          <w:szCs w:val="32"/>
          <w:shd w:val="clear" w:color="auto" w:fill="FFFFFF"/>
          <w:lang w:val="en-US" w:eastAsia="zh-CN"/>
        </w:rPr>
        <w:t>0</w:t>
      </w:r>
      <w:r>
        <w:rPr>
          <w:rFonts w:hint="eastAsia" w:ascii="方正仿宋_GBK" w:hAnsi="方正仿宋_GBK" w:eastAsia="方正仿宋_GBK" w:cs="方正仿宋_GBK"/>
          <w:sz w:val="32"/>
          <w:szCs w:val="32"/>
          <w:shd w:val="clear" w:color="auto" w:fill="FFFFFF"/>
        </w:rPr>
        <w:t>万元。</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556" w:lineRule="exact"/>
        <w:ind w:left="0" w:leftChars="0" w:right="0" w:rightChars="0" w:firstLine="640" w:firstLineChars="200"/>
        <w:jc w:val="both"/>
        <w:textAlignment w:val="auto"/>
        <w:outlineLvl w:val="9"/>
        <w:rPr>
          <w:rFonts w:ascii="方正黑体_GBK" w:hAnsi="方正黑体_GBK" w:eastAsia="方正黑体_GBK" w:cs="方正黑体_GBK"/>
          <w:bCs/>
          <w:sz w:val="32"/>
          <w:szCs w:val="32"/>
        </w:rPr>
      </w:pPr>
      <w:r>
        <w:rPr>
          <w:rStyle w:val="16"/>
          <w:rFonts w:hint="eastAsia" w:ascii="方正黑体_GBK" w:hAnsi="方正黑体_GBK" w:eastAsia="方正黑体_GBK" w:cs="方正黑体_GBK"/>
          <w:b w:val="0"/>
          <w:bCs/>
          <w:sz w:val="32"/>
          <w:szCs w:val="32"/>
          <w:shd w:val="clear" w:color="auto" w:fill="FFFFFF"/>
        </w:rPr>
        <w:t>四、其他需要说明的事项</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556" w:lineRule="exact"/>
        <w:ind w:left="0" w:leftChars="0" w:right="0" w:rightChars="0" w:firstLine="640" w:firstLineChars="200"/>
        <w:jc w:val="both"/>
        <w:textAlignment w:val="auto"/>
        <w:outlineLvl w:val="9"/>
        <w:rPr>
          <w:rStyle w:val="16"/>
          <w:rFonts w:ascii="方正楷体_GBK" w:hAnsi="方正楷体_GBK" w:eastAsia="方正楷体_GBK" w:cs="方正楷体_GBK"/>
          <w:b w:val="0"/>
          <w:bCs/>
          <w:sz w:val="32"/>
          <w:szCs w:val="32"/>
          <w:shd w:val="clear" w:color="auto" w:fill="FFFFFF"/>
        </w:rPr>
      </w:pPr>
      <w:r>
        <w:rPr>
          <w:rStyle w:val="16"/>
          <w:rFonts w:hint="eastAsia" w:ascii="方正楷体_GBK" w:hAnsi="方正楷体_GBK" w:eastAsia="方正楷体_GBK" w:cs="方正楷体_GBK"/>
          <w:b w:val="0"/>
          <w:bCs/>
          <w:sz w:val="32"/>
          <w:szCs w:val="32"/>
          <w:shd w:val="clear" w:color="auto" w:fill="FFFFFF"/>
        </w:rPr>
        <w:t>（一）机关运行经费情况说明</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556" w:lineRule="exact"/>
        <w:ind w:left="0" w:leftChars="0" w:right="0" w:rightChars="0" w:firstLine="640" w:firstLineChars="200"/>
        <w:jc w:val="both"/>
        <w:textAlignment w:val="auto"/>
        <w:outlineLvl w:val="9"/>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shd w:val="clear" w:color="auto" w:fill="FFFFFF"/>
          <w:lang w:eastAsia="zh-CN"/>
        </w:rPr>
        <w:t>本单位无机关运行经费情况</w:t>
      </w:r>
      <w:r>
        <w:rPr>
          <w:rFonts w:hint="eastAsia" w:ascii="方正仿宋_GBK" w:hAnsi="方正仿宋_GBK" w:eastAsia="方正仿宋_GBK" w:cs="方正仿宋_GBK"/>
          <w:sz w:val="32"/>
          <w:szCs w:val="32"/>
          <w:shd w:val="clear" w:color="auto" w:fill="FFFFFF"/>
        </w:rPr>
        <w:t>。</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556" w:lineRule="exact"/>
        <w:ind w:left="0" w:leftChars="0" w:right="0" w:rightChars="0" w:firstLine="640" w:firstLineChars="200"/>
        <w:jc w:val="both"/>
        <w:textAlignment w:val="auto"/>
        <w:outlineLvl w:val="9"/>
        <w:rPr>
          <w:rStyle w:val="16"/>
          <w:rFonts w:ascii="方正楷体_GBK" w:hAnsi="方正楷体_GBK" w:eastAsia="方正楷体_GBK" w:cs="方正楷体_GBK"/>
          <w:b w:val="0"/>
          <w:bCs/>
          <w:sz w:val="32"/>
          <w:szCs w:val="32"/>
          <w:shd w:val="clear" w:color="auto" w:fill="FFFFFF"/>
        </w:rPr>
      </w:pPr>
      <w:r>
        <w:rPr>
          <w:rStyle w:val="16"/>
          <w:rFonts w:hint="eastAsia" w:ascii="方正楷体_GBK" w:hAnsi="方正楷体_GBK" w:eastAsia="方正楷体_GBK" w:cs="方正楷体_GBK"/>
          <w:b w:val="0"/>
          <w:bCs/>
          <w:sz w:val="32"/>
          <w:szCs w:val="32"/>
          <w:shd w:val="clear" w:color="auto" w:fill="FFFFFF"/>
        </w:rPr>
        <w:t>（二）国有资产占用情况说明</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556" w:lineRule="exact"/>
        <w:ind w:left="0" w:leftChars="0" w:right="0" w:rightChars="0" w:firstLine="640" w:firstLineChars="200"/>
        <w:jc w:val="both"/>
        <w:textAlignment w:val="auto"/>
        <w:outlineLvl w:val="9"/>
        <w:rPr>
          <w:rFonts w:ascii="方正仿宋_GBK" w:hAnsi="方正仿宋_GBK" w:eastAsia="方正仿宋_GBK" w:cs="方正仿宋_GBK"/>
          <w:sz w:val="32"/>
          <w:szCs w:val="32"/>
          <w:shd w:val="clear" w:color="auto" w:fill="FFFFFF"/>
        </w:rPr>
      </w:pPr>
      <w:r>
        <w:rPr>
          <w:rFonts w:hint="eastAsia" w:ascii="方正仿宋_GBK" w:hAnsi="方正仿宋_GBK" w:eastAsia="方正仿宋_GBK" w:cs="方正仿宋_GBK"/>
          <w:sz w:val="32"/>
          <w:szCs w:val="32"/>
          <w:shd w:val="clear" w:color="auto" w:fill="FFFFFF"/>
        </w:rPr>
        <w:t>截至2020年12月31日，本部门共有车辆</w:t>
      </w:r>
      <w:r>
        <w:rPr>
          <w:rFonts w:hint="eastAsia" w:ascii="方正仿宋_GBK" w:hAnsi="方正仿宋_GBK" w:eastAsia="方正仿宋_GBK" w:cs="方正仿宋_GBK"/>
          <w:sz w:val="32"/>
          <w:szCs w:val="32"/>
          <w:shd w:val="clear" w:color="auto" w:fill="FFFFFF"/>
          <w:lang w:val="en-US" w:eastAsia="zh-CN"/>
        </w:rPr>
        <w:t>0</w:t>
      </w:r>
      <w:r>
        <w:rPr>
          <w:rFonts w:hint="eastAsia" w:ascii="方正仿宋_GBK" w:hAnsi="方正仿宋_GBK" w:eastAsia="方正仿宋_GBK" w:cs="方正仿宋_GBK"/>
          <w:sz w:val="32"/>
          <w:szCs w:val="32"/>
          <w:shd w:val="clear" w:color="auto" w:fill="FFFFFF"/>
        </w:rPr>
        <w:t>辆，其中，副部（省）级及以上领导用车0辆、主要领导干部用车0辆、机要通信用车0辆、应急保障用车</w:t>
      </w:r>
      <w:r>
        <w:rPr>
          <w:rFonts w:hint="eastAsia" w:ascii="方正仿宋_GBK" w:hAnsi="方正仿宋_GBK" w:eastAsia="方正仿宋_GBK" w:cs="方正仿宋_GBK"/>
          <w:sz w:val="32"/>
          <w:szCs w:val="32"/>
          <w:shd w:val="clear" w:color="auto" w:fill="FFFFFF"/>
          <w:lang w:val="en-US" w:eastAsia="zh-CN"/>
        </w:rPr>
        <w:t>0</w:t>
      </w:r>
      <w:r>
        <w:rPr>
          <w:rFonts w:hint="eastAsia" w:ascii="方正仿宋_GBK" w:hAnsi="方正仿宋_GBK" w:eastAsia="方正仿宋_GBK" w:cs="方正仿宋_GBK"/>
          <w:sz w:val="32"/>
          <w:szCs w:val="32"/>
          <w:shd w:val="clear" w:color="auto" w:fill="FFFFFF"/>
        </w:rPr>
        <w:t>辆、执法执勤用车0辆，特种专业技术用车0辆，离退休干部用车0辆，其他用车0辆。单价50万元（含）以上通用设备0台（套），单价100万元（含）以上专用设备0台（套）。</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556" w:lineRule="exact"/>
        <w:ind w:left="0" w:leftChars="0" w:right="0" w:rightChars="0" w:firstLine="640" w:firstLineChars="200"/>
        <w:jc w:val="both"/>
        <w:textAlignment w:val="auto"/>
        <w:outlineLvl w:val="9"/>
        <w:rPr>
          <w:rStyle w:val="16"/>
          <w:rFonts w:ascii="方正楷体_GBK" w:hAnsi="方正楷体_GBK" w:eastAsia="方正楷体_GBK" w:cs="方正楷体_GBK"/>
          <w:b w:val="0"/>
          <w:bCs/>
          <w:sz w:val="32"/>
          <w:szCs w:val="32"/>
          <w:shd w:val="clear" w:color="auto" w:fill="FFFFFF"/>
        </w:rPr>
      </w:pPr>
      <w:r>
        <w:rPr>
          <w:rStyle w:val="16"/>
          <w:rFonts w:hint="eastAsia" w:ascii="方正楷体_GBK" w:hAnsi="方正楷体_GBK" w:eastAsia="方正楷体_GBK" w:cs="方正楷体_GBK"/>
          <w:b w:val="0"/>
          <w:bCs/>
          <w:sz w:val="32"/>
          <w:szCs w:val="32"/>
          <w:shd w:val="clear" w:color="auto" w:fill="FFFFFF"/>
        </w:rPr>
        <w:t>（三）政府采购支出情况说明</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556" w:lineRule="exact"/>
        <w:ind w:left="0" w:leftChars="0" w:right="0" w:rightChars="0" w:firstLine="640" w:firstLineChars="200"/>
        <w:jc w:val="both"/>
        <w:textAlignment w:val="auto"/>
        <w:outlineLvl w:val="9"/>
        <w:rPr>
          <w:rFonts w:ascii="方正仿宋_GBK" w:hAnsi="方正仿宋_GBK" w:eastAsia="方正仿宋_GBK" w:cs="方正仿宋_GBK"/>
          <w:sz w:val="32"/>
          <w:szCs w:val="32"/>
          <w:shd w:val="clear" w:color="auto" w:fill="FFFFFF"/>
        </w:rPr>
      </w:pPr>
      <w:r>
        <w:rPr>
          <w:rFonts w:hint="eastAsia" w:ascii="方正仿宋_GBK" w:hAnsi="方正仿宋_GBK" w:eastAsia="方正仿宋_GBK" w:cs="方正仿宋_GBK"/>
          <w:sz w:val="32"/>
          <w:szCs w:val="32"/>
          <w:shd w:val="clear" w:color="auto" w:fill="FFFFFF"/>
        </w:rPr>
        <w:t>2020年度我单位未发生政府采购事项，无相关经费支出。</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556" w:lineRule="exact"/>
        <w:ind w:left="0" w:leftChars="0" w:right="0" w:rightChars="0" w:firstLine="640" w:firstLineChars="200"/>
        <w:jc w:val="both"/>
        <w:textAlignment w:val="auto"/>
        <w:outlineLvl w:val="9"/>
        <w:rPr>
          <w:rFonts w:ascii="方正黑体_GBK" w:hAnsi="方正黑体_GBK" w:eastAsia="方正黑体_GBK" w:cs="方正黑体_GBK"/>
          <w:bCs/>
          <w:sz w:val="32"/>
          <w:szCs w:val="32"/>
        </w:rPr>
      </w:pPr>
      <w:r>
        <w:rPr>
          <w:rStyle w:val="16"/>
          <w:rFonts w:hint="eastAsia" w:ascii="方正黑体_GBK" w:hAnsi="方正黑体_GBK" w:eastAsia="方正黑体_GBK" w:cs="方正黑体_GBK"/>
          <w:b w:val="0"/>
          <w:bCs/>
          <w:sz w:val="32"/>
          <w:szCs w:val="32"/>
          <w:shd w:val="clear" w:color="auto" w:fill="FFFFFF"/>
        </w:rPr>
        <w:t>五、预算绩效管理情况说明</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556" w:lineRule="exact"/>
        <w:ind w:left="0" w:leftChars="0" w:right="0" w:rightChars="0" w:firstLine="640" w:firstLineChars="200"/>
        <w:jc w:val="both"/>
        <w:textAlignment w:val="auto"/>
        <w:outlineLvl w:val="9"/>
        <w:rPr>
          <w:rFonts w:ascii="方正楷体_GBK" w:hAnsi="方正楷体_GBK" w:eastAsia="方正楷体_GBK" w:cs="方正楷体_GBK"/>
          <w:bCs/>
          <w:sz w:val="32"/>
          <w:szCs w:val="32"/>
        </w:rPr>
      </w:pPr>
      <w:r>
        <w:rPr>
          <w:rStyle w:val="16"/>
          <w:rFonts w:hint="eastAsia" w:ascii="方正楷体_GBK" w:hAnsi="方正楷体_GBK" w:eastAsia="方正楷体_GBK" w:cs="方正楷体_GBK"/>
          <w:b w:val="0"/>
          <w:bCs/>
          <w:sz w:val="32"/>
          <w:szCs w:val="32"/>
          <w:shd w:val="clear" w:color="auto" w:fill="FFFFFF"/>
        </w:rPr>
        <w:t>（一）预算绩效管理工作开展情况</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556" w:lineRule="exact"/>
        <w:ind w:left="0" w:leftChars="0" w:right="0" w:rightChars="0" w:firstLine="640" w:firstLineChars="200"/>
        <w:jc w:val="both"/>
        <w:textAlignment w:val="auto"/>
        <w:outlineLvl w:val="9"/>
        <w:rPr>
          <w:rFonts w:ascii="方正黑体_GBK" w:hAnsi="方正黑体_GBK" w:eastAsia="方正黑体_GBK" w:cs="方正黑体_GBK"/>
          <w:sz w:val="32"/>
          <w:szCs w:val="32"/>
        </w:rPr>
      </w:pPr>
      <w:r>
        <w:rPr>
          <w:rFonts w:hint="eastAsia" w:ascii="方正仿宋_GBK" w:eastAsia="方正仿宋_GBK" w:cs="宋体"/>
          <w:sz w:val="32"/>
          <w:szCs w:val="32"/>
        </w:rPr>
        <w:t>根据预算绩效管理要求，我单位</w:t>
      </w:r>
      <w:r>
        <w:rPr>
          <w:rFonts w:hint="eastAsia" w:ascii="方正仿宋_GBK" w:eastAsia="方正仿宋_GBK" w:cs="宋体"/>
          <w:sz w:val="32"/>
          <w:szCs w:val="32"/>
          <w:lang w:eastAsia="zh-CN"/>
        </w:rPr>
        <w:t>无项目支出</w:t>
      </w:r>
      <w:r>
        <w:rPr>
          <w:rFonts w:hint="eastAsia" w:ascii="方正仿宋_GBK" w:hAnsi="方正仿宋_GBK" w:eastAsia="方正仿宋_GBK" w:cs="方正仿宋_GBK"/>
          <w:sz w:val="32"/>
          <w:szCs w:val="32"/>
        </w:rPr>
        <w:t>。</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556" w:lineRule="exact"/>
        <w:ind w:left="0" w:leftChars="0" w:right="0" w:rightChars="0" w:firstLine="640" w:firstLineChars="200"/>
        <w:jc w:val="both"/>
        <w:textAlignment w:val="auto"/>
        <w:outlineLvl w:val="9"/>
        <w:rPr>
          <w:rStyle w:val="16"/>
          <w:rFonts w:ascii="方正楷体_GBK" w:hAnsi="方正楷体_GBK" w:eastAsia="方正楷体_GBK" w:cs="方正楷体_GBK"/>
          <w:b w:val="0"/>
          <w:bCs/>
          <w:sz w:val="32"/>
          <w:szCs w:val="32"/>
          <w:shd w:val="clear" w:color="auto" w:fill="FFFFFF"/>
        </w:rPr>
      </w:pPr>
      <w:r>
        <w:rPr>
          <w:rStyle w:val="16"/>
          <w:rFonts w:hint="eastAsia" w:ascii="方正楷体_GBK" w:hAnsi="方正楷体_GBK" w:eastAsia="方正楷体_GBK" w:cs="方正楷体_GBK"/>
          <w:b w:val="0"/>
          <w:bCs/>
          <w:sz w:val="32"/>
          <w:szCs w:val="32"/>
          <w:shd w:val="clear" w:color="auto" w:fill="FFFFFF"/>
        </w:rPr>
        <w:t>（二）绩效自评结果</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556" w:lineRule="exact"/>
        <w:ind w:left="0" w:leftChars="0" w:right="0" w:rightChars="0" w:firstLine="643" w:firstLineChars="200"/>
        <w:jc w:val="both"/>
        <w:textAlignment w:val="auto"/>
        <w:outlineLvl w:val="9"/>
        <w:rPr>
          <w:rFonts w:ascii="方正仿宋_GBK" w:hAnsi="方正仿宋_GBK" w:eastAsia="方正仿宋_GBK" w:cs="方正仿宋_GBK"/>
          <w:sz w:val="32"/>
          <w:szCs w:val="32"/>
        </w:rPr>
      </w:pPr>
      <w:r>
        <w:rPr>
          <w:rStyle w:val="16"/>
          <w:rFonts w:hint="eastAsia" w:ascii="方正仿宋_GBK" w:hAnsi="方正仿宋_GBK" w:eastAsia="方正仿宋_GBK" w:cs="方正仿宋_GBK"/>
          <w:sz w:val="32"/>
          <w:szCs w:val="32"/>
          <w:shd w:val="clear" w:color="auto" w:fill="FFFFFF"/>
        </w:rPr>
        <w:t>1.绩效自评表</w:t>
      </w:r>
    </w:p>
    <w:p>
      <w:pPr>
        <w:pStyle w:val="19"/>
        <w:keepNext w:val="0"/>
        <w:keepLines w:val="0"/>
        <w:pageBreakBefore w:val="0"/>
        <w:widowControl/>
        <w:tabs>
          <w:tab w:val="center" w:pos="4153"/>
          <w:tab w:val="left" w:pos="7275"/>
        </w:tabs>
        <w:kinsoku/>
        <w:wordWrap/>
        <w:overflowPunct/>
        <w:topLinePunct w:val="0"/>
        <w:autoSpaceDE/>
        <w:autoSpaceDN/>
        <w:bidi w:val="0"/>
        <w:adjustRightInd/>
        <w:snapToGrid/>
        <w:spacing w:line="556" w:lineRule="exact"/>
        <w:ind w:left="0" w:leftChars="0" w:right="0" w:rightChars="0" w:firstLine="640" w:firstLineChars="200"/>
        <w:textAlignment w:val="auto"/>
        <w:outlineLvl w:val="9"/>
        <w:rPr>
          <w:rFonts w:hint="eastAsia" w:ascii="方正仿宋_GBK" w:eastAsia="方正仿宋_GBK" w:cs="宋体"/>
          <w:sz w:val="32"/>
          <w:szCs w:val="32"/>
          <w:lang w:eastAsia="zh-CN"/>
        </w:rPr>
      </w:pPr>
      <w:r>
        <w:rPr>
          <w:rFonts w:hint="eastAsia" w:ascii="方正仿宋_GBK" w:eastAsia="方正仿宋_GBK" w:cs="宋体"/>
          <w:sz w:val="32"/>
          <w:szCs w:val="32"/>
          <w:lang w:eastAsia="zh-CN"/>
        </w:rPr>
        <w:t>无项目支出</w:t>
      </w:r>
    </w:p>
    <w:p>
      <w:pPr>
        <w:pStyle w:val="19"/>
        <w:keepNext w:val="0"/>
        <w:keepLines w:val="0"/>
        <w:pageBreakBefore w:val="0"/>
        <w:widowControl/>
        <w:tabs>
          <w:tab w:val="center" w:pos="4153"/>
          <w:tab w:val="left" w:pos="7275"/>
        </w:tabs>
        <w:kinsoku/>
        <w:wordWrap/>
        <w:overflowPunct/>
        <w:topLinePunct w:val="0"/>
        <w:autoSpaceDE/>
        <w:autoSpaceDN/>
        <w:bidi w:val="0"/>
        <w:adjustRightInd/>
        <w:snapToGrid/>
        <w:spacing w:line="556" w:lineRule="exact"/>
        <w:ind w:left="0" w:leftChars="0" w:right="0" w:rightChars="0" w:firstLine="640" w:firstLineChars="200"/>
        <w:textAlignment w:val="auto"/>
        <w:outlineLvl w:val="9"/>
        <w:rPr>
          <w:rFonts w:hint="eastAsia" w:ascii="方正仿宋_GBK" w:eastAsia="方正仿宋_GBK" w:cs="宋体"/>
          <w:sz w:val="32"/>
          <w:szCs w:val="32"/>
          <w:lang w:eastAsia="zh-CN"/>
        </w:rPr>
      </w:pPr>
    </w:p>
    <w:p>
      <w:pPr>
        <w:pStyle w:val="19"/>
        <w:keepNext w:val="0"/>
        <w:keepLines w:val="0"/>
        <w:pageBreakBefore w:val="0"/>
        <w:widowControl/>
        <w:tabs>
          <w:tab w:val="center" w:pos="4153"/>
          <w:tab w:val="left" w:pos="7275"/>
        </w:tabs>
        <w:kinsoku/>
        <w:wordWrap/>
        <w:overflowPunct/>
        <w:topLinePunct w:val="0"/>
        <w:autoSpaceDE/>
        <w:autoSpaceDN/>
        <w:bidi w:val="0"/>
        <w:adjustRightInd/>
        <w:snapToGrid/>
        <w:spacing w:line="556" w:lineRule="exact"/>
        <w:ind w:left="0" w:leftChars="0" w:right="0" w:rightChars="0" w:firstLine="640" w:firstLineChars="200"/>
        <w:textAlignment w:val="auto"/>
        <w:outlineLvl w:val="9"/>
        <w:rPr>
          <w:rFonts w:hint="eastAsia" w:ascii="方正仿宋_GBK" w:eastAsia="方正仿宋_GBK" w:cs="宋体"/>
          <w:sz w:val="32"/>
          <w:szCs w:val="32"/>
          <w:lang w:eastAsia="zh-CN"/>
        </w:rPr>
      </w:pPr>
    </w:p>
    <w:p>
      <w:pPr>
        <w:pStyle w:val="19"/>
        <w:keepNext w:val="0"/>
        <w:keepLines w:val="0"/>
        <w:pageBreakBefore w:val="0"/>
        <w:widowControl/>
        <w:tabs>
          <w:tab w:val="center" w:pos="4153"/>
          <w:tab w:val="left" w:pos="7275"/>
        </w:tabs>
        <w:kinsoku/>
        <w:wordWrap/>
        <w:overflowPunct/>
        <w:topLinePunct w:val="0"/>
        <w:autoSpaceDE/>
        <w:autoSpaceDN/>
        <w:bidi w:val="0"/>
        <w:adjustRightInd/>
        <w:snapToGrid/>
        <w:spacing w:line="556" w:lineRule="exact"/>
        <w:ind w:left="0" w:leftChars="0" w:right="0" w:rightChars="0" w:firstLine="640" w:firstLineChars="200"/>
        <w:textAlignment w:val="auto"/>
        <w:outlineLvl w:val="9"/>
        <w:rPr>
          <w:rFonts w:hint="eastAsia" w:ascii="方正仿宋_GBK" w:eastAsia="方正仿宋_GBK" w:cs="宋体"/>
          <w:sz w:val="32"/>
          <w:szCs w:val="32"/>
          <w:lang w:eastAsia="zh-CN"/>
        </w:rPr>
      </w:pPr>
    </w:p>
    <w:p>
      <w:pPr>
        <w:pStyle w:val="19"/>
        <w:keepNext w:val="0"/>
        <w:keepLines w:val="0"/>
        <w:pageBreakBefore w:val="0"/>
        <w:widowControl/>
        <w:tabs>
          <w:tab w:val="center" w:pos="4153"/>
          <w:tab w:val="left" w:pos="7275"/>
        </w:tabs>
        <w:kinsoku/>
        <w:wordWrap/>
        <w:overflowPunct/>
        <w:topLinePunct w:val="0"/>
        <w:autoSpaceDE/>
        <w:autoSpaceDN/>
        <w:bidi w:val="0"/>
        <w:adjustRightInd/>
        <w:snapToGrid/>
        <w:spacing w:line="556" w:lineRule="exact"/>
        <w:ind w:left="0" w:leftChars="0" w:right="0" w:rightChars="0" w:firstLine="640" w:firstLineChars="200"/>
        <w:textAlignment w:val="auto"/>
        <w:outlineLvl w:val="9"/>
        <w:rPr>
          <w:rFonts w:hint="eastAsia" w:ascii="方正仿宋_GBK" w:eastAsia="方正仿宋_GBK" w:cs="宋体"/>
          <w:sz w:val="32"/>
          <w:szCs w:val="32"/>
          <w:lang w:eastAsia="zh-CN"/>
        </w:rPr>
      </w:pPr>
    </w:p>
    <w:p>
      <w:pPr>
        <w:pStyle w:val="19"/>
        <w:keepNext w:val="0"/>
        <w:keepLines w:val="0"/>
        <w:pageBreakBefore w:val="0"/>
        <w:widowControl/>
        <w:tabs>
          <w:tab w:val="center" w:pos="4153"/>
          <w:tab w:val="left" w:pos="7275"/>
        </w:tabs>
        <w:kinsoku/>
        <w:wordWrap/>
        <w:overflowPunct/>
        <w:topLinePunct w:val="0"/>
        <w:autoSpaceDE/>
        <w:autoSpaceDN/>
        <w:bidi w:val="0"/>
        <w:adjustRightInd/>
        <w:snapToGrid/>
        <w:spacing w:line="556" w:lineRule="exact"/>
        <w:ind w:left="0" w:leftChars="0" w:right="0" w:rightChars="0" w:firstLine="640" w:firstLineChars="200"/>
        <w:textAlignment w:val="auto"/>
        <w:outlineLvl w:val="9"/>
        <w:rPr>
          <w:rFonts w:hint="eastAsia" w:ascii="方正仿宋_GBK" w:eastAsia="方正仿宋_GBK" w:cs="宋体"/>
          <w:sz w:val="32"/>
          <w:szCs w:val="32"/>
          <w:lang w:eastAsia="zh-CN"/>
        </w:rPr>
      </w:pPr>
    </w:p>
    <w:p>
      <w:pPr>
        <w:pStyle w:val="19"/>
        <w:keepNext w:val="0"/>
        <w:keepLines w:val="0"/>
        <w:pageBreakBefore w:val="0"/>
        <w:widowControl/>
        <w:tabs>
          <w:tab w:val="center" w:pos="4153"/>
          <w:tab w:val="left" w:pos="7275"/>
        </w:tabs>
        <w:kinsoku/>
        <w:wordWrap/>
        <w:overflowPunct/>
        <w:topLinePunct w:val="0"/>
        <w:autoSpaceDE/>
        <w:autoSpaceDN/>
        <w:bidi w:val="0"/>
        <w:adjustRightInd/>
        <w:snapToGrid/>
        <w:spacing w:line="556" w:lineRule="exact"/>
        <w:ind w:left="0" w:leftChars="0" w:right="0" w:rightChars="0" w:firstLine="640" w:firstLineChars="200"/>
        <w:textAlignment w:val="auto"/>
        <w:outlineLvl w:val="9"/>
        <w:rPr>
          <w:rFonts w:hint="eastAsia" w:ascii="方正仿宋_GBK" w:eastAsia="方正仿宋_GBK" w:cs="宋体"/>
          <w:sz w:val="32"/>
          <w:szCs w:val="32"/>
          <w:lang w:eastAsia="zh-CN"/>
        </w:rPr>
      </w:pPr>
    </w:p>
    <w:p>
      <w:pPr>
        <w:pStyle w:val="19"/>
        <w:keepNext w:val="0"/>
        <w:keepLines w:val="0"/>
        <w:pageBreakBefore w:val="0"/>
        <w:widowControl/>
        <w:tabs>
          <w:tab w:val="center" w:pos="4153"/>
          <w:tab w:val="left" w:pos="7275"/>
        </w:tabs>
        <w:kinsoku/>
        <w:wordWrap/>
        <w:overflowPunct/>
        <w:topLinePunct w:val="0"/>
        <w:autoSpaceDE/>
        <w:autoSpaceDN/>
        <w:bidi w:val="0"/>
        <w:adjustRightInd/>
        <w:snapToGrid/>
        <w:spacing w:line="556" w:lineRule="exact"/>
        <w:ind w:left="0" w:leftChars="0" w:right="0" w:rightChars="0" w:firstLine="640" w:firstLineChars="200"/>
        <w:textAlignment w:val="auto"/>
        <w:outlineLvl w:val="9"/>
        <w:rPr>
          <w:rFonts w:hint="eastAsia" w:ascii="方正仿宋_GBK" w:eastAsia="方正仿宋_GBK" w:cs="宋体"/>
          <w:sz w:val="32"/>
          <w:szCs w:val="32"/>
          <w:lang w:eastAsia="zh-CN"/>
        </w:rPr>
      </w:pPr>
    </w:p>
    <w:p>
      <w:pPr>
        <w:pStyle w:val="19"/>
        <w:keepNext w:val="0"/>
        <w:keepLines w:val="0"/>
        <w:pageBreakBefore w:val="0"/>
        <w:widowControl/>
        <w:tabs>
          <w:tab w:val="center" w:pos="4153"/>
          <w:tab w:val="left" w:pos="7275"/>
        </w:tabs>
        <w:kinsoku/>
        <w:wordWrap/>
        <w:overflowPunct/>
        <w:topLinePunct w:val="0"/>
        <w:autoSpaceDE/>
        <w:autoSpaceDN/>
        <w:bidi w:val="0"/>
        <w:adjustRightInd/>
        <w:snapToGrid/>
        <w:spacing w:line="556" w:lineRule="exact"/>
        <w:ind w:left="0" w:leftChars="0" w:right="0" w:rightChars="0" w:firstLine="640" w:firstLineChars="200"/>
        <w:textAlignment w:val="auto"/>
        <w:outlineLvl w:val="9"/>
        <w:rPr>
          <w:rFonts w:hint="eastAsia" w:ascii="方正仿宋_GBK" w:eastAsia="方正仿宋_GBK" w:cs="宋体"/>
          <w:sz w:val="32"/>
          <w:szCs w:val="32"/>
          <w:lang w:eastAsia="zh-CN"/>
        </w:rPr>
      </w:pPr>
    </w:p>
    <w:p>
      <w:pPr>
        <w:pStyle w:val="19"/>
        <w:keepNext w:val="0"/>
        <w:keepLines w:val="0"/>
        <w:pageBreakBefore w:val="0"/>
        <w:widowControl/>
        <w:tabs>
          <w:tab w:val="center" w:pos="4153"/>
          <w:tab w:val="left" w:pos="7275"/>
        </w:tabs>
        <w:kinsoku/>
        <w:wordWrap/>
        <w:overflowPunct/>
        <w:topLinePunct w:val="0"/>
        <w:autoSpaceDE/>
        <w:autoSpaceDN/>
        <w:bidi w:val="0"/>
        <w:adjustRightInd/>
        <w:snapToGrid/>
        <w:spacing w:line="556" w:lineRule="exact"/>
        <w:ind w:left="0" w:leftChars="0" w:right="0" w:rightChars="0" w:firstLine="640" w:firstLineChars="200"/>
        <w:textAlignment w:val="auto"/>
        <w:outlineLvl w:val="9"/>
        <w:rPr>
          <w:rFonts w:hint="eastAsia" w:ascii="方正仿宋_GBK" w:eastAsia="方正仿宋_GBK" w:cs="宋体"/>
          <w:sz w:val="32"/>
          <w:szCs w:val="32"/>
          <w:lang w:eastAsia="zh-CN"/>
        </w:rPr>
      </w:pPr>
    </w:p>
    <w:p>
      <w:pPr>
        <w:pStyle w:val="19"/>
        <w:keepNext w:val="0"/>
        <w:keepLines w:val="0"/>
        <w:pageBreakBefore w:val="0"/>
        <w:widowControl/>
        <w:tabs>
          <w:tab w:val="center" w:pos="4153"/>
          <w:tab w:val="left" w:pos="7275"/>
        </w:tabs>
        <w:kinsoku/>
        <w:wordWrap/>
        <w:overflowPunct/>
        <w:topLinePunct w:val="0"/>
        <w:autoSpaceDE/>
        <w:autoSpaceDN/>
        <w:bidi w:val="0"/>
        <w:adjustRightInd/>
        <w:snapToGrid/>
        <w:spacing w:line="556" w:lineRule="exact"/>
        <w:ind w:left="0" w:leftChars="0" w:right="0" w:rightChars="0" w:firstLine="640" w:firstLineChars="200"/>
        <w:textAlignment w:val="auto"/>
        <w:outlineLvl w:val="9"/>
        <w:rPr>
          <w:rFonts w:hint="eastAsia" w:ascii="方正仿宋_GBK" w:eastAsia="方正仿宋_GBK" w:cs="宋体"/>
          <w:sz w:val="32"/>
          <w:szCs w:val="32"/>
          <w:lang w:eastAsia="zh-CN"/>
        </w:rPr>
      </w:pPr>
    </w:p>
    <w:p>
      <w:pPr>
        <w:pStyle w:val="19"/>
        <w:keepNext w:val="0"/>
        <w:keepLines w:val="0"/>
        <w:pageBreakBefore w:val="0"/>
        <w:widowControl/>
        <w:tabs>
          <w:tab w:val="center" w:pos="4153"/>
          <w:tab w:val="left" w:pos="7275"/>
        </w:tabs>
        <w:kinsoku/>
        <w:wordWrap/>
        <w:overflowPunct/>
        <w:topLinePunct w:val="0"/>
        <w:autoSpaceDE/>
        <w:autoSpaceDN/>
        <w:bidi w:val="0"/>
        <w:adjustRightInd/>
        <w:snapToGrid/>
        <w:spacing w:line="556" w:lineRule="exact"/>
        <w:ind w:left="0" w:leftChars="0" w:right="0" w:rightChars="0" w:firstLine="640" w:firstLineChars="200"/>
        <w:textAlignment w:val="auto"/>
        <w:outlineLvl w:val="9"/>
        <w:rPr>
          <w:rFonts w:hint="eastAsia" w:ascii="方正仿宋_GBK" w:eastAsia="方正仿宋_GBK" w:cs="宋体"/>
          <w:sz w:val="32"/>
          <w:szCs w:val="32"/>
          <w:lang w:eastAsia="zh-CN"/>
        </w:rPr>
      </w:pPr>
    </w:p>
    <w:p>
      <w:pPr>
        <w:pStyle w:val="19"/>
        <w:keepNext w:val="0"/>
        <w:keepLines w:val="0"/>
        <w:pageBreakBefore w:val="0"/>
        <w:widowControl/>
        <w:tabs>
          <w:tab w:val="center" w:pos="4153"/>
          <w:tab w:val="left" w:pos="7275"/>
        </w:tabs>
        <w:kinsoku/>
        <w:wordWrap/>
        <w:overflowPunct/>
        <w:topLinePunct w:val="0"/>
        <w:autoSpaceDE/>
        <w:autoSpaceDN/>
        <w:bidi w:val="0"/>
        <w:adjustRightInd/>
        <w:snapToGrid/>
        <w:spacing w:line="556" w:lineRule="exact"/>
        <w:ind w:left="0" w:leftChars="0" w:right="0" w:rightChars="0" w:firstLine="640" w:firstLineChars="200"/>
        <w:textAlignment w:val="auto"/>
        <w:outlineLvl w:val="9"/>
        <w:rPr>
          <w:rFonts w:hint="eastAsia" w:ascii="方正仿宋_GBK" w:eastAsia="方正仿宋_GBK" w:cs="宋体"/>
          <w:sz w:val="32"/>
          <w:szCs w:val="32"/>
          <w:lang w:eastAsia="zh-CN"/>
        </w:rPr>
      </w:pPr>
    </w:p>
    <w:p>
      <w:pPr>
        <w:pStyle w:val="19"/>
        <w:keepNext w:val="0"/>
        <w:keepLines w:val="0"/>
        <w:pageBreakBefore w:val="0"/>
        <w:widowControl/>
        <w:tabs>
          <w:tab w:val="center" w:pos="4153"/>
          <w:tab w:val="left" w:pos="7275"/>
        </w:tabs>
        <w:kinsoku/>
        <w:wordWrap/>
        <w:overflowPunct/>
        <w:topLinePunct w:val="0"/>
        <w:autoSpaceDE/>
        <w:autoSpaceDN/>
        <w:bidi w:val="0"/>
        <w:adjustRightInd/>
        <w:snapToGrid/>
        <w:spacing w:line="556" w:lineRule="exact"/>
        <w:ind w:left="0" w:leftChars="0" w:right="0" w:rightChars="0" w:firstLine="640" w:firstLineChars="200"/>
        <w:textAlignment w:val="auto"/>
        <w:outlineLvl w:val="9"/>
        <w:rPr>
          <w:rFonts w:hint="eastAsia" w:ascii="方正仿宋_GBK" w:eastAsia="方正仿宋_GBK" w:cs="宋体"/>
          <w:sz w:val="32"/>
          <w:szCs w:val="32"/>
          <w:lang w:eastAsia="zh-CN"/>
        </w:rPr>
      </w:pPr>
    </w:p>
    <w:p>
      <w:pPr>
        <w:pStyle w:val="19"/>
        <w:keepNext w:val="0"/>
        <w:keepLines w:val="0"/>
        <w:pageBreakBefore w:val="0"/>
        <w:widowControl/>
        <w:tabs>
          <w:tab w:val="center" w:pos="4153"/>
          <w:tab w:val="left" w:pos="7275"/>
        </w:tabs>
        <w:kinsoku/>
        <w:wordWrap/>
        <w:overflowPunct/>
        <w:topLinePunct w:val="0"/>
        <w:autoSpaceDE/>
        <w:autoSpaceDN/>
        <w:bidi w:val="0"/>
        <w:adjustRightInd/>
        <w:snapToGrid/>
        <w:spacing w:line="556" w:lineRule="exact"/>
        <w:ind w:left="0" w:leftChars="0" w:right="0" w:rightChars="0" w:firstLine="640" w:firstLineChars="200"/>
        <w:textAlignment w:val="auto"/>
        <w:outlineLvl w:val="9"/>
        <w:rPr>
          <w:rFonts w:hint="eastAsia" w:ascii="方正仿宋_GBK" w:eastAsia="方正仿宋_GBK" w:cs="宋体"/>
          <w:sz w:val="32"/>
          <w:szCs w:val="32"/>
          <w:lang w:eastAsia="zh-CN"/>
        </w:rPr>
      </w:pPr>
    </w:p>
    <w:p>
      <w:pPr>
        <w:pStyle w:val="19"/>
        <w:keepNext w:val="0"/>
        <w:keepLines w:val="0"/>
        <w:pageBreakBefore w:val="0"/>
        <w:widowControl/>
        <w:tabs>
          <w:tab w:val="center" w:pos="4153"/>
          <w:tab w:val="left" w:pos="7275"/>
        </w:tabs>
        <w:kinsoku/>
        <w:wordWrap/>
        <w:overflowPunct/>
        <w:topLinePunct w:val="0"/>
        <w:autoSpaceDE/>
        <w:autoSpaceDN/>
        <w:bidi w:val="0"/>
        <w:adjustRightInd/>
        <w:snapToGrid/>
        <w:spacing w:line="556" w:lineRule="exact"/>
        <w:ind w:left="0" w:leftChars="0" w:right="0" w:rightChars="0" w:firstLine="640" w:firstLineChars="200"/>
        <w:textAlignment w:val="auto"/>
        <w:outlineLvl w:val="9"/>
        <w:rPr>
          <w:rFonts w:hint="eastAsia" w:ascii="方正仿宋_GBK" w:eastAsia="方正仿宋_GBK" w:cs="宋体"/>
          <w:sz w:val="32"/>
          <w:szCs w:val="32"/>
          <w:lang w:eastAsia="zh-CN"/>
        </w:rPr>
      </w:pPr>
    </w:p>
    <w:p>
      <w:pPr>
        <w:pStyle w:val="19"/>
        <w:keepNext w:val="0"/>
        <w:keepLines w:val="0"/>
        <w:pageBreakBefore w:val="0"/>
        <w:widowControl/>
        <w:tabs>
          <w:tab w:val="center" w:pos="4153"/>
          <w:tab w:val="left" w:pos="7275"/>
        </w:tabs>
        <w:kinsoku/>
        <w:wordWrap/>
        <w:overflowPunct/>
        <w:topLinePunct w:val="0"/>
        <w:autoSpaceDE/>
        <w:autoSpaceDN/>
        <w:bidi w:val="0"/>
        <w:adjustRightInd/>
        <w:snapToGrid/>
        <w:spacing w:line="556" w:lineRule="exact"/>
        <w:ind w:left="0" w:leftChars="0" w:right="0" w:rightChars="0" w:firstLine="640" w:firstLineChars="200"/>
        <w:textAlignment w:val="auto"/>
        <w:outlineLvl w:val="9"/>
        <w:rPr>
          <w:rFonts w:hint="eastAsia" w:ascii="方正仿宋_GBK" w:eastAsia="方正仿宋_GBK" w:cs="宋体"/>
          <w:sz w:val="32"/>
          <w:szCs w:val="32"/>
          <w:lang w:eastAsia="zh-CN"/>
        </w:rPr>
      </w:pPr>
    </w:p>
    <w:p>
      <w:pPr>
        <w:pStyle w:val="19"/>
        <w:keepNext w:val="0"/>
        <w:keepLines w:val="0"/>
        <w:pageBreakBefore w:val="0"/>
        <w:widowControl/>
        <w:tabs>
          <w:tab w:val="center" w:pos="4153"/>
          <w:tab w:val="left" w:pos="7275"/>
        </w:tabs>
        <w:kinsoku/>
        <w:wordWrap/>
        <w:overflowPunct/>
        <w:topLinePunct w:val="0"/>
        <w:autoSpaceDE/>
        <w:autoSpaceDN/>
        <w:bidi w:val="0"/>
        <w:adjustRightInd/>
        <w:snapToGrid/>
        <w:spacing w:line="556" w:lineRule="exact"/>
        <w:ind w:left="0" w:leftChars="0" w:right="0" w:rightChars="0" w:firstLine="640" w:firstLineChars="200"/>
        <w:textAlignment w:val="auto"/>
        <w:outlineLvl w:val="9"/>
        <w:rPr>
          <w:rFonts w:hint="eastAsia" w:ascii="方正仿宋_GBK" w:eastAsia="方正仿宋_GBK" w:cs="宋体"/>
          <w:sz w:val="32"/>
          <w:szCs w:val="32"/>
          <w:lang w:eastAsia="zh-CN"/>
        </w:rPr>
      </w:pPr>
    </w:p>
    <w:tbl>
      <w:tblPr>
        <w:tblStyle w:val="18"/>
        <w:tblpPr w:leftFromText="180" w:rightFromText="180" w:vertAnchor="text" w:horzAnchor="page" w:tblpX="1414" w:tblpY="572"/>
        <w:tblOverlap w:val="never"/>
        <w:tblW w:w="98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324"/>
        <w:gridCol w:w="954"/>
        <w:gridCol w:w="1602"/>
        <w:gridCol w:w="138"/>
        <w:gridCol w:w="972"/>
        <w:gridCol w:w="903"/>
        <w:gridCol w:w="507"/>
        <w:gridCol w:w="483"/>
        <w:gridCol w:w="90"/>
        <w:gridCol w:w="975"/>
        <w:gridCol w:w="240"/>
        <w:gridCol w:w="1020"/>
        <w:gridCol w:w="452"/>
        <w:gridCol w:w="1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24" w:type="dxa"/>
          <w:trHeight w:val="427" w:hRule="atLeast"/>
        </w:trPr>
        <w:tc>
          <w:tcPr>
            <w:tcW w:w="9476" w:type="dxa"/>
            <w:gridSpan w:val="13"/>
            <w:vAlign w:val="center"/>
          </w:tcPr>
          <w:p>
            <w:pPr>
              <w:jc w:val="center"/>
              <w:textAlignment w:val="center"/>
              <w:rPr>
                <w:rFonts w:cs="宋体"/>
                <w:b/>
                <w:color w:val="000000"/>
                <w:sz w:val="32"/>
                <w:szCs w:val="32"/>
              </w:rPr>
            </w:pPr>
            <w:r>
              <w:rPr>
                <w:rFonts w:hint="eastAsia" w:cs="宋体"/>
                <w:b/>
                <w:color w:val="000000"/>
                <w:sz w:val="32"/>
                <w:szCs w:val="32"/>
              </w:rPr>
              <w:t xml:space="preserve">2020年度区级预算单位项目支出绩效自评表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24" w:type="dxa"/>
          <w:trHeight w:val="357" w:hRule="atLeast"/>
        </w:trPr>
        <w:tc>
          <w:tcPr>
            <w:tcW w:w="9476" w:type="dxa"/>
            <w:gridSpan w:val="13"/>
            <w:tcBorders>
              <w:bottom w:val="single" w:color="auto" w:sz="4" w:space="0"/>
            </w:tcBorders>
            <w:vAlign w:val="center"/>
          </w:tcPr>
          <w:p>
            <w:pPr>
              <w:textAlignment w:val="center"/>
              <w:rPr>
                <w:rFonts w:cs="宋体"/>
                <w:b/>
                <w:color w:val="000000"/>
                <w:sz w:val="20"/>
                <w:szCs w:val="20"/>
              </w:rPr>
            </w:pPr>
            <w:r>
              <w:rPr>
                <w:rFonts w:hint="eastAsia" w:cs="宋体"/>
                <w:bCs/>
                <w:color w:val="000000"/>
                <w:sz w:val="20"/>
                <w:szCs w:val="20"/>
              </w:rPr>
              <w:t>填表单位（盖章）：中共重庆市綦江区</w:t>
            </w:r>
            <w:r>
              <w:rPr>
                <w:rFonts w:hint="eastAsia" w:cs="宋体"/>
                <w:bCs/>
                <w:color w:val="000000"/>
                <w:sz w:val="20"/>
                <w:szCs w:val="20"/>
                <w:lang w:eastAsia="zh-CN"/>
              </w:rPr>
              <w:t>法学</w:t>
            </w:r>
            <w:r>
              <w:rPr>
                <w:rFonts w:hint="eastAsia" w:cs="宋体"/>
                <w:bCs/>
                <w:color w:val="000000"/>
                <w:sz w:val="20"/>
                <w:szCs w:val="20"/>
              </w:rPr>
              <w:t>会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24" w:type="dxa"/>
          <w:trHeight w:val="539" w:hRule="atLeast"/>
        </w:trPr>
        <w:tc>
          <w:tcPr>
            <w:tcW w:w="95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cs="宋体"/>
                <w:color w:val="000000"/>
                <w:sz w:val="20"/>
                <w:szCs w:val="20"/>
              </w:rPr>
            </w:pPr>
            <w:r>
              <w:rPr>
                <w:rFonts w:hint="eastAsia" w:cs="宋体"/>
                <w:color w:val="000000"/>
                <w:sz w:val="20"/>
                <w:szCs w:val="20"/>
              </w:rPr>
              <w:t>项目名称</w:t>
            </w:r>
          </w:p>
        </w:tc>
        <w:tc>
          <w:tcPr>
            <w:tcW w:w="3615" w:type="dxa"/>
            <w:gridSpan w:val="4"/>
            <w:tcBorders>
              <w:top w:val="single" w:color="auto" w:sz="4" w:space="0"/>
              <w:left w:val="single" w:color="auto" w:sz="4" w:space="0"/>
              <w:bottom w:val="single" w:color="auto" w:sz="4" w:space="0"/>
              <w:right w:val="single" w:color="auto" w:sz="4" w:space="0"/>
            </w:tcBorders>
            <w:vAlign w:val="center"/>
          </w:tcPr>
          <w:p>
            <w:pPr>
              <w:jc w:val="center"/>
              <w:textAlignment w:val="center"/>
              <w:rPr>
                <w:rFonts w:cs="宋体"/>
                <w:color w:val="000000"/>
                <w:sz w:val="20"/>
                <w:szCs w:val="20"/>
              </w:rPr>
            </w:pPr>
            <w:r>
              <w:rPr>
                <w:rFonts w:hint="eastAsia" w:cs="宋体"/>
                <w:color w:val="000000"/>
                <w:sz w:val="20"/>
                <w:szCs w:val="20"/>
                <w:lang w:eastAsia="zh-CN"/>
              </w:rPr>
              <w:t>无</w:t>
            </w:r>
          </w:p>
        </w:tc>
        <w:tc>
          <w:tcPr>
            <w:tcW w:w="990" w:type="dxa"/>
            <w:gridSpan w:val="2"/>
            <w:tcBorders>
              <w:top w:val="single" w:color="auto" w:sz="4" w:space="0"/>
              <w:left w:val="single" w:color="auto" w:sz="4" w:space="0"/>
              <w:bottom w:val="single" w:color="auto" w:sz="4" w:space="0"/>
              <w:right w:val="single" w:color="auto" w:sz="4" w:space="0"/>
            </w:tcBorders>
            <w:vAlign w:val="center"/>
          </w:tcPr>
          <w:p>
            <w:pPr>
              <w:jc w:val="center"/>
              <w:textAlignment w:val="center"/>
              <w:rPr>
                <w:rFonts w:cs="宋体"/>
                <w:color w:val="000000"/>
                <w:sz w:val="20"/>
                <w:szCs w:val="20"/>
              </w:rPr>
            </w:pPr>
            <w:r>
              <w:rPr>
                <w:rFonts w:hint="eastAsia" w:cs="宋体"/>
                <w:color w:val="000000"/>
                <w:sz w:val="20"/>
                <w:szCs w:val="20"/>
              </w:rPr>
              <w:t>自评总分</w:t>
            </w:r>
            <w:r>
              <w:rPr>
                <w:rFonts w:hint="eastAsia" w:cs="宋体"/>
                <w:color w:val="000000"/>
                <w:sz w:val="20"/>
                <w:szCs w:val="20"/>
              </w:rPr>
              <w:br w:type="textWrapping"/>
            </w:r>
            <w:r>
              <w:rPr>
                <w:rFonts w:hint="eastAsia" w:cs="宋体"/>
                <w:color w:val="000000"/>
                <w:sz w:val="20"/>
                <w:szCs w:val="20"/>
              </w:rPr>
              <w:t>（分)</w:t>
            </w:r>
          </w:p>
        </w:tc>
        <w:tc>
          <w:tcPr>
            <w:tcW w:w="3917" w:type="dxa"/>
            <w:gridSpan w:val="6"/>
            <w:tcBorders>
              <w:top w:val="single" w:color="auto" w:sz="4" w:space="0"/>
              <w:left w:val="single" w:color="auto" w:sz="4" w:space="0"/>
              <w:bottom w:val="single" w:color="auto" w:sz="4" w:space="0"/>
              <w:right w:val="single" w:color="auto" w:sz="4" w:space="0"/>
            </w:tcBorders>
            <w:vAlign w:val="center"/>
          </w:tcPr>
          <w:p>
            <w:pPr>
              <w:jc w:val="center"/>
              <w:rPr>
                <w:rFonts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24" w:type="dxa"/>
          <w:trHeight w:val="433" w:hRule="atLeast"/>
        </w:trPr>
        <w:tc>
          <w:tcPr>
            <w:tcW w:w="954" w:type="dxa"/>
            <w:tcBorders>
              <w:top w:val="single" w:color="auto"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r>
              <w:rPr>
                <w:rFonts w:hint="eastAsia" w:cs="宋体"/>
                <w:color w:val="000000"/>
                <w:sz w:val="20"/>
                <w:szCs w:val="20"/>
              </w:rPr>
              <w:t>业务主管部门</w:t>
            </w:r>
          </w:p>
        </w:tc>
        <w:tc>
          <w:tcPr>
            <w:tcW w:w="3615" w:type="dxa"/>
            <w:gridSpan w:val="4"/>
            <w:tcBorders>
              <w:top w:val="single" w:color="auto"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990" w:type="dxa"/>
            <w:gridSpan w:val="2"/>
            <w:tcBorders>
              <w:top w:val="single" w:color="auto"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r>
              <w:rPr>
                <w:rFonts w:hint="eastAsia" w:cs="宋体"/>
                <w:color w:val="000000"/>
                <w:sz w:val="20"/>
                <w:szCs w:val="20"/>
              </w:rPr>
              <w:t>联系人</w:t>
            </w:r>
            <w:r>
              <w:rPr>
                <w:rFonts w:hint="eastAsia" w:cs="宋体"/>
                <w:color w:val="000000"/>
                <w:sz w:val="20"/>
                <w:szCs w:val="20"/>
              </w:rPr>
              <w:br w:type="textWrapping"/>
            </w:r>
            <w:r>
              <w:rPr>
                <w:rFonts w:hint="eastAsia" w:cs="宋体"/>
                <w:color w:val="000000"/>
                <w:sz w:val="20"/>
                <w:szCs w:val="20"/>
              </w:rPr>
              <w:t>及电话</w:t>
            </w:r>
          </w:p>
        </w:tc>
        <w:tc>
          <w:tcPr>
            <w:tcW w:w="3917" w:type="dxa"/>
            <w:gridSpan w:val="6"/>
            <w:tcBorders>
              <w:top w:val="single" w:color="auto" w:sz="4" w:space="0"/>
              <w:left w:val="single" w:color="000000" w:sz="4" w:space="0"/>
              <w:bottom w:val="single" w:color="000000" w:sz="4" w:space="0"/>
              <w:right w:val="single" w:color="000000" w:sz="4" w:space="0"/>
            </w:tcBorders>
            <w:vAlign w:val="center"/>
          </w:tcPr>
          <w:p>
            <w:pPr>
              <w:jc w:val="center"/>
              <w:rPr>
                <w:rFonts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24" w:type="dxa"/>
          <w:trHeight w:val="274" w:hRule="atLeast"/>
        </w:trPr>
        <w:tc>
          <w:tcPr>
            <w:tcW w:w="954"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r>
              <w:rPr>
                <w:rFonts w:hint="eastAsia" w:cs="宋体"/>
                <w:color w:val="000000"/>
                <w:sz w:val="20"/>
                <w:szCs w:val="20"/>
              </w:rPr>
              <w:t>项目资金（万元）</w:t>
            </w:r>
          </w:p>
        </w:tc>
        <w:tc>
          <w:tcPr>
            <w:tcW w:w="1740" w:type="dxa"/>
            <w:gridSpan w:val="2"/>
            <w:tcBorders>
              <w:top w:val="single" w:color="000000" w:sz="4" w:space="0"/>
              <w:left w:val="single" w:color="000000" w:sz="4" w:space="0"/>
              <w:bottom w:val="single" w:color="000000" w:sz="4" w:space="0"/>
            </w:tcBorders>
            <w:vAlign w:val="center"/>
          </w:tcPr>
          <w:p>
            <w:pPr>
              <w:rPr>
                <w:rFonts w:cs="宋体"/>
                <w:color w:val="000000"/>
                <w:sz w:val="20"/>
                <w:szCs w:val="20"/>
              </w:rPr>
            </w:pPr>
          </w:p>
        </w:tc>
        <w:tc>
          <w:tcPr>
            <w:tcW w:w="1875" w:type="dxa"/>
            <w:gridSpan w:val="2"/>
            <w:tcBorders>
              <w:top w:val="single" w:color="000000" w:sz="4" w:space="0"/>
              <w:left w:val="single" w:color="000000" w:sz="4" w:space="0"/>
              <w:bottom w:val="single" w:color="000000" w:sz="4" w:space="0"/>
            </w:tcBorders>
            <w:vAlign w:val="center"/>
          </w:tcPr>
          <w:p>
            <w:pPr>
              <w:jc w:val="center"/>
              <w:textAlignment w:val="center"/>
              <w:rPr>
                <w:rFonts w:cs="宋体"/>
                <w:color w:val="000000"/>
                <w:sz w:val="20"/>
                <w:szCs w:val="20"/>
              </w:rPr>
            </w:pPr>
            <w:r>
              <w:rPr>
                <w:rFonts w:hint="eastAsia" w:cs="宋体"/>
                <w:color w:val="000000"/>
                <w:sz w:val="20"/>
                <w:szCs w:val="20"/>
              </w:rPr>
              <w:t>全年预算数（A）</w:t>
            </w:r>
          </w:p>
        </w:tc>
        <w:tc>
          <w:tcPr>
            <w:tcW w:w="99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r>
              <w:rPr>
                <w:rFonts w:hint="eastAsia" w:cs="宋体"/>
                <w:color w:val="000000"/>
                <w:sz w:val="20"/>
                <w:szCs w:val="20"/>
              </w:rPr>
              <w:t>全年执行数（B）</w:t>
            </w:r>
          </w:p>
        </w:tc>
        <w:tc>
          <w:tcPr>
            <w:tcW w:w="106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r>
              <w:rPr>
                <w:rFonts w:hint="eastAsia" w:cs="宋体"/>
                <w:color w:val="000000"/>
                <w:sz w:val="20"/>
                <w:szCs w:val="20"/>
              </w:rPr>
              <w:t>执行率%（B/A）</w:t>
            </w:r>
          </w:p>
        </w:tc>
        <w:tc>
          <w:tcPr>
            <w:tcW w:w="2852" w:type="dxa"/>
            <w:gridSpan w:val="4"/>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r>
              <w:rPr>
                <w:rFonts w:hint="eastAsia" w:cs="宋体"/>
                <w:color w:val="000000"/>
                <w:sz w:val="20"/>
                <w:szCs w:val="20"/>
              </w:rPr>
              <w:t>执行率得分（分）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24" w:type="dxa"/>
          <w:trHeight w:val="230" w:hRule="atLeast"/>
        </w:trPr>
        <w:tc>
          <w:tcPr>
            <w:tcW w:w="95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cs="宋体"/>
                <w:color w:val="000000"/>
                <w:sz w:val="20"/>
                <w:szCs w:val="20"/>
              </w:rPr>
            </w:pPr>
          </w:p>
        </w:tc>
        <w:tc>
          <w:tcPr>
            <w:tcW w:w="1740" w:type="dxa"/>
            <w:gridSpan w:val="2"/>
            <w:tcBorders>
              <w:top w:val="single" w:color="000000" w:sz="4" w:space="0"/>
              <w:left w:val="single" w:color="000000" w:sz="4" w:space="0"/>
              <w:bottom w:val="single" w:color="000000" w:sz="4" w:space="0"/>
              <w:right w:val="single" w:color="000000" w:sz="4" w:space="0"/>
            </w:tcBorders>
            <w:vAlign w:val="center"/>
          </w:tcPr>
          <w:p>
            <w:pPr>
              <w:textAlignment w:val="center"/>
              <w:rPr>
                <w:rFonts w:cs="宋体"/>
                <w:color w:val="000000"/>
                <w:sz w:val="20"/>
                <w:szCs w:val="20"/>
              </w:rPr>
            </w:pPr>
            <w:r>
              <w:rPr>
                <w:rFonts w:hint="eastAsia" w:cs="宋体"/>
                <w:color w:val="000000"/>
                <w:sz w:val="20"/>
                <w:szCs w:val="20"/>
              </w:rPr>
              <w:t>年度资金总额：</w:t>
            </w:r>
          </w:p>
        </w:tc>
        <w:tc>
          <w:tcPr>
            <w:tcW w:w="1875" w:type="dxa"/>
            <w:gridSpan w:val="2"/>
            <w:tcBorders>
              <w:top w:val="single" w:color="000000" w:sz="4" w:space="0"/>
              <w:left w:val="single" w:color="000000" w:sz="4" w:space="0"/>
              <w:bottom w:val="single" w:color="000000" w:sz="4" w:space="0"/>
            </w:tcBorders>
            <w:vAlign w:val="center"/>
          </w:tcPr>
          <w:p>
            <w:pPr>
              <w:jc w:val="center"/>
              <w:textAlignment w:val="center"/>
              <w:rPr>
                <w:rFonts w:cs="宋体"/>
                <w:color w:val="000000"/>
                <w:sz w:val="20"/>
                <w:szCs w:val="20"/>
              </w:rPr>
            </w:pPr>
          </w:p>
        </w:tc>
        <w:tc>
          <w:tcPr>
            <w:tcW w:w="99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106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2852" w:type="dxa"/>
            <w:gridSpan w:val="4"/>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24" w:type="dxa"/>
          <w:trHeight w:val="230" w:hRule="atLeast"/>
        </w:trPr>
        <w:tc>
          <w:tcPr>
            <w:tcW w:w="95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cs="宋体"/>
                <w:color w:val="000000"/>
                <w:sz w:val="20"/>
                <w:szCs w:val="20"/>
              </w:rPr>
            </w:pPr>
          </w:p>
        </w:tc>
        <w:tc>
          <w:tcPr>
            <w:tcW w:w="174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r>
              <w:rPr>
                <w:rFonts w:hint="eastAsia" w:cs="宋体"/>
                <w:color w:val="000000"/>
                <w:sz w:val="20"/>
                <w:szCs w:val="20"/>
              </w:rPr>
              <w:t>其中：中央补助</w:t>
            </w:r>
          </w:p>
        </w:tc>
        <w:tc>
          <w:tcPr>
            <w:tcW w:w="1875" w:type="dxa"/>
            <w:gridSpan w:val="2"/>
            <w:tcBorders>
              <w:top w:val="single" w:color="000000" w:sz="4" w:space="0"/>
              <w:left w:val="single" w:color="000000" w:sz="4" w:space="0"/>
              <w:bottom w:val="single" w:color="000000" w:sz="4" w:space="0"/>
            </w:tcBorders>
            <w:vAlign w:val="center"/>
          </w:tcPr>
          <w:p>
            <w:pPr>
              <w:jc w:val="center"/>
              <w:rPr>
                <w:rFonts w:cs="宋体"/>
                <w:color w:val="000000"/>
                <w:sz w:val="20"/>
                <w:szCs w:val="20"/>
              </w:rPr>
            </w:pPr>
          </w:p>
        </w:tc>
        <w:tc>
          <w:tcPr>
            <w:tcW w:w="99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cs="宋体"/>
                <w:color w:val="000000"/>
                <w:sz w:val="20"/>
                <w:szCs w:val="20"/>
              </w:rPr>
            </w:pPr>
          </w:p>
        </w:tc>
        <w:tc>
          <w:tcPr>
            <w:tcW w:w="106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cs="宋体"/>
                <w:color w:val="000000"/>
                <w:sz w:val="20"/>
                <w:szCs w:val="20"/>
              </w:rPr>
            </w:pPr>
          </w:p>
        </w:tc>
        <w:tc>
          <w:tcPr>
            <w:tcW w:w="2852" w:type="dxa"/>
            <w:gridSpan w:val="4"/>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r>
              <w:rPr>
                <w:rFonts w:hint="eastAsia" w:cs="宋体"/>
                <w:color w:val="000000"/>
                <w:sz w:val="20"/>
                <w:szCs w:val="2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24" w:type="dxa"/>
          <w:trHeight w:val="230" w:hRule="atLeast"/>
        </w:trPr>
        <w:tc>
          <w:tcPr>
            <w:tcW w:w="95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cs="宋体"/>
                <w:color w:val="000000"/>
                <w:sz w:val="20"/>
                <w:szCs w:val="20"/>
              </w:rPr>
            </w:pPr>
          </w:p>
        </w:tc>
        <w:tc>
          <w:tcPr>
            <w:tcW w:w="174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r>
              <w:rPr>
                <w:rFonts w:hint="eastAsia" w:cs="宋体"/>
                <w:color w:val="000000"/>
                <w:sz w:val="20"/>
                <w:szCs w:val="20"/>
              </w:rPr>
              <w:t xml:space="preserve">     市级补助</w:t>
            </w:r>
          </w:p>
        </w:tc>
        <w:tc>
          <w:tcPr>
            <w:tcW w:w="1875" w:type="dxa"/>
            <w:gridSpan w:val="2"/>
            <w:tcBorders>
              <w:top w:val="single" w:color="000000" w:sz="4" w:space="0"/>
              <w:left w:val="single" w:color="000000" w:sz="4" w:space="0"/>
              <w:bottom w:val="single" w:color="000000" w:sz="4" w:space="0"/>
            </w:tcBorders>
            <w:vAlign w:val="center"/>
          </w:tcPr>
          <w:p>
            <w:pPr>
              <w:jc w:val="center"/>
              <w:rPr>
                <w:rFonts w:cs="宋体"/>
                <w:color w:val="000000"/>
                <w:sz w:val="20"/>
                <w:szCs w:val="20"/>
              </w:rPr>
            </w:pPr>
          </w:p>
        </w:tc>
        <w:tc>
          <w:tcPr>
            <w:tcW w:w="99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cs="宋体"/>
                <w:color w:val="000000"/>
                <w:sz w:val="20"/>
                <w:szCs w:val="20"/>
              </w:rPr>
            </w:pPr>
          </w:p>
        </w:tc>
        <w:tc>
          <w:tcPr>
            <w:tcW w:w="106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cs="宋体"/>
                <w:color w:val="000000"/>
                <w:sz w:val="20"/>
                <w:szCs w:val="20"/>
              </w:rPr>
            </w:pPr>
          </w:p>
        </w:tc>
        <w:tc>
          <w:tcPr>
            <w:tcW w:w="2852" w:type="dxa"/>
            <w:gridSpan w:val="4"/>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r>
              <w:rPr>
                <w:rFonts w:hint="eastAsia" w:cs="宋体"/>
                <w:color w:val="000000"/>
                <w:sz w:val="20"/>
                <w:szCs w:val="2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24" w:type="dxa"/>
          <w:trHeight w:val="191" w:hRule="atLeast"/>
        </w:trPr>
        <w:tc>
          <w:tcPr>
            <w:tcW w:w="95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cs="宋体"/>
                <w:color w:val="000000"/>
                <w:sz w:val="20"/>
                <w:szCs w:val="20"/>
              </w:rPr>
            </w:pPr>
          </w:p>
        </w:tc>
        <w:tc>
          <w:tcPr>
            <w:tcW w:w="174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r>
              <w:rPr>
                <w:rFonts w:hint="eastAsia" w:cs="宋体"/>
                <w:color w:val="000000"/>
                <w:sz w:val="20"/>
                <w:szCs w:val="20"/>
              </w:rPr>
              <w:t xml:space="preserve">     区级资金</w:t>
            </w:r>
          </w:p>
        </w:tc>
        <w:tc>
          <w:tcPr>
            <w:tcW w:w="1875" w:type="dxa"/>
            <w:gridSpan w:val="2"/>
            <w:tcBorders>
              <w:top w:val="single" w:color="000000" w:sz="4" w:space="0"/>
              <w:left w:val="single" w:color="000000" w:sz="4" w:space="0"/>
              <w:bottom w:val="single" w:color="000000" w:sz="4" w:space="0"/>
            </w:tcBorders>
            <w:vAlign w:val="center"/>
          </w:tcPr>
          <w:p>
            <w:pPr>
              <w:jc w:val="center"/>
              <w:textAlignment w:val="center"/>
              <w:rPr>
                <w:rFonts w:cs="宋体"/>
                <w:color w:val="000000"/>
                <w:sz w:val="20"/>
                <w:szCs w:val="20"/>
              </w:rPr>
            </w:pPr>
          </w:p>
        </w:tc>
        <w:tc>
          <w:tcPr>
            <w:tcW w:w="99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106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2852" w:type="dxa"/>
            <w:gridSpan w:val="4"/>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r>
              <w:rPr>
                <w:rFonts w:hint="eastAsia" w:cs="宋体"/>
                <w:color w:val="000000"/>
                <w:sz w:val="20"/>
                <w:szCs w:val="2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24" w:type="dxa"/>
          <w:trHeight w:val="230" w:hRule="atLeast"/>
        </w:trPr>
        <w:tc>
          <w:tcPr>
            <w:tcW w:w="95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cs="宋体"/>
                <w:color w:val="000000"/>
                <w:sz w:val="20"/>
                <w:szCs w:val="20"/>
              </w:rPr>
            </w:pPr>
          </w:p>
        </w:tc>
        <w:tc>
          <w:tcPr>
            <w:tcW w:w="174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r>
              <w:rPr>
                <w:rFonts w:hint="eastAsia" w:cs="宋体"/>
                <w:color w:val="000000"/>
                <w:sz w:val="20"/>
                <w:szCs w:val="20"/>
              </w:rPr>
              <w:t xml:space="preserve">     其他资金</w:t>
            </w:r>
          </w:p>
        </w:tc>
        <w:tc>
          <w:tcPr>
            <w:tcW w:w="1875" w:type="dxa"/>
            <w:gridSpan w:val="2"/>
            <w:tcBorders>
              <w:top w:val="single" w:color="000000" w:sz="4" w:space="0"/>
              <w:left w:val="single" w:color="000000" w:sz="4" w:space="0"/>
              <w:bottom w:val="single" w:color="000000" w:sz="4" w:space="0"/>
            </w:tcBorders>
            <w:vAlign w:val="center"/>
          </w:tcPr>
          <w:p>
            <w:pPr>
              <w:jc w:val="center"/>
              <w:rPr>
                <w:rFonts w:cs="宋体"/>
                <w:color w:val="000000"/>
                <w:sz w:val="20"/>
                <w:szCs w:val="20"/>
              </w:rPr>
            </w:pPr>
          </w:p>
        </w:tc>
        <w:tc>
          <w:tcPr>
            <w:tcW w:w="99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cs="宋体"/>
                <w:color w:val="000000"/>
                <w:sz w:val="20"/>
                <w:szCs w:val="20"/>
              </w:rPr>
            </w:pPr>
          </w:p>
        </w:tc>
        <w:tc>
          <w:tcPr>
            <w:tcW w:w="106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cs="宋体"/>
                <w:color w:val="000000"/>
                <w:sz w:val="20"/>
                <w:szCs w:val="20"/>
              </w:rPr>
            </w:pPr>
          </w:p>
        </w:tc>
        <w:tc>
          <w:tcPr>
            <w:tcW w:w="2852" w:type="dxa"/>
            <w:gridSpan w:val="4"/>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r>
              <w:rPr>
                <w:rFonts w:hint="eastAsia" w:cs="宋体"/>
                <w:color w:val="000000"/>
                <w:sz w:val="20"/>
                <w:szCs w:val="2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24" w:type="dxa"/>
          <w:trHeight w:val="287" w:hRule="atLeast"/>
        </w:trPr>
        <w:tc>
          <w:tcPr>
            <w:tcW w:w="954"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r>
              <w:rPr>
                <w:rFonts w:hint="eastAsia" w:cs="宋体"/>
                <w:color w:val="000000"/>
                <w:sz w:val="20"/>
                <w:szCs w:val="20"/>
              </w:rPr>
              <w:t>年度总体目标</w:t>
            </w:r>
          </w:p>
        </w:tc>
        <w:tc>
          <w:tcPr>
            <w:tcW w:w="3615" w:type="dxa"/>
            <w:gridSpan w:val="4"/>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r>
              <w:rPr>
                <w:rFonts w:hint="eastAsia" w:cs="宋体"/>
                <w:color w:val="000000"/>
                <w:sz w:val="20"/>
                <w:szCs w:val="20"/>
              </w:rPr>
              <w:t>年初设定目标</w:t>
            </w:r>
          </w:p>
        </w:tc>
        <w:tc>
          <w:tcPr>
            <w:tcW w:w="4907" w:type="dxa"/>
            <w:gridSpan w:val="8"/>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r>
              <w:rPr>
                <w:rFonts w:hint="eastAsia" w:cs="宋体"/>
                <w:color w:val="000000"/>
                <w:sz w:val="20"/>
                <w:szCs w:val="20"/>
              </w:rPr>
              <w:t>全年目标实际完成情况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24" w:type="dxa"/>
          <w:trHeight w:val="1044" w:hRule="atLeast"/>
        </w:trPr>
        <w:tc>
          <w:tcPr>
            <w:tcW w:w="95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cs="宋体"/>
                <w:color w:val="000000"/>
                <w:sz w:val="20"/>
                <w:szCs w:val="20"/>
              </w:rPr>
            </w:pPr>
          </w:p>
        </w:tc>
        <w:tc>
          <w:tcPr>
            <w:tcW w:w="3615" w:type="dxa"/>
            <w:gridSpan w:val="4"/>
            <w:tcBorders>
              <w:top w:val="single" w:color="000000" w:sz="4" w:space="0"/>
              <w:left w:val="single" w:color="000000" w:sz="4" w:space="0"/>
              <w:bottom w:val="single" w:color="000000" w:sz="4" w:space="0"/>
              <w:right w:val="single" w:color="000000" w:sz="4" w:space="0"/>
            </w:tcBorders>
            <w:vAlign w:val="center"/>
          </w:tcPr>
          <w:p>
            <w:pPr>
              <w:ind w:firstLine="400" w:firstLineChars="200"/>
              <w:textAlignment w:val="center"/>
              <w:rPr>
                <w:rFonts w:cs="宋体"/>
                <w:color w:val="000000"/>
                <w:sz w:val="20"/>
                <w:szCs w:val="20"/>
              </w:rPr>
            </w:pPr>
          </w:p>
        </w:tc>
        <w:tc>
          <w:tcPr>
            <w:tcW w:w="4907" w:type="dxa"/>
            <w:gridSpan w:val="8"/>
            <w:tcBorders>
              <w:top w:val="single" w:color="000000" w:sz="4" w:space="0"/>
              <w:left w:val="single" w:color="000000" w:sz="4" w:space="0"/>
              <w:bottom w:val="single" w:color="000000" w:sz="4" w:space="0"/>
              <w:right w:val="single" w:color="000000" w:sz="4" w:space="0"/>
            </w:tcBorders>
            <w:vAlign w:val="center"/>
          </w:tcPr>
          <w:p>
            <w:pPr>
              <w:ind w:firstLine="400" w:firstLineChars="200"/>
              <w:textAlignment w:val="center"/>
              <w:rPr>
                <w:rFonts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24" w:type="dxa"/>
          <w:trHeight w:val="637" w:hRule="atLeast"/>
        </w:trPr>
        <w:tc>
          <w:tcPr>
            <w:tcW w:w="954" w:type="dxa"/>
            <w:vMerge w:val="restart"/>
            <w:tcBorders>
              <w:top w:val="single" w:color="000000" w:sz="4" w:space="0"/>
              <w:left w:val="single" w:color="000000" w:sz="4" w:space="0"/>
              <w:bottom w:val="single" w:color="000000" w:sz="4" w:space="0"/>
              <w:right w:val="single" w:color="000000" w:sz="4" w:space="0"/>
            </w:tcBorders>
            <w:textDirection w:val="tbRlV"/>
            <w:vAlign w:val="center"/>
          </w:tcPr>
          <w:p>
            <w:pPr>
              <w:jc w:val="center"/>
              <w:textAlignment w:val="center"/>
              <w:rPr>
                <w:rFonts w:cs="宋体"/>
                <w:color w:val="000000"/>
                <w:sz w:val="20"/>
                <w:szCs w:val="20"/>
              </w:rPr>
            </w:pPr>
            <w:r>
              <w:rPr>
                <w:rFonts w:hint="eastAsia" w:cs="宋体"/>
                <w:color w:val="000000"/>
                <w:sz w:val="20"/>
                <w:szCs w:val="20"/>
              </w:rPr>
              <w:t>绩效指标</w:t>
            </w:r>
          </w:p>
        </w:tc>
        <w:tc>
          <w:tcPr>
            <w:tcW w:w="174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r>
              <w:rPr>
                <w:rFonts w:hint="eastAsia" w:cs="宋体"/>
                <w:color w:val="000000"/>
                <w:sz w:val="20"/>
                <w:szCs w:val="20"/>
              </w:rPr>
              <w:t>指标名称</w:t>
            </w:r>
            <w:r>
              <w:rPr>
                <w:rFonts w:hint="eastAsia" w:cs="宋体"/>
                <w:color w:val="000000"/>
                <w:sz w:val="20"/>
                <w:szCs w:val="20"/>
              </w:rPr>
              <w:br w:type="textWrapping"/>
            </w:r>
            <w:r>
              <w:rPr>
                <w:rFonts w:hint="eastAsia" w:cs="宋体"/>
                <w:color w:val="000000"/>
                <w:sz w:val="20"/>
                <w:szCs w:val="20"/>
              </w:rPr>
              <w:t>（三级指标）</w:t>
            </w:r>
          </w:p>
        </w:tc>
        <w:tc>
          <w:tcPr>
            <w:tcW w:w="972"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r>
              <w:rPr>
                <w:rFonts w:hint="eastAsia" w:cs="宋体"/>
                <w:color w:val="000000"/>
                <w:sz w:val="20"/>
                <w:szCs w:val="20"/>
              </w:rPr>
              <w:t>计量单位</w:t>
            </w:r>
          </w:p>
        </w:tc>
        <w:tc>
          <w:tcPr>
            <w:tcW w:w="903" w:type="dxa"/>
            <w:tcBorders>
              <w:top w:val="single" w:color="000000" w:sz="4" w:space="0"/>
              <w:left w:val="single" w:color="000000" w:sz="4" w:space="0"/>
              <w:bottom w:val="single" w:color="000000" w:sz="4" w:space="0"/>
            </w:tcBorders>
            <w:vAlign w:val="center"/>
          </w:tcPr>
          <w:p>
            <w:pPr>
              <w:jc w:val="center"/>
              <w:textAlignment w:val="center"/>
              <w:rPr>
                <w:rFonts w:cs="宋体"/>
                <w:color w:val="000000"/>
                <w:sz w:val="20"/>
                <w:szCs w:val="20"/>
              </w:rPr>
            </w:pPr>
            <w:r>
              <w:rPr>
                <w:rFonts w:hint="eastAsia" w:cs="宋体"/>
                <w:color w:val="000000"/>
                <w:sz w:val="20"/>
                <w:szCs w:val="20"/>
              </w:rPr>
              <w:t>指标权重</w:t>
            </w: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r>
              <w:rPr>
                <w:rFonts w:hint="eastAsia" w:cs="宋体"/>
                <w:color w:val="000000"/>
                <w:sz w:val="20"/>
                <w:szCs w:val="20"/>
              </w:rPr>
              <w:t>指标值</w:t>
            </w: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cs="宋体"/>
                <w:color w:val="000000"/>
                <w:sz w:val="20"/>
                <w:szCs w:val="20"/>
              </w:rPr>
            </w:pPr>
            <w:r>
              <w:rPr>
                <w:rFonts w:hint="eastAsia" w:cs="宋体"/>
                <w:color w:val="000000"/>
                <w:sz w:val="20"/>
                <w:szCs w:val="20"/>
              </w:rPr>
              <w:t>全年完成值</w:t>
            </w: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r>
              <w:rPr>
                <w:rFonts w:hint="eastAsia" w:cs="宋体"/>
                <w:color w:val="000000"/>
                <w:sz w:val="20"/>
                <w:szCs w:val="20"/>
              </w:rPr>
              <w:t>得分系数（%）</w:t>
            </w:r>
          </w:p>
        </w:tc>
        <w:tc>
          <w:tcPr>
            <w:tcW w:w="1592"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r>
              <w:rPr>
                <w:rFonts w:hint="eastAsia" w:cs="宋体"/>
                <w:color w:val="000000"/>
                <w:sz w:val="20"/>
                <w:szCs w:val="20"/>
              </w:rPr>
              <w:t>指标得分</w:t>
            </w:r>
            <w:r>
              <w:rPr>
                <w:rFonts w:hint="eastAsia" w:cs="宋体"/>
                <w:color w:val="000000"/>
                <w:sz w:val="20"/>
                <w:szCs w:val="20"/>
              </w:rPr>
              <w:br w:type="textWrapping"/>
            </w:r>
            <w:r>
              <w:rPr>
                <w:rFonts w:hint="eastAsia" w:cs="宋体"/>
                <w:color w:val="000000"/>
                <w:sz w:val="20"/>
                <w:szCs w:val="20"/>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24" w:type="dxa"/>
          <w:trHeight w:val="686" w:hRule="atLeast"/>
        </w:trPr>
        <w:tc>
          <w:tcPr>
            <w:tcW w:w="95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jc w:val="center"/>
              <w:rPr>
                <w:rFonts w:cs="宋体"/>
                <w:color w:val="000000"/>
                <w:sz w:val="20"/>
                <w:szCs w:val="20"/>
              </w:rPr>
            </w:pPr>
          </w:p>
        </w:tc>
        <w:tc>
          <w:tcPr>
            <w:tcW w:w="174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972"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903"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1592"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24" w:type="dxa"/>
          <w:trHeight w:val="692" w:hRule="atLeast"/>
        </w:trPr>
        <w:tc>
          <w:tcPr>
            <w:tcW w:w="95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jc w:val="center"/>
              <w:rPr>
                <w:rFonts w:cs="宋体"/>
                <w:color w:val="000000"/>
                <w:sz w:val="20"/>
                <w:szCs w:val="20"/>
              </w:rPr>
            </w:pPr>
          </w:p>
        </w:tc>
        <w:tc>
          <w:tcPr>
            <w:tcW w:w="174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972"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903"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1592"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24" w:type="dxa"/>
          <w:trHeight w:val="472" w:hRule="atLeast"/>
        </w:trPr>
        <w:tc>
          <w:tcPr>
            <w:tcW w:w="95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jc w:val="center"/>
              <w:rPr>
                <w:rFonts w:cs="宋体"/>
                <w:color w:val="000000"/>
                <w:sz w:val="20"/>
                <w:szCs w:val="20"/>
              </w:rPr>
            </w:pPr>
          </w:p>
        </w:tc>
        <w:tc>
          <w:tcPr>
            <w:tcW w:w="174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972"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903"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1592"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24" w:type="dxa"/>
          <w:trHeight w:val="372" w:hRule="atLeast"/>
        </w:trPr>
        <w:tc>
          <w:tcPr>
            <w:tcW w:w="95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jc w:val="center"/>
              <w:rPr>
                <w:rFonts w:cs="宋体"/>
                <w:color w:val="000000"/>
                <w:sz w:val="20"/>
                <w:szCs w:val="20"/>
              </w:rPr>
            </w:pPr>
          </w:p>
        </w:tc>
        <w:tc>
          <w:tcPr>
            <w:tcW w:w="174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972"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903"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1592"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24" w:type="dxa"/>
          <w:trHeight w:val="326" w:hRule="atLeast"/>
        </w:trPr>
        <w:tc>
          <w:tcPr>
            <w:tcW w:w="954"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jc w:val="center"/>
              <w:rPr>
                <w:rFonts w:cs="宋体"/>
                <w:color w:val="000000"/>
                <w:sz w:val="20"/>
                <w:szCs w:val="20"/>
              </w:rPr>
            </w:pPr>
          </w:p>
        </w:tc>
        <w:tc>
          <w:tcPr>
            <w:tcW w:w="174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972"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903"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121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c>
          <w:tcPr>
            <w:tcW w:w="1592"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24" w:type="dxa"/>
          <w:trHeight w:val="2723" w:hRule="atLeast"/>
        </w:trPr>
        <w:tc>
          <w:tcPr>
            <w:tcW w:w="95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宋体"/>
                <w:color w:val="000000"/>
                <w:sz w:val="20"/>
                <w:szCs w:val="20"/>
              </w:rPr>
            </w:pPr>
            <w:r>
              <w:rPr>
                <w:rFonts w:hint="eastAsia" w:cs="宋体"/>
                <w:color w:val="000000"/>
                <w:sz w:val="20"/>
                <w:szCs w:val="20"/>
              </w:rPr>
              <w:t>未完成绩效目标或偏离较多的原因、改进措施及其他说明</w:t>
            </w:r>
          </w:p>
        </w:tc>
        <w:tc>
          <w:tcPr>
            <w:tcW w:w="8522" w:type="dxa"/>
            <w:gridSpan w:val="12"/>
            <w:tcBorders>
              <w:top w:val="single" w:color="000000" w:sz="4" w:space="0"/>
              <w:left w:val="single" w:color="000000" w:sz="4" w:space="0"/>
              <w:bottom w:val="single" w:color="000000" w:sz="4" w:space="0"/>
              <w:right w:val="single" w:color="000000" w:sz="4" w:space="0"/>
            </w:tcBorders>
            <w:vAlign w:val="center"/>
          </w:tcPr>
          <w:p>
            <w:pPr>
              <w:jc w:val="center"/>
              <w:rPr>
                <w:rFonts w:cs="宋体"/>
                <w:color w:val="000000"/>
                <w:sz w:val="20"/>
                <w:szCs w:val="20"/>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270" w:hRule="atLeast"/>
        </w:trPr>
        <w:tc>
          <w:tcPr>
            <w:tcW w:w="2880" w:type="dxa"/>
            <w:gridSpan w:val="3"/>
            <w:tcBorders>
              <w:top w:val="nil"/>
              <w:left w:val="nil"/>
              <w:bottom w:val="nil"/>
              <w:right w:val="nil"/>
            </w:tcBorders>
            <w:vAlign w:val="center"/>
          </w:tcPr>
          <w:p>
            <w:pPr>
              <w:ind w:firstLine="200" w:firstLineChars="100"/>
              <w:rPr>
                <w:sz w:val="20"/>
                <w:szCs w:val="20"/>
              </w:rPr>
            </w:pPr>
            <w:r>
              <w:rPr>
                <w:sz w:val="20"/>
                <w:szCs w:val="20"/>
              </w:rPr>
              <w:t>预算单位主要领导：</w:t>
            </w:r>
            <w:r>
              <w:rPr>
                <w:rFonts w:hint="eastAsia"/>
                <w:sz w:val="20"/>
                <w:szCs w:val="20"/>
              </w:rPr>
              <w:t>唐智强</w:t>
            </w:r>
          </w:p>
        </w:tc>
        <w:tc>
          <w:tcPr>
            <w:tcW w:w="2520" w:type="dxa"/>
            <w:gridSpan w:val="4"/>
            <w:tcBorders>
              <w:top w:val="nil"/>
              <w:left w:val="nil"/>
              <w:bottom w:val="nil"/>
              <w:right w:val="nil"/>
            </w:tcBorders>
            <w:vAlign w:val="center"/>
          </w:tcPr>
          <w:p>
            <w:pPr>
              <w:jc w:val="right"/>
              <w:rPr>
                <w:sz w:val="20"/>
                <w:szCs w:val="20"/>
              </w:rPr>
            </w:pPr>
            <w:r>
              <w:rPr>
                <w:sz w:val="20"/>
                <w:szCs w:val="20"/>
              </w:rPr>
              <w:t>绩效评价负责人：</w:t>
            </w:r>
          </w:p>
        </w:tc>
        <w:tc>
          <w:tcPr>
            <w:tcW w:w="3260" w:type="dxa"/>
            <w:gridSpan w:val="6"/>
            <w:tcBorders>
              <w:top w:val="nil"/>
              <w:left w:val="nil"/>
              <w:bottom w:val="nil"/>
              <w:right w:val="nil"/>
            </w:tcBorders>
            <w:vAlign w:val="center"/>
          </w:tcPr>
          <w:p>
            <w:pPr>
              <w:jc w:val="center"/>
              <w:rPr>
                <w:sz w:val="20"/>
                <w:szCs w:val="20"/>
              </w:rPr>
            </w:pPr>
            <w:r>
              <w:rPr>
                <w:sz w:val="20"/>
                <w:szCs w:val="20"/>
              </w:rPr>
              <w:t>经办人：</w:t>
            </w:r>
            <w:r>
              <w:rPr>
                <w:rFonts w:hint="eastAsia"/>
                <w:sz w:val="20"/>
                <w:szCs w:val="20"/>
              </w:rPr>
              <w:t>余欣</w:t>
            </w:r>
          </w:p>
        </w:tc>
        <w:tc>
          <w:tcPr>
            <w:tcW w:w="1140" w:type="dxa"/>
            <w:tcBorders>
              <w:top w:val="nil"/>
              <w:left w:val="nil"/>
              <w:bottom w:val="nil"/>
              <w:right w:val="nil"/>
            </w:tcBorders>
            <w:vAlign w:val="center"/>
          </w:tcPr>
          <w:p>
            <w:pPr>
              <w:jc w:val="right"/>
              <w:rPr>
                <w:sz w:val="20"/>
                <w:szCs w:val="20"/>
              </w:rPr>
            </w:pPr>
          </w:p>
        </w:tc>
      </w:tr>
    </w:tbl>
    <w:p>
      <w:pPr>
        <w:pStyle w:val="14"/>
        <w:spacing w:before="0" w:beforeAutospacing="0" w:after="0" w:afterAutospacing="0" w:line="576" w:lineRule="exact"/>
        <w:ind w:firstLine="640" w:firstLineChars="200"/>
        <w:jc w:val="both"/>
        <w:rPr>
          <w:rStyle w:val="16"/>
          <w:rFonts w:ascii="方正黑体_GBK" w:hAnsi="方正黑体_GBK" w:eastAsia="方正黑体_GBK" w:cs="方正黑体_GBK"/>
          <w:b w:val="0"/>
          <w:bCs/>
          <w:sz w:val="32"/>
          <w:szCs w:val="32"/>
          <w:shd w:val="clear" w:color="auto" w:fill="FFFFFF"/>
        </w:rPr>
      </w:pPr>
      <w:r>
        <w:rPr>
          <w:rStyle w:val="16"/>
          <w:rFonts w:hint="eastAsia" w:ascii="方正黑体_GBK" w:hAnsi="方正黑体_GBK" w:eastAsia="方正黑体_GBK" w:cs="方正黑体_GBK"/>
          <w:b w:val="0"/>
          <w:bCs/>
          <w:sz w:val="32"/>
          <w:szCs w:val="32"/>
          <w:shd w:val="clear" w:color="auto" w:fill="FFFFFF"/>
        </w:rPr>
        <w:t>六、专业名词解释</w:t>
      </w:r>
    </w:p>
    <w:p>
      <w:pPr>
        <w:pStyle w:val="14"/>
        <w:spacing w:before="0" w:beforeAutospacing="0" w:after="0" w:afterAutospacing="0" w:line="576" w:lineRule="exact"/>
        <w:ind w:firstLine="640" w:firstLineChars="200"/>
        <w:jc w:val="both"/>
        <w:rPr>
          <w:rFonts w:ascii="方正仿宋_GBK" w:hAnsi="方正仿宋_GBK" w:eastAsia="方正仿宋_GBK" w:cs="方正仿宋_GBK"/>
          <w:sz w:val="32"/>
          <w:szCs w:val="32"/>
        </w:rPr>
      </w:pPr>
      <w:r>
        <w:rPr>
          <w:rStyle w:val="16"/>
          <w:rFonts w:hint="eastAsia" w:ascii="方正楷体_GBK" w:hAnsi="方正楷体_GBK" w:eastAsia="方正楷体_GBK" w:cs="方正楷体_GBK"/>
          <w:b w:val="0"/>
          <w:bCs/>
          <w:sz w:val="32"/>
          <w:szCs w:val="32"/>
          <w:shd w:val="clear" w:color="auto" w:fill="FFFFFF"/>
        </w:rPr>
        <w:t>（一）财政拨款收入：</w:t>
      </w:r>
      <w:r>
        <w:rPr>
          <w:rFonts w:hint="eastAsia" w:ascii="方正仿宋_GBK" w:hAnsi="方正仿宋_GBK" w:eastAsia="方正仿宋_GBK" w:cs="方正仿宋_GBK"/>
          <w:sz w:val="32"/>
          <w:szCs w:val="32"/>
          <w:shd w:val="clear" w:color="auto" w:fill="FFFFFF"/>
        </w:rPr>
        <w:t>指本年度从本级财政部门取得的财政拨款，包括一般公共预算财政拨款和政府性基金预算财政拨款。</w:t>
      </w:r>
    </w:p>
    <w:p>
      <w:pPr>
        <w:pStyle w:val="14"/>
        <w:spacing w:before="0" w:beforeAutospacing="0" w:after="0" w:afterAutospacing="0" w:line="576" w:lineRule="exact"/>
        <w:ind w:firstLine="640" w:firstLineChars="200"/>
        <w:jc w:val="both"/>
        <w:rPr>
          <w:rFonts w:ascii="方正仿宋_GBK" w:hAnsi="方正仿宋_GBK" w:eastAsia="方正仿宋_GBK" w:cs="方正仿宋_GBK"/>
          <w:sz w:val="32"/>
          <w:szCs w:val="32"/>
        </w:rPr>
      </w:pPr>
      <w:r>
        <w:rPr>
          <w:rStyle w:val="16"/>
          <w:rFonts w:hint="eastAsia" w:ascii="方正楷体_GBK" w:hAnsi="方正楷体_GBK" w:eastAsia="方正楷体_GBK" w:cs="方正楷体_GBK"/>
          <w:b w:val="0"/>
          <w:bCs/>
          <w:sz w:val="32"/>
          <w:szCs w:val="32"/>
          <w:shd w:val="clear" w:color="auto" w:fill="FFFFFF"/>
        </w:rPr>
        <w:t>（二）事业收入：</w:t>
      </w:r>
      <w:r>
        <w:rPr>
          <w:rFonts w:hint="eastAsia" w:ascii="方正仿宋_GBK" w:hAnsi="方正仿宋_GBK" w:eastAsia="方正仿宋_GBK" w:cs="方正仿宋_GBK"/>
          <w:sz w:val="32"/>
          <w:szCs w:val="32"/>
          <w:shd w:val="clear" w:color="auto" w:fill="FFFFFF"/>
        </w:rPr>
        <w:t>指事业单位开展专业业务活动及其辅助活动取得的现金流入；事业单位收到的财政专户实际核拨的教育收费等资金在此反映。</w:t>
      </w:r>
    </w:p>
    <w:p>
      <w:pPr>
        <w:pStyle w:val="14"/>
        <w:spacing w:before="0" w:beforeAutospacing="0" w:after="0" w:afterAutospacing="0" w:line="576" w:lineRule="exact"/>
        <w:ind w:firstLine="640" w:firstLineChars="200"/>
        <w:jc w:val="both"/>
        <w:rPr>
          <w:rFonts w:ascii="方正仿宋_GBK" w:hAnsi="方正仿宋_GBK" w:eastAsia="方正仿宋_GBK" w:cs="方正仿宋_GBK"/>
          <w:sz w:val="32"/>
          <w:szCs w:val="32"/>
        </w:rPr>
      </w:pPr>
      <w:r>
        <w:rPr>
          <w:rStyle w:val="16"/>
          <w:rFonts w:hint="eastAsia" w:ascii="方正楷体_GBK" w:hAnsi="方正楷体_GBK" w:eastAsia="方正楷体_GBK" w:cs="方正楷体_GBK"/>
          <w:b w:val="0"/>
          <w:bCs/>
          <w:sz w:val="32"/>
          <w:szCs w:val="32"/>
          <w:shd w:val="clear" w:color="auto" w:fill="FFFFFF"/>
        </w:rPr>
        <w:t>（三）经营收入：</w:t>
      </w:r>
      <w:r>
        <w:rPr>
          <w:rFonts w:hint="eastAsia" w:ascii="方正仿宋_GBK" w:hAnsi="方正仿宋_GBK" w:eastAsia="方正仿宋_GBK" w:cs="方正仿宋_GBK"/>
          <w:sz w:val="32"/>
          <w:szCs w:val="32"/>
          <w:shd w:val="clear" w:color="auto" w:fill="FFFFFF"/>
        </w:rPr>
        <w:t>指事业单位在专业业务活动及其辅助活动之外开展非独立核算经营活动取得的现金流入。</w:t>
      </w:r>
    </w:p>
    <w:p>
      <w:pPr>
        <w:pStyle w:val="14"/>
        <w:spacing w:before="0" w:beforeAutospacing="0" w:after="0" w:afterAutospacing="0" w:line="576" w:lineRule="exact"/>
        <w:ind w:firstLine="640" w:firstLineChars="200"/>
        <w:jc w:val="both"/>
        <w:rPr>
          <w:rFonts w:ascii="方正仿宋_GBK" w:hAnsi="方正仿宋_GBK" w:eastAsia="方正仿宋_GBK" w:cs="方正仿宋_GBK"/>
          <w:sz w:val="32"/>
          <w:szCs w:val="32"/>
        </w:rPr>
      </w:pPr>
      <w:r>
        <w:rPr>
          <w:rStyle w:val="16"/>
          <w:rFonts w:hint="eastAsia" w:ascii="方正楷体_GBK" w:hAnsi="方正楷体_GBK" w:eastAsia="方正楷体_GBK" w:cs="方正楷体_GBK"/>
          <w:b w:val="0"/>
          <w:bCs/>
          <w:sz w:val="32"/>
          <w:szCs w:val="32"/>
          <w:shd w:val="clear" w:color="auto" w:fill="FFFFFF"/>
        </w:rPr>
        <w:t>（四）其他收入：</w:t>
      </w:r>
      <w:r>
        <w:rPr>
          <w:rFonts w:hint="eastAsia" w:ascii="方正仿宋_GBK" w:hAnsi="方正仿宋_GBK" w:eastAsia="方正仿宋_GBK" w:cs="方正仿宋_GBK"/>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14"/>
        <w:spacing w:before="0" w:beforeAutospacing="0" w:after="0" w:afterAutospacing="0" w:line="576" w:lineRule="exact"/>
        <w:ind w:firstLine="640" w:firstLineChars="200"/>
        <w:jc w:val="both"/>
        <w:rPr>
          <w:rFonts w:ascii="方正仿宋_GBK" w:hAnsi="方正仿宋_GBK" w:eastAsia="方正仿宋_GBK" w:cs="方正仿宋_GBK"/>
          <w:sz w:val="32"/>
          <w:szCs w:val="32"/>
        </w:rPr>
      </w:pPr>
      <w:r>
        <w:rPr>
          <w:rStyle w:val="16"/>
          <w:rFonts w:hint="eastAsia" w:ascii="方正楷体_GBK" w:hAnsi="方正楷体_GBK" w:eastAsia="方正楷体_GBK" w:cs="方正楷体_GBK"/>
          <w:b w:val="0"/>
          <w:bCs/>
          <w:sz w:val="32"/>
          <w:szCs w:val="32"/>
          <w:shd w:val="clear" w:color="auto" w:fill="FFFFFF"/>
        </w:rPr>
        <w:t>（五）使用非财政拨款结余：</w:t>
      </w:r>
      <w:r>
        <w:rPr>
          <w:rFonts w:hint="eastAsia" w:ascii="方正仿宋_GBK" w:hAnsi="方正仿宋_GBK" w:eastAsia="方正仿宋_GBK" w:cs="方正仿宋_GBK"/>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14"/>
        <w:spacing w:before="0" w:beforeAutospacing="0" w:after="0" w:afterAutospacing="0" w:line="576" w:lineRule="exact"/>
        <w:ind w:firstLine="640" w:firstLineChars="200"/>
        <w:jc w:val="both"/>
        <w:rPr>
          <w:rFonts w:ascii="方正仿宋_GBK" w:hAnsi="方正仿宋_GBK" w:eastAsia="方正仿宋_GBK" w:cs="方正仿宋_GBK"/>
          <w:sz w:val="32"/>
          <w:szCs w:val="32"/>
        </w:rPr>
      </w:pPr>
      <w:r>
        <w:rPr>
          <w:rStyle w:val="16"/>
          <w:rFonts w:hint="eastAsia" w:ascii="方正楷体_GBK" w:hAnsi="方正楷体_GBK" w:eastAsia="方正楷体_GBK" w:cs="方正楷体_GBK"/>
          <w:b w:val="0"/>
          <w:bCs/>
          <w:sz w:val="32"/>
          <w:szCs w:val="32"/>
          <w:shd w:val="clear" w:color="auto" w:fill="FFFFFF"/>
        </w:rPr>
        <w:t>（六）年初结转和结余：</w:t>
      </w:r>
      <w:r>
        <w:rPr>
          <w:rFonts w:hint="eastAsia" w:ascii="方正仿宋_GBK" w:hAnsi="方正仿宋_GBK" w:eastAsia="方正仿宋_GBK" w:cs="方正仿宋_GBK"/>
          <w:sz w:val="32"/>
          <w:szCs w:val="32"/>
          <w:shd w:val="clear" w:color="auto" w:fill="FFFFFF"/>
        </w:rPr>
        <w:t>指单位上年结转本年使用的基本支出结转、项目支出结转和结余、经营结余。</w:t>
      </w:r>
    </w:p>
    <w:p>
      <w:pPr>
        <w:pStyle w:val="14"/>
        <w:spacing w:before="0" w:beforeAutospacing="0" w:after="0" w:afterAutospacing="0" w:line="576" w:lineRule="exact"/>
        <w:ind w:firstLine="640" w:firstLineChars="200"/>
        <w:jc w:val="both"/>
        <w:rPr>
          <w:rFonts w:ascii="方正仿宋_GBK" w:hAnsi="方正仿宋_GBK" w:eastAsia="方正仿宋_GBK" w:cs="方正仿宋_GBK"/>
          <w:sz w:val="32"/>
          <w:szCs w:val="32"/>
        </w:rPr>
      </w:pPr>
      <w:r>
        <w:rPr>
          <w:rStyle w:val="16"/>
          <w:rFonts w:hint="eastAsia" w:ascii="方正楷体_GBK" w:hAnsi="方正楷体_GBK" w:eastAsia="方正楷体_GBK" w:cs="方正楷体_GBK"/>
          <w:b w:val="0"/>
          <w:bCs/>
          <w:sz w:val="32"/>
          <w:szCs w:val="32"/>
          <w:shd w:val="clear" w:color="auto" w:fill="FFFFFF"/>
        </w:rPr>
        <w:t>（七）结余分配：</w:t>
      </w:r>
      <w:r>
        <w:rPr>
          <w:rFonts w:hint="eastAsia" w:ascii="方正仿宋_GBK" w:hAnsi="方正仿宋_GBK" w:eastAsia="方正仿宋_GBK" w:cs="方正仿宋_GBK"/>
          <w:sz w:val="32"/>
          <w:szCs w:val="32"/>
          <w:shd w:val="clear" w:color="auto" w:fill="FFFFFF"/>
        </w:rPr>
        <w:t>指单位按照国家有关规定，缴纳所得税、提取专用基金、转入非财政拨款结余等当年结余的分配情况。</w:t>
      </w:r>
    </w:p>
    <w:p>
      <w:pPr>
        <w:pStyle w:val="14"/>
        <w:spacing w:before="0" w:beforeAutospacing="0" w:after="0" w:afterAutospacing="0" w:line="576" w:lineRule="exact"/>
        <w:ind w:firstLine="640" w:firstLineChars="200"/>
        <w:jc w:val="both"/>
        <w:rPr>
          <w:rFonts w:ascii="方正仿宋_GBK" w:hAnsi="方正仿宋_GBK" w:eastAsia="方正仿宋_GBK" w:cs="方正仿宋_GBK"/>
          <w:sz w:val="32"/>
          <w:szCs w:val="32"/>
        </w:rPr>
      </w:pPr>
      <w:r>
        <w:rPr>
          <w:rStyle w:val="16"/>
          <w:rFonts w:hint="eastAsia" w:ascii="方正楷体_GBK" w:hAnsi="方正楷体_GBK" w:eastAsia="方正楷体_GBK" w:cs="方正楷体_GBK"/>
          <w:b w:val="0"/>
          <w:bCs/>
          <w:sz w:val="32"/>
          <w:szCs w:val="32"/>
          <w:shd w:val="clear" w:color="auto" w:fill="FFFFFF"/>
        </w:rPr>
        <w:t>（八）年末结转和结余：</w:t>
      </w:r>
      <w:r>
        <w:rPr>
          <w:rFonts w:hint="eastAsia" w:ascii="方正仿宋_GBK" w:hAnsi="方正仿宋_GBK" w:eastAsia="方正仿宋_GBK" w:cs="方正仿宋_GBK"/>
          <w:sz w:val="32"/>
          <w:szCs w:val="32"/>
          <w:shd w:val="clear" w:color="auto" w:fill="FFFFFF"/>
        </w:rPr>
        <w:t>指单位结转下年的基本支出结转、项目支出结转和结余、经营结余。</w:t>
      </w:r>
    </w:p>
    <w:p>
      <w:pPr>
        <w:pStyle w:val="14"/>
        <w:spacing w:before="0" w:beforeAutospacing="0" w:after="0" w:afterAutospacing="0" w:line="576" w:lineRule="exact"/>
        <w:ind w:firstLine="640" w:firstLineChars="200"/>
        <w:jc w:val="both"/>
        <w:rPr>
          <w:rFonts w:ascii="方正仿宋_GBK" w:hAnsi="方正仿宋_GBK" w:eastAsia="方正仿宋_GBK" w:cs="方正仿宋_GBK"/>
          <w:sz w:val="32"/>
          <w:szCs w:val="32"/>
        </w:rPr>
      </w:pPr>
      <w:r>
        <w:rPr>
          <w:rStyle w:val="16"/>
          <w:rFonts w:hint="eastAsia" w:ascii="方正楷体_GBK" w:hAnsi="方正楷体_GBK" w:eastAsia="方正楷体_GBK" w:cs="方正楷体_GBK"/>
          <w:b w:val="0"/>
          <w:bCs/>
          <w:sz w:val="32"/>
          <w:szCs w:val="32"/>
          <w:shd w:val="clear" w:color="auto" w:fill="FFFFFF"/>
        </w:rPr>
        <w:t>（九）基本支出：</w:t>
      </w:r>
      <w:r>
        <w:rPr>
          <w:rFonts w:hint="eastAsia" w:ascii="方正仿宋_GBK" w:hAnsi="方正仿宋_GBK" w:eastAsia="方正仿宋_GBK" w:cs="方正仿宋_GBK"/>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14"/>
        <w:spacing w:before="0" w:beforeAutospacing="0" w:after="0" w:afterAutospacing="0" w:line="576" w:lineRule="exact"/>
        <w:ind w:firstLine="640" w:firstLineChars="200"/>
        <w:jc w:val="both"/>
        <w:rPr>
          <w:rFonts w:ascii="方正仿宋_GBK" w:hAnsi="方正仿宋_GBK" w:eastAsia="方正仿宋_GBK" w:cs="方正仿宋_GBK"/>
          <w:sz w:val="32"/>
          <w:szCs w:val="32"/>
        </w:rPr>
      </w:pPr>
      <w:r>
        <w:rPr>
          <w:rStyle w:val="16"/>
          <w:rFonts w:hint="eastAsia" w:ascii="方正楷体_GBK" w:hAnsi="方正楷体_GBK" w:eastAsia="方正楷体_GBK" w:cs="方正楷体_GBK"/>
          <w:b w:val="0"/>
          <w:bCs/>
          <w:sz w:val="32"/>
          <w:szCs w:val="32"/>
          <w:shd w:val="clear" w:color="auto" w:fill="FFFFFF"/>
        </w:rPr>
        <w:t>（十）项目支出：</w:t>
      </w:r>
      <w:r>
        <w:rPr>
          <w:rFonts w:hint="eastAsia" w:ascii="方正仿宋_GBK" w:hAnsi="方正仿宋_GBK" w:eastAsia="方正仿宋_GBK" w:cs="方正仿宋_GBK"/>
          <w:sz w:val="32"/>
          <w:szCs w:val="32"/>
          <w:shd w:val="clear" w:color="auto" w:fill="FFFFFF"/>
        </w:rPr>
        <w:t>指在基本支出之外为完成特定行政任务和事业发展目标所发生的支出。</w:t>
      </w:r>
    </w:p>
    <w:p>
      <w:pPr>
        <w:pStyle w:val="14"/>
        <w:spacing w:before="0" w:beforeAutospacing="0" w:after="0" w:afterAutospacing="0" w:line="576" w:lineRule="exact"/>
        <w:ind w:firstLine="640" w:firstLineChars="200"/>
        <w:jc w:val="both"/>
        <w:rPr>
          <w:rFonts w:ascii="方正仿宋_GBK" w:hAnsi="方正仿宋_GBK" w:eastAsia="方正仿宋_GBK" w:cs="方正仿宋_GBK"/>
          <w:sz w:val="32"/>
          <w:szCs w:val="32"/>
        </w:rPr>
      </w:pPr>
      <w:r>
        <w:rPr>
          <w:rStyle w:val="16"/>
          <w:rFonts w:hint="eastAsia" w:ascii="方正楷体_GBK" w:hAnsi="方正楷体_GBK" w:eastAsia="方正楷体_GBK" w:cs="方正楷体_GBK"/>
          <w:b w:val="0"/>
          <w:bCs/>
          <w:sz w:val="32"/>
          <w:szCs w:val="32"/>
          <w:shd w:val="clear" w:color="auto" w:fill="FFFFFF"/>
        </w:rPr>
        <w:t>（十一）经营支出：</w:t>
      </w:r>
      <w:r>
        <w:rPr>
          <w:rFonts w:hint="eastAsia" w:ascii="方正仿宋_GBK" w:hAnsi="方正仿宋_GBK" w:eastAsia="方正仿宋_GBK" w:cs="方正仿宋_GBK"/>
          <w:sz w:val="32"/>
          <w:szCs w:val="32"/>
          <w:shd w:val="clear" w:color="auto" w:fill="FFFFFF"/>
        </w:rPr>
        <w:t>指事业单位在专业业务活动及其辅助活动之外开展非独立核算经营活动发生的支出。</w:t>
      </w:r>
    </w:p>
    <w:p>
      <w:pPr>
        <w:pStyle w:val="14"/>
        <w:spacing w:before="0" w:beforeAutospacing="0" w:after="0" w:afterAutospacing="0" w:line="576" w:lineRule="exact"/>
        <w:ind w:firstLine="640" w:firstLineChars="200"/>
        <w:jc w:val="both"/>
        <w:rPr>
          <w:rFonts w:ascii="方正仿宋_GBK" w:hAnsi="方正仿宋_GBK" w:eastAsia="方正仿宋_GBK" w:cs="方正仿宋_GBK"/>
          <w:sz w:val="32"/>
          <w:szCs w:val="32"/>
        </w:rPr>
      </w:pPr>
      <w:r>
        <w:rPr>
          <w:rStyle w:val="16"/>
          <w:rFonts w:hint="eastAsia" w:ascii="方正楷体_GBK" w:hAnsi="方正楷体_GBK" w:eastAsia="方正楷体_GBK" w:cs="方正楷体_GBK"/>
          <w:b w:val="0"/>
          <w:bCs/>
          <w:sz w:val="32"/>
          <w:szCs w:val="32"/>
          <w:shd w:val="clear" w:color="auto" w:fill="FFFFFF"/>
        </w:rPr>
        <w:t>（十二）“三公”经费：</w:t>
      </w:r>
      <w:r>
        <w:rPr>
          <w:rFonts w:hint="eastAsia" w:ascii="方正仿宋_GBK" w:hAnsi="方正仿宋_GBK" w:eastAsia="方正仿宋_GBK" w:cs="方正仿宋_GBK"/>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14"/>
        <w:spacing w:before="0" w:beforeAutospacing="0" w:after="0" w:afterAutospacing="0" w:line="576" w:lineRule="exact"/>
        <w:ind w:firstLine="640" w:firstLineChars="200"/>
        <w:jc w:val="both"/>
        <w:rPr>
          <w:rFonts w:ascii="方正仿宋_GBK" w:hAnsi="方正仿宋_GBK" w:eastAsia="方正仿宋_GBK" w:cs="方正仿宋_GBK"/>
          <w:sz w:val="32"/>
          <w:szCs w:val="32"/>
        </w:rPr>
      </w:pPr>
      <w:r>
        <w:rPr>
          <w:rStyle w:val="16"/>
          <w:rFonts w:hint="eastAsia" w:ascii="方正楷体_GBK" w:hAnsi="方正楷体_GBK" w:eastAsia="方正楷体_GBK" w:cs="方正楷体_GBK"/>
          <w:b w:val="0"/>
          <w:bCs/>
          <w:sz w:val="32"/>
          <w:szCs w:val="32"/>
          <w:shd w:val="clear" w:color="auto" w:fill="FFFFFF"/>
        </w:rPr>
        <w:t>（十三）机关运行经费：</w:t>
      </w:r>
      <w:r>
        <w:rPr>
          <w:rFonts w:hint="eastAsia" w:ascii="方正仿宋_GBK" w:hAnsi="方正仿宋_GBK" w:eastAsia="方正仿宋_GBK" w:cs="方正仿宋_GBK"/>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14"/>
        <w:spacing w:before="0" w:beforeAutospacing="0" w:after="0" w:afterAutospacing="0" w:line="576" w:lineRule="exact"/>
        <w:ind w:firstLine="640" w:firstLineChars="200"/>
        <w:jc w:val="both"/>
        <w:rPr>
          <w:rFonts w:ascii="方正仿宋_GBK" w:hAnsi="方正仿宋_GBK" w:eastAsia="方正仿宋_GBK" w:cs="方正仿宋_GBK"/>
          <w:sz w:val="32"/>
          <w:szCs w:val="32"/>
        </w:rPr>
      </w:pPr>
      <w:r>
        <w:rPr>
          <w:rStyle w:val="16"/>
          <w:rFonts w:hint="eastAsia" w:ascii="方正楷体_GBK" w:hAnsi="方正楷体_GBK" w:eastAsia="方正楷体_GBK" w:cs="方正楷体_GBK"/>
          <w:b w:val="0"/>
          <w:bCs/>
          <w:sz w:val="32"/>
          <w:szCs w:val="32"/>
          <w:shd w:val="clear" w:color="auto" w:fill="FFFFFF"/>
        </w:rPr>
        <w:t>（十四）工资福利支出（支出经济分类科目类级）：</w:t>
      </w:r>
      <w:r>
        <w:rPr>
          <w:rFonts w:hint="eastAsia" w:ascii="方正仿宋_GBK" w:hAnsi="方正仿宋_GBK" w:eastAsia="方正仿宋_GBK" w:cs="方正仿宋_GBK"/>
          <w:sz w:val="32"/>
          <w:szCs w:val="32"/>
          <w:shd w:val="clear" w:color="auto" w:fill="FFFFFF"/>
        </w:rPr>
        <w:t>反映单位开支的在职职工和编制外长期聘用人员的各类劳动报酬，以及为上述人员缴纳的各项社会保险费等。</w:t>
      </w:r>
    </w:p>
    <w:p>
      <w:pPr>
        <w:pStyle w:val="14"/>
        <w:spacing w:before="0" w:beforeAutospacing="0" w:after="0" w:afterAutospacing="0" w:line="576" w:lineRule="exact"/>
        <w:ind w:firstLine="640" w:firstLineChars="200"/>
        <w:jc w:val="both"/>
        <w:rPr>
          <w:rFonts w:ascii="方正仿宋_GBK" w:hAnsi="方正仿宋_GBK" w:eastAsia="方正仿宋_GBK" w:cs="方正仿宋_GBK"/>
          <w:sz w:val="32"/>
          <w:szCs w:val="32"/>
        </w:rPr>
      </w:pPr>
      <w:r>
        <w:rPr>
          <w:rStyle w:val="16"/>
          <w:rFonts w:hint="eastAsia" w:ascii="方正楷体_GBK" w:hAnsi="方正楷体_GBK" w:eastAsia="方正楷体_GBK" w:cs="方正楷体_GBK"/>
          <w:b w:val="0"/>
          <w:bCs/>
          <w:sz w:val="32"/>
          <w:szCs w:val="32"/>
          <w:shd w:val="clear" w:color="auto" w:fill="FFFFFF"/>
        </w:rPr>
        <w:t>（十五）商品和服务支出（支出经济分类科目类级）：</w:t>
      </w:r>
      <w:r>
        <w:rPr>
          <w:rFonts w:hint="eastAsia" w:ascii="方正仿宋_GBK" w:hAnsi="方正仿宋_GBK" w:eastAsia="方正仿宋_GBK" w:cs="方正仿宋_GBK"/>
          <w:sz w:val="32"/>
          <w:szCs w:val="32"/>
          <w:shd w:val="clear" w:color="auto" w:fill="FFFFFF"/>
        </w:rPr>
        <w:t>反映单位购买商品和服务的支出（不包括用于购置固定资产的支出、战略性和应急储备支出）。</w:t>
      </w:r>
    </w:p>
    <w:p>
      <w:pPr>
        <w:pStyle w:val="14"/>
        <w:spacing w:before="0" w:beforeAutospacing="0" w:after="0" w:afterAutospacing="0" w:line="576" w:lineRule="exact"/>
        <w:ind w:firstLine="640" w:firstLineChars="200"/>
        <w:jc w:val="both"/>
        <w:rPr>
          <w:rFonts w:ascii="方正仿宋_GBK" w:hAnsi="方正仿宋_GBK" w:eastAsia="方正仿宋_GBK" w:cs="方正仿宋_GBK"/>
          <w:sz w:val="32"/>
          <w:szCs w:val="32"/>
        </w:rPr>
      </w:pPr>
      <w:r>
        <w:rPr>
          <w:rStyle w:val="16"/>
          <w:rFonts w:hint="eastAsia" w:ascii="方正楷体_GBK" w:hAnsi="方正楷体_GBK" w:eastAsia="方正楷体_GBK" w:cs="方正楷体_GBK"/>
          <w:b w:val="0"/>
          <w:bCs/>
          <w:sz w:val="32"/>
          <w:szCs w:val="32"/>
          <w:shd w:val="clear" w:color="auto" w:fill="FFFFFF"/>
        </w:rPr>
        <w:t>（十六）对个人和家庭的补助（支出经济分类科目类级）：</w:t>
      </w:r>
      <w:r>
        <w:rPr>
          <w:rFonts w:hint="eastAsia" w:ascii="方正仿宋_GBK" w:hAnsi="方正仿宋_GBK" w:eastAsia="方正仿宋_GBK" w:cs="方正仿宋_GBK"/>
          <w:sz w:val="32"/>
          <w:szCs w:val="32"/>
          <w:shd w:val="clear" w:color="auto" w:fill="FFFFFF"/>
        </w:rPr>
        <w:t>反映用于对个人和家庭的补助支出。</w:t>
      </w:r>
    </w:p>
    <w:p>
      <w:pPr>
        <w:pStyle w:val="14"/>
        <w:spacing w:before="0" w:beforeAutospacing="0" w:after="0" w:afterAutospacing="0" w:line="576" w:lineRule="exact"/>
        <w:ind w:firstLine="640" w:firstLineChars="200"/>
        <w:jc w:val="both"/>
        <w:rPr>
          <w:rFonts w:ascii="方正仿宋_GBK" w:hAnsi="方正仿宋_GBK" w:eastAsia="方正仿宋_GBK" w:cs="方正仿宋_GBK"/>
          <w:sz w:val="32"/>
          <w:szCs w:val="32"/>
        </w:rPr>
      </w:pPr>
      <w:r>
        <w:rPr>
          <w:rStyle w:val="16"/>
          <w:rFonts w:hint="eastAsia" w:ascii="方正楷体_GBK" w:hAnsi="方正楷体_GBK" w:eastAsia="方正楷体_GBK" w:cs="方正楷体_GBK"/>
          <w:b w:val="0"/>
          <w:bCs/>
          <w:sz w:val="32"/>
          <w:szCs w:val="32"/>
          <w:shd w:val="clear" w:color="auto" w:fill="FFFFFF"/>
        </w:rPr>
        <w:t>（十七）其他资本性支出（支出经济分类科目类级）：</w:t>
      </w:r>
      <w:r>
        <w:rPr>
          <w:rFonts w:hint="eastAsia" w:ascii="方正仿宋_GBK" w:hAnsi="方正仿宋_GBK" w:eastAsia="方正仿宋_GBK" w:cs="方正仿宋_GBK"/>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14"/>
        <w:spacing w:before="0" w:beforeAutospacing="0" w:after="0" w:afterAutospacing="0" w:line="576" w:lineRule="exact"/>
        <w:ind w:firstLine="643" w:firstLineChars="200"/>
        <w:jc w:val="both"/>
        <w:rPr>
          <w:rFonts w:ascii="方正仿宋_GBK" w:hAnsi="方正仿宋_GBK" w:eastAsia="方正仿宋_GBK" w:cs="方正仿宋_GBK"/>
          <w:sz w:val="32"/>
          <w:szCs w:val="32"/>
        </w:rPr>
      </w:pPr>
      <w:r>
        <w:rPr>
          <w:rStyle w:val="16"/>
          <w:rFonts w:hint="eastAsia" w:ascii="方正仿宋_GBK" w:hAnsi="方正仿宋_GBK" w:eastAsia="方正仿宋_GBK" w:cs="方正仿宋_GBK"/>
          <w:sz w:val="32"/>
          <w:szCs w:val="32"/>
          <w:shd w:val="clear" w:color="auto" w:fill="FFFFFF"/>
        </w:rPr>
        <w:t>七、决算公开联系方式及信息反馈渠道</w:t>
      </w:r>
    </w:p>
    <w:p>
      <w:pPr>
        <w:pStyle w:val="14"/>
        <w:spacing w:before="0" w:beforeAutospacing="0" w:after="0" w:afterAutospacing="0" w:line="576" w:lineRule="exact"/>
        <w:ind w:firstLine="640" w:firstLineChars="200"/>
        <w:jc w:val="both"/>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shd w:val="clear" w:color="auto" w:fill="FFFFFF"/>
        </w:rPr>
        <w:t>本单位决算公开信息反馈和联系方式：023-48671675。</w:t>
      </w:r>
    </w:p>
    <w:sectPr>
      <w:pgSz w:w="11915" w:h="16851"/>
      <w:pgMar w:top="2098" w:right="1474" w:bottom="1984" w:left="1588" w:header="851" w:footer="1474"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6939C4"/>
    <w:multiLevelType w:val="singleLevel"/>
    <w:tmpl w:val="616939C4"/>
    <w:lvl w:ilvl="0" w:tentative="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bordersDoNotSurroundHeader w:val="1"/>
  <w:bordersDoNotSurroundFooter w:val="1"/>
  <w:documentProtection w:enforcement="0"/>
  <w:defaultTabStop w:val="420"/>
  <w:drawingGridHorizontalSpacing w:val="0"/>
  <w:displayHorizontalDrawingGridEvery w:val="1"/>
  <w:displayVerticalDrawingGridEvery w:val="1"/>
  <w:noPunctuationKerning w:val="1"/>
  <w:characterSpacingControl w:val="doNotCompress"/>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A33ACC"/>
    <w:rsid w:val="2A044919"/>
    <w:rsid w:val="2AB5708F"/>
    <w:rsid w:val="2C1A16DB"/>
    <w:rsid w:val="2F6F0F83"/>
    <w:rsid w:val="3B8F0AF4"/>
    <w:rsid w:val="3C22685F"/>
    <w:rsid w:val="4DDD12B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Times New Roman"/>
      <w:sz w:val="24"/>
      <w:szCs w:val="24"/>
      <w:lang w:val="en-US" w:eastAsia="zh-CN" w:bidi="ar-SA"/>
    </w:rPr>
  </w:style>
  <w:style w:type="paragraph" w:styleId="2">
    <w:name w:val="heading 1"/>
    <w:basedOn w:val="1"/>
    <w:next w:val="1"/>
    <w:qFormat/>
    <w:uiPriority w:val="0"/>
    <w:pPr>
      <w:spacing w:before="100" w:beforeAutospacing="1" w:after="100" w:afterAutospacing="1"/>
      <w:outlineLvl w:val="0"/>
    </w:pPr>
    <w:rPr>
      <w:rFonts w:hint="eastAsia"/>
      <w:b/>
      <w:kern w:val="44"/>
      <w:sz w:val="48"/>
      <w:szCs w:val="48"/>
    </w:rPr>
  </w:style>
  <w:style w:type="paragraph" w:styleId="3">
    <w:name w:val="heading 2"/>
    <w:basedOn w:val="1"/>
    <w:next w:val="1"/>
    <w:qFormat/>
    <w:uiPriority w:val="0"/>
    <w:pPr>
      <w:spacing w:before="100" w:beforeAutospacing="1" w:after="100" w:afterAutospacing="1"/>
      <w:outlineLvl w:val="1"/>
    </w:pPr>
    <w:rPr>
      <w:rFonts w:hint="eastAsia"/>
      <w:b/>
      <w:sz w:val="36"/>
      <w:szCs w:val="36"/>
    </w:rPr>
  </w:style>
  <w:style w:type="paragraph" w:styleId="4">
    <w:name w:val="heading 3"/>
    <w:basedOn w:val="1"/>
    <w:next w:val="1"/>
    <w:qFormat/>
    <w:uiPriority w:val="0"/>
    <w:pPr>
      <w:spacing w:before="100" w:beforeAutospacing="1" w:after="100" w:afterAutospacing="1"/>
      <w:outlineLvl w:val="2"/>
    </w:pPr>
    <w:rPr>
      <w:rFonts w:hint="eastAsia"/>
      <w:b/>
      <w:sz w:val="27"/>
      <w:szCs w:val="27"/>
    </w:rPr>
  </w:style>
  <w:style w:type="paragraph" w:styleId="5">
    <w:name w:val="heading 4"/>
    <w:basedOn w:val="1"/>
    <w:next w:val="1"/>
    <w:qFormat/>
    <w:uiPriority w:val="0"/>
    <w:pPr>
      <w:spacing w:before="100" w:beforeAutospacing="1" w:after="100" w:afterAutospacing="1"/>
      <w:outlineLvl w:val="3"/>
    </w:pPr>
    <w:rPr>
      <w:rFonts w:hint="eastAsia"/>
      <w:b/>
    </w:rPr>
  </w:style>
  <w:style w:type="paragraph" w:styleId="6">
    <w:name w:val="heading 5"/>
    <w:basedOn w:val="1"/>
    <w:next w:val="1"/>
    <w:qFormat/>
    <w:uiPriority w:val="0"/>
    <w:pPr>
      <w:spacing w:before="100" w:beforeAutospacing="1" w:after="100" w:afterAutospacing="1"/>
      <w:outlineLvl w:val="4"/>
    </w:pPr>
    <w:rPr>
      <w:rFonts w:hint="eastAsia"/>
      <w:b/>
      <w:sz w:val="20"/>
      <w:szCs w:val="20"/>
    </w:rPr>
  </w:style>
  <w:style w:type="paragraph" w:styleId="7">
    <w:name w:val="heading 6"/>
    <w:basedOn w:val="1"/>
    <w:next w:val="1"/>
    <w:qFormat/>
    <w:uiPriority w:val="0"/>
    <w:pPr>
      <w:spacing w:before="100" w:beforeAutospacing="1" w:after="100" w:afterAutospacing="1"/>
      <w:outlineLvl w:val="5"/>
    </w:pPr>
    <w:rPr>
      <w:rFonts w:hint="eastAsia"/>
      <w:b/>
      <w:sz w:val="15"/>
      <w:szCs w:val="15"/>
    </w:rPr>
  </w:style>
  <w:style w:type="character" w:default="1" w:styleId="15">
    <w:name w:val="Default Paragraph Font"/>
    <w:unhideWhenUsed/>
    <w:qFormat/>
    <w:uiPriority w:val="1"/>
  </w:style>
  <w:style w:type="table" w:default="1" w:styleId="18">
    <w:name w:val="Normal Table"/>
    <w:unhideWhenUsed/>
    <w:uiPriority w:val="99"/>
    <w:tblPr>
      <w:tblLayout w:type="fixed"/>
      <w:tblCellMar>
        <w:top w:w="0" w:type="dxa"/>
        <w:left w:w="108" w:type="dxa"/>
        <w:bottom w:w="0" w:type="dxa"/>
        <w:right w:w="108" w:type="dxa"/>
      </w:tblCellMar>
    </w:tblPr>
  </w:style>
  <w:style w:type="paragraph" w:styleId="8">
    <w:name w:val="annotation subject"/>
    <w:basedOn w:val="9"/>
    <w:next w:val="9"/>
    <w:link w:val="25"/>
    <w:qFormat/>
    <w:uiPriority w:val="0"/>
    <w:rPr>
      <w:b/>
      <w:bCs/>
    </w:rPr>
  </w:style>
  <w:style w:type="paragraph" w:styleId="9">
    <w:name w:val="annotation text"/>
    <w:basedOn w:val="1"/>
    <w:link w:val="24"/>
    <w:qFormat/>
    <w:uiPriority w:val="0"/>
  </w:style>
  <w:style w:type="paragraph" w:styleId="10">
    <w:name w:val="Balloon Text"/>
    <w:basedOn w:val="1"/>
    <w:link w:val="21"/>
    <w:qFormat/>
    <w:uiPriority w:val="0"/>
    <w:rPr>
      <w:sz w:val="18"/>
      <w:szCs w:val="18"/>
    </w:rPr>
  </w:style>
  <w:style w:type="paragraph" w:styleId="11">
    <w:name w:val="footer"/>
    <w:basedOn w:val="1"/>
    <w:link w:val="23"/>
    <w:qFormat/>
    <w:uiPriority w:val="0"/>
    <w:pPr>
      <w:tabs>
        <w:tab w:val="center" w:pos="4153"/>
        <w:tab w:val="right" w:pos="8306"/>
      </w:tabs>
      <w:snapToGrid w:val="0"/>
    </w:pPr>
    <w:rPr>
      <w:sz w:val="18"/>
      <w:szCs w:val="18"/>
    </w:rPr>
  </w:style>
  <w:style w:type="paragraph" w:styleId="12">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rPr>
  </w:style>
  <w:style w:type="paragraph" w:styleId="14">
    <w:name w:val="Normal (Web)"/>
    <w:basedOn w:val="1"/>
    <w:qFormat/>
    <w:uiPriority w:val="0"/>
    <w:pPr>
      <w:spacing w:before="100" w:beforeAutospacing="1" w:after="100" w:afterAutospacing="1"/>
    </w:pPr>
  </w:style>
  <w:style w:type="character" w:styleId="16">
    <w:name w:val="Strong"/>
    <w:basedOn w:val="15"/>
    <w:qFormat/>
    <w:uiPriority w:val="0"/>
    <w:rPr>
      <w:b/>
    </w:rPr>
  </w:style>
  <w:style w:type="character" w:styleId="17">
    <w:name w:val="annotation reference"/>
    <w:basedOn w:val="15"/>
    <w:qFormat/>
    <w:uiPriority w:val="0"/>
    <w:rPr>
      <w:sz w:val="21"/>
      <w:szCs w:val="21"/>
    </w:rPr>
  </w:style>
  <w:style w:type="paragraph" w:customStyle="1" w:styleId="19">
    <w:name w:val="_Style 1"/>
    <w:basedOn w:val="1"/>
    <w:qFormat/>
    <w:uiPriority w:val="34"/>
    <w:pPr>
      <w:ind w:firstLine="420" w:firstLineChars="200"/>
    </w:pPr>
  </w:style>
  <w:style w:type="paragraph" w:customStyle="1" w:styleId="20">
    <w:name w:val="p0"/>
    <w:basedOn w:val="1"/>
    <w:qFormat/>
    <w:uiPriority w:val="0"/>
    <w:rPr>
      <w:rFonts w:ascii="Calibri" w:hAnsi="Calibri" w:cs="宋体"/>
      <w:szCs w:val="21"/>
    </w:rPr>
  </w:style>
  <w:style w:type="character" w:customStyle="1" w:styleId="21">
    <w:name w:val="批注框文本 Char"/>
    <w:link w:val="10"/>
    <w:qFormat/>
    <w:uiPriority w:val="0"/>
    <w:rPr>
      <w:rFonts w:ascii="宋体" w:hAnsi="宋体"/>
      <w:sz w:val="18"/>
      <w:szCs w:val="18"/>
    </w:rPr>
  </w:style>
  <w:style w:type="character" w:customStyle="1" w:styleId="22">
    <w:name w:val="页眉 Char"/>
    <w:basedOn w:val="15"/>
    <w:link w:val="12"/>
    <w:qFormat/>
    <w:uiPriority w:val="0"/>
    <w:rPr>
      <w:rFonts w:ascii="宋体" w:hAnsi="宋体"/>
      <w:sz w:val="18"/>
      <w:szCs w:val="18"/>
    </w:rPr>
  </w:style>
  <w:style w:type="character" w:customStyle="1" w:styleId="23">
    <w:name w:val="页脚 Char"/>
    <w:basedOn w:val="15"/>
    <w:link w:val="11"/>
    <w:qFormat/>
    <w:uiPriority w:val="0"/>
    <w:rPr>
      <w:rFonts w:ascii="宋体" w:hAnsi="宋体"/>
      <w:sz w:val="18"/>
      <w:szCs w:val="18"/>
    </w:rPr>
  </w:style>
  <w:style w:type="character" w:customStyle="1" w:styleId="24">
    <w:name w:val="批注文字 Char"/>
    <w:basedOn w:val="15"/>
    <w:link w:val="9"/>
    <w:qFormat/>
    <w:uiPriority w:val="0"/>
    <w:rPr>
      <w:rFonts w:ascii="宋体" w:hAnsi="宋体"/>
      <w:sz w:val="24"/>
      <w:szCs w:val="24"/>
    </w:rPr>
  </w:style>
  <w:style w:type="character" w:customStyle="1" w:styleId="25">
    <w:name w:val="批注主题 Char"/>
    <w:basedOn w:val="24"/>
    <w:link w:val="8"/>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1091</Words>
  <Characters>6221</Characters>
  <Lines>51</Lines>
  <Paragraphs>14</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2021-10-21T01:51:00Z</dcterms:created>
  <dc:creator>Administrator</dc:creator>
  <cp:lastModifiedBy>Administrator</cp:lastModifiedBy>
  <dcterms:modified xsi:type="dcterms:W3CDTF">2022-08-30T03:41:23Z</dcterms:modified>
  <dc:title>中共綦江区委政法委员会</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