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line="600" w:lineRule="exact"/>
        <w:jc w:val="center"/>
        <w:rPr>
          <w:rFonts w:ascii="方正小标宋_GBK" w:eastAsia="方正小标宋_GBK"/>
          <w:sz w:val="44"/>
          <w:szCs w:val="44"/>
        </w:rPr>
      </w:pPr>
      <w:r>
        <w:rPr>
          <w:rFonts w:hint="eastAsia" w:ascii="方正小标宋_GBK" w:eastAsia="方正小标宋_GBK"/>
          <w:sz w:val="44"/>
          <w:szCs w:val="44"/>
        </w:rPr>
        <w:t>重庆市綦江区工商业联合会(本级)</w:t>
      </w:r>
    </w:p>
    <w:p>
      <w:pPr>
        <w:pStyle w:val="6"/>
        <w:shd w:val="clear" w:color="auto" w:fill="FFFFFF"/>
        <w:spacing w:before="0" w:beforeAutospacing="0" w:after="0" w:afterAutospacing="0" w:line="600" w:lineRule="exact"/>
        <w:jc w:val="center"/>
        <w:rPr>
          <w:rFonts w:ascii="方正小标宋_GBK" w:eastAsia="方正小标宋_GBK"/>
          <w:sz w:val="44"/>
          <w:szCs w:val="44"/>
        </w:rPr>
      </w:pPr>
      <w:r>
        <w:rPr>
          <w:rFonts w:hint="eastAsia" w:ascii="方正小标宋_GBK" w:eastAsia="方正小标宋_GBK"/>
          <w:sz w:val="44"/>
          <w:szCs w:val="44"/>
        </w:rPr>
        <w:t>2020年度部门决算情况说明</w:t>
      </w:r>
    </w:p>
    <w:p>
      <w:pPr>
        <w:pStyle w:val="6"/>
        <w:shd w:val="clear" w:color="auto" w:fill="FFFFFF"/>
        <w:spacing w:before="0" w:beforeAutospacing="0" w:after="0" w:afterAutospacing="0" w:line="600" w:lineRule="exact"/>
        <w:jc w:val="center"/>
        <w:rPr>
          <w:rFonts w:ascii="方正小标宋_GBK" w:eastAsia="方正小标宋_GBK"/>
          <w:sz w:val="44"/>
          <w:szCs w:val="44"/>
        </w:rPr>
      </w:pP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9"/>
          <w:rFonts w:hint="eastAsia" w:ascii="方正黑体_GBK" w:eastAsia="方正黑体_GBK"/>
          <w:sz w:val="32"/>
          <w:szCs w:val="32"/>
        </w:rPr>
        <w:t>一、部门基本情况</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（一）职能职责</w:t>
      </w:r>
    </w:p>
    <w:p>
      <w:pPr>
        <w:spacing w:line="600" w:lineRule="exact"/>
        <w:ind w:firstLine="640" w:firstLineChars="200"/>
        <w:rPr>
          <w:rFonts w:ascii="方正仿宋_GBK" w:eastAsia="方正仿宋_GBK"/>
          <w:kern w:val="0"/>
          <w:sz w:val="32"/>
          <w:szCs w:val="32"/>
        </w:rPr>
      </w:pPr>
      <w:r>
        <w:rPr>
          <w:rFonts w:hint="eastAsia" w:ascii="方正仿宋_GBK" w:hAnsi="宋体" w:eastAsia="方正仿宋_GBK" w:cs="宋体"/>
          <w:kern w:val="0"/>
          <w:sz w:val="32"/>
          <w:szCs w:val="32"/>
        </w:rPr>
        <w:t>1.加强和改进非公有制经济人士思想政治工作；引导会员践行社会主义核心价值观，树立中国特色社会主义共同理想；引导会员弘扬中华民族传统美德，积极承担社会责任，投身光彩事业。2.参与政治协商，发挥民主监督作用，积极参政议政；密切同非公有制经济人士的联系，了解他们的意愿和要求，向党和政府提出意见和建议；参与有关方针政策、法律法规的制定和贯彻执行；做好非公有制经济代表人士政治安排的推荐工作。3.协助区政府管理和服务非公有制经济；为非公有制企业提供信息、法律、融资、技术、人才等方面服务，引导非公有制企业按照科学发展观的要求持续、健康发展。4.促进行业协会商会改革发展。履行社会团体业务主管单位职责，指导和推动商会组织完善法人治理结构、规范内部管理、依照法律和章程开展活动。5.参与协调劳动关系，促进社会和谐稳定。6.代表并维护会员的合法权益，反映会员意见、要求和建议，参与经济纠纷的调解、仲裁。7.依法加强会产管理。8.并承办区委、区政府和上级有关部门交办的其他事项。</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（二）机构设置</w:t>
      </w:r>
    </w:p>
    <w:p>
      <w:pPr>
        <w:spacing w:line="600" w:lineRule="exact"/>
        <w:rPr>
          <w:rFonts w:ascii="方正仿宋_GBK" w:hAnsi="宋体" w:eastAsia="方正仿宋_GBK" w:cs="宋体"/>
          <w:kern w:val="0"/>
          <w:sz w:val="32"/>
          <w:szCs w:val="32"/>
        </w:rPr>
      </w:pPr>
      <w:r>
        <w:rPr>
          <w:rFonts w:hint="eastAsia" w:ascii="方正仿宋_GBK" w:hAnsi="宋体" w:eastAsia="方正仿宋_GBK" w:cs="宋体"/>
          <w:kern w:val="0"/>
          <w:sz w:val="32"/>
          <w:szCs w:val="32"/>
        </w:rPr>
        <w:t xml:space="preserve">    重庆市綦江区工商业联合会内设科室2个（办公室和会员发展管理科），2020年，全额预算在职行政编制人员5人。年末实有行政在职人数9人，退休人员5人。</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（三）单位构成</w:t>
      </w:r>
    </w:p>
    <w:p>
      <w:pPr>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从预算单位构成看，纳入本部门2020年度决算编制的二级预算单位主要包括</w:t>
      </w:r>
      <w:r>
        <w:rPr>
          <w:rFonts w:hint="eastAsia" w:ascii="方正仿宋_GBK" w:hAnsi="宋体" w:eastAsia="方正仿宋_GBK" w:cs="宋体"/>
          <w:kern w:val="0"/>
          <w:sz w:val="32"/>
          <w:szCs w:val="32"/>
        </w:rPr>
        <w:t>重庆市綦江区工商业联合会（本级）</w:t>
      </w:r>
      <w:r>
        <w:rPr>
          <w:rFonts w:hint="eastAsia" w:ascii="方正仿宋_GBK" w:eastAsia="方正仿宋_GBK"/>
          <w:kern w:val="0"/>
          <w:sz w:val="32"/>
          <w:szCs w:val="32"/>
        </w:rPr>
        <w:t>。</w:t>
      </w: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9"/>
          <w:rFonts w:hint="eastAsia" w:ascii="方正黑体_GBK" w:eastAsia="方正黑体_GBK"/>
          <w:sz w:val="32"/>
          <w:szCs w:val="32"/>
        </w:rPr>
        <w:t>二、部门决算情况说明</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（一）收入支出决算总体情况说明</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1.总体情况</w:t>
      </w:r>
      <w:r>
        <w:rPr>
          <w:rFonts w:hint="eastAsia" w:ascii="方正仿宋_GBK" w:eastAsia="方正仿宋_GBK"/>
          <w:sz w:val="32"/>
          <w:szCs w:val="32"/>
        </w:rPr>
        <w:t>。2020年度收入总计315.83万元，支出总计337.52万元。收支较上年决算数 增加1.65万元、 增长0.4%，主要原因是人员工资和社会保障费用、项目增加支出。（本部分的收入总计包括收入合计、用事业基金弥补收支差额、年初结转和结余，支出总计包括本年支出合计、结余分配、年末结转和结余）。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2.收入情况。</w:t>
      </w:r>
      <w:r>
        <w:rPr>
          <w:rFonts w:hint="eastAsia" w:ascii="方正仿宋_GBK" w:eastAsia="方正仿宋_GBK"/>
          <w:sz w:val="32"/>
          <w:szCs w:val="32"/>
        </w:rPr>
        <w:t>2020年度收入合计315.83万元，较上年决算数减少16.21万元，下降4.3%，主要原因是减少项目支出。其中：财政拨款收入361.45万元，占100%；此外，使用非财政拨款结余0.00万元，年初结转和结余24.49万元。</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3.支出情况。</w:t>
      </w:r>
      <w:r>
        <w:rPr>
          <w:rFonts w:hint="eastAsia" w:ascii="方正仿宋_GBK" w:eastAsia="方正仿宋_GBK"/>
          <w:sz w:val="32"/>
          <w:szCs w:val="32"/>
        </w:rPr>
        <w:t>2020年度支出合计337.52万元，较上年决算数增加4.60万元，增长1.2%，主要原因是增加社会保障费用。其中：基本支出266.3万元，占78.4%；项目支出71.22万元，占21.6%。</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4.结转结余情况。</w:t>
      </w:r>
      <w:r>
        <w:rPr>
          <w:rFonts w:hint="eastAsia" w:ascii="方正仿宋_GBK" w:eastAsia="方正仿宋_GBK"/>
          <w:sz w:val="32"/>
          <w:szCs w:val="32"/>
        </w:rPr>
        <w:t>2020年度年末结转和结余0.00万元，较上年决算数减少21.69万元，下降100%，主要原因是一般公共服务支出增加。</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（二）财政拨款收入支出决算总体情况说明</w:t>
      </w:r>
    </w:p>
    <w:p>
      <w:pPr>
        <w:pStyle w:val="6"/>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2020年度财政拨款收、支总计337.52万元。与2019年相比，财政拨款收、支总计各增加1.65万元，增长0.4%。主要原因是增资增加社会保障费用。</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（三）一般公共预算财政拨款支出决算情况说明</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1.收入情况。</w:t>
      </w:r>
      <w:r>
        <w:rPr>
          <w:rFonts w:hint="eastAsia" w:ascii="方正仿宋_GBK" w:eastAsia="方正仿宋_GBK"/>
          <w:sz w:val="32"/>
          <w:szCs w:val="32"/>
        </w:rPr>
        <w:t>2020年度一般公共预算财政拨款收入315.83万元，较上年决算数减少16.21万元，下降4.3%。主要原因是减少项目支出。较年初预算数增加25.53万元，增长7.6%。主要原因是增加社会保障项目。此外，年初财政拨款结转和结余24.49万元。</w:t>
      </w:r>
    </w:p>
    <w:p>
      <w:pPr>
        <w:pStyle w:val="6"/>
        <w:shd w:val="clear" w:color="auto" w:fill="FFFFFF"/>
        <w:spacing w:before="0" w:beforeAutospacing="0" w:after="0" w:afterAutospacing="0" w:line="600" w:lineRule="exact"/>
        <w:rPr>
          <w:rFonts w:ascii="方正仿宋_GBK" w:eastAsia="方正仿宋_GBK"/>
          <w:sz w:val="32"/>
          <w:szCs w:val="32"/>
        </w:rPr>
      </w:pPr>
      <w:r>
        <w:rPr>
          <w:rStyle w:val="9"/>
          <w:rFonts w:hint="eastAsia" w:ascii="方正仿宋_GBK" w:eastAsia="方正仿宋_GBK"/>
          <w:sz w:val="32"/>
          <w:szCs w:val="32"/>
        </w:rPr>
        <w:t xml:space="preserve">    2.支出情况。</w:t>
      </w:r>
      <w:r>
        <w:rPr>
          <w:rFonts w:hint="eastAsia" w:ascii="方正仿宋_GBK" w:eastAsia="方正仿宋_GBK"/>
          <w:sz w:val="32"/>
          <w:szCs w:val="32"/>
        </w:rPr>
        <w:t>2020年度一般公共预算财政拨款支出337.52万元，较上年决算数增加4.60万元，增长1.2%。主要原因是增加社会保障项目。较年初预算数 增加47.06万元，增长13.9%。主要原因是增加项目支出。</w:t>
      </w:r>
    </w:p>
    <w:p>
      <w:pPr>
        <w:pStyle w:val="6"/>
        <w:shd w:val="clear" w:color="auto" w:fill="FFFFFF"/>
        <w:spacing w:before="0" w:beforeAutospacing="0" w:after="0" w:afterAutospacing="0" w:line="600" w:lineRule="exact"/>
        <w:rPr>
          <w:rFonts w:ascii="方正仿宋_GBK" w:eastAsia="方正仿宋_GBK"/>
          <w:sz w:val="32"/>
          <w:szCs w:val="32"/>
        </w:rPr>
      </w:pPr>
      <w:r>
        <w:rPr>
          <w:rStyle w:val="9"/>
          <w:rFonts w:hint="eastAsia" w:ascii="方正仿宋_GBK" w:eastAsia="方正仿宋_GBK"/>
          <w:sz w:val="32"/>
          <w:szCs w:val="32"/>
        </w:rPr>
        <w:t xml:space="preserve">    3.结转结余情况。</w:t>
      </w:r>
      <w:r>
        <w:rPr>
          <w:rFonts w:hint="eastAsia" w:ascii="方正仿宋_GBK" w:eastAsia="方正仿宋_GBK"/>
          <w:sz w:val="32"/>
          <w:szCs w:val="32"/>
        </w:rPr>
        <w:t>2020年度年末一般公共预算财政拨款结转和结余0.00万元，较上年决算数减少21.69万元，下降100%，主要原因是增加项目支出。</w:t>
      </w:r>
    </w:p>
    <w:p>
      <w:pPr>
        <w:pStyle w:val="6"/>
        <w:shd w:val="clear" w:color="auto" w:fill="FFFFFF"/>
        <w:spacing w:before="0" w:beforeAutospacing="0" w:after="0" w:afterAutospacing="0" w:line="600" w:lineRule="exact"/>
        <w:rPr>
          <w:rFonts w:ascii="方正仿宋_GBK" w:eastAsia="方正仿宋_GBK"/>
          <w:sz w:val="32"/>
          <w:szCs w:val="32"/>
        </w:rPr>
      </w:pPr>
      <w:r>
        <w:rPr>
          <w:rStyle w:val="9"/>
          <w:rFonts w:hint="eastAsia" w:ascii="方正仿宋_GBK" w:eastAsia="方正仿宋_GBK"/>
          <w:sz w:val="32"/>
          <w:szCs w:val="32"/>
        </w:rPr>
        <w:t xml:space="preserve">    4.比较情况</w:t>
      </w:r>
      <w:r>
        <w:rPr>
          <w:rFonts w:hint="eastAsia" w:ascii="方正仿宋_GBK" w:eastAsia="方正仿宋_GBK"/>
          <w:sz w:val="32"/>
          <w:szCs w:val="32"/>
        </w:rPr>
        <w:t>。本部门2020年度一般公共预算财政拨款支出主要用于以下几个方面：</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（1）一般公共服务支出257.54万元，占76.42%，较年初预算数增加20.99万元，增长7.6%，主要原因是</w:t>
      </w:r>
      <w:r>
        <w:rPr>
          <w:rFonts w:hint="eastAsia" w:ascii="方正仿宋_GBK" w:eastAsia="方正仿宋_GBK"/>
          <w:kern w:val="2"/>
          <w:sz w:val="32"/>
          <w:szCs w:val="32"/>
        </w:rPr>
        <w:t>增加社会保障费用</w:t>
      </w:r>
      <w:r>
        <w:rPr>
          <w:rFonts w:hint="eastAsia" w:ascii="方正仿宋_GBK" w:eastAsia="方正仿宋_GBK"/>
          <w:sz w:val="32"/>
          <w:szCs w:val="32"/>
        </w:rPr>
        <w:t>。</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（2）社会保障与就业支出75.94万元，占22.5%，较年初预算数增加25.44万元，增长71.7%，主要原因是根据最新工资政策的调整，使以此为基数核算的职工五险支出和职业年金支出随之增长和抚恤金。</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（3）卫生健康支出11.5万元，占3.4%，较年初预算数减少0.03万元，</w:t>
      </w:r>
      <w:r>
        <w:rPr>
          <w:rFonts w:hint="eastAsia" w:ascii="方正仿宋_GBK" w:eastAsia="方正仿宋_GBK"/>
          <w:color w:val="auto"/>
          <w:sz w:val="32"/>
          <w:szCs w:val="32"/>
        </w:rPr>
        <w:t>下降0.2%，主要原因是</w:t>
      </w:r>
      <w:r>
        <w:rPr>
          <w:rFonts w:hint="eastAsia" w:ascii="方正仿宋_GBK" w:eastAsia="方正仿宋_GBK"/>
          <w:color w:val="auto"/>
          <w:sz w:val="32"/>
          <w:szCs w:val="32"/>
          <w:lang w:eastAsia="zh-CN"/>
        </w:rPr>
        <w:t>部分</w:t>
      </w:r>
      <w:r>
        <w:rPr>
          <w:rFonts w:hint="eastAsia" w:ascii="方正仿宋_GBK" w:eastAsia="方正仿宋_GBK"/>
          <w:color w:val="auto"/>
          <w:sz w:val="32"/>
          <w:szCs w:val="32"/>
        </w:rPr>
        <w:t>医保</w:t>
      </w:r>
      <w:r>
        <w:rPr>
          <w:rFonts w:hint="eastAsia" w:ascii="方正仿宋_GBK" w:eastAsia="方正仿宋_GBK"/>
          <w:color w:val="auto"/>
          <w:sz w:val="32"/>
          <w:szCs w:val="32"/>
          <w:lang w:eastAsia="zh-CN"/>
        </w:rPr>
        <w:t>在非公中心缴纳，导致</w:t>
      </w:r>
      <w:r>
        <w:rPr>
          <w:rFonts w:hint="eastAsia" w:ascii="方正仿宋_GBK" w:eastAsia="方正仿宋_GBK"/>
          <w:color w:val="auto"/>
          <w:sz w:val="32"/>
          <w:szCs w:val="32"/>
        </w:rPr>
        <w:t>支出减少</w:t>
      </w:r>
      <w:r>
        <w:rPr>
          <w:rFonts w:hint="eastAsia" w:ascii="方正仿宋_GBK" w:eastAsia="方正仿宋_GBK"/>
          <w:sz w:val="32"/>
          <w:szCs w:val="32"/>
        </w:rPr>
        <w:t>。</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（4）住房保障支出12.89万元，占3.3%，较年初预算数增加0.66万元，增长5.4%，主要原因是工资增长，住房公积金支出随之增长</w:t>
      </w:r>
      <w:r>
        <w:rPr>
          <w:rFonts w:hint="eastAsia" w:ascii="方正仿宋_GBK" w:eastAsia="方正仿宋_GBK"/>
          <w:kern w:val="2"/>
          <w:sz w:val="32"/>
          <w:szCs w:val="32"/>
        </w:rPr>
        <w:t>。</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（四）一般公共预算财政拨款基本支出决算情况说明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 xml:space="preserve"> 2020年度一般公共财政拨款基本支出266.3万元。其中：人员经费246.21万元，较上年决算数增加41.39万元，增长17.2%，主要原因是</w:t>
      </w:r>
      <w:bookmarkStart w:id="0" w:name="_GoBack"/>
      <w:bookmarkEnd w:id="0"/>
      <w:r>
        <w:rPr>
          <w:rFonts w:hint="eastAsia" w:ascii="方正仿宋_GBK" w:hAnsi="宋体" w:eastAsia="方正仿宋_GBK" w:cs="宋体"/>
          <w:kern w:val="0"/>
          <w:sz w:val="32"/>
          <w:szCs w:val="32"/>
        </w:rPr>
        <w:t>在职人员增资、养老保险职业年金及人员变动增资引起收入增加</w:t>
      </w:r>
      <w:r>
        <w:rPr>
          <w:rFonts w:hint="eastAsia" w:ascii="方正仿宋_GBK" w:eastAsia="方正仿宋_GBK"/>
          <w:sz w:val="32"/>
          <w:szCs w:val="32"/>
        </w:rPr>
        <w:t>，人员经费用途主要包括基本工资、津贴补贴、奖金、社会保障缴费等。公用经费20.09万元，较上年决算数增加3.73万元，增长22.6%，主要原因是人员增加、物价上涨，公用经费用途主要包括邮电费、其他交通费等。</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（五）政府性基金预算收支决算情况说明</w:t>
      </w:r>
    </w:p>
    <w:p>
      <w:pPr>
        <w:spacing w:line="600" w:lineRule="exact"/>
        <w:ind w:firstLine="640" w:firstLineChars="200"/>
        <w:rPr>
          <w:rFonts w:ascii="方正仿宋_GBK" w:eastAsia="方正仿宋_GBK"/>
          <w:sz w:val="32"/>
          <w:szCs w:val="32"/>
        </w:rPr>
      </w:pPr>
      <w:r>
        <w:rPr>
          <w:rFonts w:hint="eastAsia" w:eastAsia="方正仿宋_GBK"/>
          <w:sz w:val="32"/>
          <w:szCs w:val="32"/>
        </w:rPr>
        <w:t xml:space="preserve">  </w:t>
      </w:r>
      <w:r>
        <w:rPr>
          <w:rFonts w:hint="eastAsia" w:ascii="方正仿宋_GBK" w:eastAsia="方正仿宋_GBK"/>
          <w:sz w:val="32"/>
          <w:szCs w:val="32"/>
        </w:rPr>
        <w:t>本部门2020年度无政府性基金预算财政拨款收支。</w:t>
      </w:r>
    </w:p>
    <w:p>
      <w:pPr>
        <w:pStyle w:val="6"/>
        <w:shd w:val="clear" w:color="auto" w:fill="FFFFFF"/>
        <w:spacing w:before="0" w:beforeAutospacing="0" w:after="0" w:afterAutospacing="0" w:line="600" w:lineRule="exact"/>
        <w:ind w:firstLine="643" w:firstLineChars="200"/>
        <w:rPr>
          <w:rStyle w:val="9"/>
          <w:rFonts w:ascii="方正仿宋_GBK" w:eastAsia="方正仿宋_GBK"/>
          <w:sz w:val="32"/>
          <w:szCs w:val="32"/>
        </w:rPr>
      </w:pPr>
      <w:r>
        <w:rPr>
          <w:rStyle w:val="9"/>
          <w:rFonts w:hint="eastAsia" w:ascii="方正楷体_GBK" w:eastAsia="方正楷体_GBK"/>
          <w:sz w:val="32"/>
          <w:szCs w:val="32"/>
        </w:rPr>
        <w:t>（六）国有资本经营预算财政拨款支决算情况说明</w:t>
      </w:r>
    </w:p>
    <w:p>
      <w:pPr>
        <w:pStyle w:val="6"/>
        <w:shd w:val="clear" w:color="auto" w:fill="FFFFFF"/>
        <w:spacing w:before="0" w:beforeAutospacing="0" w:after="0" w:afterAutospacing="0" w:line="600" w:lineRule="exact"/>
        <w:rPr>
          <w:rStyle w:val="9"/>
          <w:rFonts w:ascii="方正仿宋_GBK" w:eastAsia="方正仿宋_GBK"/>
          <w:b w:val="0"/>
          <w:sz w:val="32"/>
          <w:szCs w:val="32"/>
        </w:rPr>
      </w:pPr>
      <w:r>
        <w:rPr>
          <w:rStyle w:val="9"/>
          <w:rFonts w:hint="eastAsia" w:ascii="方正仿宋_GBK" w:eastAsia="方正仿宋_GBK"/>
          <w:b w:val="0"/>
          <w:sz w:val="32"/>
          <w:szCs w:val="32"/>
        </w:rPr>
        <w:t xml:space="preserve">     本部门2020年度无国有资本经营预算财政拨款支出</w:t>
      </w:r>
    </w:p>
    <w:p>
      <w:pPr>
        <w:pStyle w:val="6"/>
        <w:numPr>
          <w:ilvl w:val="0"/>
          <w:numId w:val="1"/>
        </w:numPr>
        <w:shd w:val="clear" w:color="auto" w:fill="FFFFFF"/>
        <w:spacing w:before="0" w:beforeAutospacing="0" w:after="0" w:afterAutospacing="0" w:line="600" w:lineRule="exact"/>
        <w:ind w:firstLine="643" w:firstLineChars="200"/>
        <w:rPr>
          <w:rStyle w:val="9"/>
          <w:rFonts w:ascii="方正黑体_GBK" w:eastAsia="方正黑体_GBK"/>
          <w:sz w:val="32"/>
          <w:szCs w:val="32"/>
        </w:rPr>
      </w:pPr>
      <w:r>
        <w:rPr>
          <w:rStyle w:val="9"/>
          <w:rFonts w:hint="eastAsia" w:ascii="方正黑体_GBK" w:eastAsia="方正黑体_GBK"/>
          <w:sz w:val="32"/>
          <w:szCs w:val="32"/>
        </w:rPr>
        <w:t>“三公”经费情况说明</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9"/>
          <w:rFonts w:hint="eastAsia" w:ascii="方正楷体_GBK" w:eastAsia="方正楷体_GBK"/>
          <w:sz w:val="32"/>
          <w:szCs w:val="32"/>
        </w:rPr>
        <w:t>（一）“三公”经费支出总体情况说明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2020年度“三公”经费支出共计0.07万元，较年初预算数减少1.13万元，下降94.2%，主要原因是招商引资公务接待减少。 较上年支出数减少0.61万元，下降89.7%，主要原因是在严格控制公务接待开支范围和开支标准情况。</w:t>
      </w:r>
    </w:p>
    <w:p>
      <w:pPr>
        <w:pStyle w:val="6"/>
        <w:shd w:val="clear" w:color="auto" w:fill="FFFFFF"/>
        <w:spacing w:before="0" w:beforeAutospacing="0" w:after="0" w:afterAutospacing="0" w:line="600" w:lineRule="exact"/>
        <w:rPr>
          <w:rStyle w:val="9"/>
          <w:rFonts w:ascii="方正楷体_GBK" w:eastAsia="方正楷体_GBK"/>
          <w:sz w:val="32"/>
          <w:szCs w:val="32"/>
        </w:rPr>
      </w:pPr>
      <w:r>
        <w:rPr>
          <w:rStyle w:val="9"/>
          <w:rFonts w:hint="eastAsia" w:ascii="方正楷体_GBK" w:eastAsia="方正楷体_GBK"/>
          <w:sz w:val="32"/>
          <w:szCs w:val="32"/>
        </w:rPr>
        <w:t xml:space="preserve">   （二）“三公”经费分项支出情况</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2020年度未发生因公出国（境）、公务车购置、公务车运行维护费支出，与上年一致。</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公务接待费0.07万元，主要用于接待国内其他省、市、区工商联（商会）到我单位调研商会建设、经济服务等工作发生的接待支出。费用支出较年初预算数减少1.13万元，减少94.2%，主要原因招商引资公务接待减少。较上年支出数减少0.61万元，减少89.7%，主要原因是在严格控制公务接待开支范围和开支标准情况。</w:t>
      </w:r>
    </w:p>
    <w:p>
      <w:pPr>
        <w:spacing w:line="600" w:lineRule="exact"/>
        <w:ind w:firstLine="643" w:firstLineChars="200"/>
        <w:rPr>
          <w:rStyle w:val="9"/>
          <w:rFonts w:ascii="方正楷体_GBK" w:hAnsi="宋体" w:eastAsia="方正楷体_GBK" w:cs="宋体"/>
          <w:kern w:val="0"/>
          <w:sz w:val="32"/>
          <w:szCs w:val="32"/>
        </w:rPr>
      </w:pPr>
      <w:r>
        <w:rPr>
          <w:rStyle w:val="9"/>
          <w:rFonts w:hint="eastAsia" w:ascii="方正楷体_GBK" w:hAnsi="宋体" w:eastAsia="方正楷体_GBK" w:cs="宋体"/>
          <w:kern w:val="0"/>
          <w:sz w:val="32"/>
          <w:szCs w:val="32"/>
        </w:rPr>
        <w:t>（三）“三公”经费实物量情况</w:t>
      </w:r>
    </w:p>
    <w:p>
      <w:pPr>
        <w:spacing w:line="600" w:lineRule="exact"/>
        <w:ind w:firstLine="640" w:firstLineChars="200"/>
        <w:rPr>
          <w:rFonts w:ascii="方正仿宋_GBK" w:eastAsia="方正仿宋_GBK"/>
          <w:bCs/>
          <w:sz w:val="32"/>
          <w:szCs w:val="32"/>
        </w:rPr>
      </w:pPr>
      <w:r>
        <w:rPr>
          <w:rFonts w:hint="eastAsia" w:ascii="方正仿宋_GBK" w:eastAsia="方正仿宋_GBK"/>
          <w:sz w:val="32"/>
          <w:szCs w:val="32"/>
        </w:rPr>
        <w:t>2020年度本部门因公出国（境）共计0个团组，0人；公务用车购置0辆，公务车保有量为0辆；国内公务接待2批次11人，国内外事接待0批次，0人，国（境）外公务接待0批次，0人。2020年本部门人均接待费63.64元，车均购置费0.00万元，车均维护费0.00万元。</w:t>
      </w:r>
    </w:p>
    <w:p>
      <w:pPr>
        <w:pStyle w:val="6"/>
        <w:shd w:val="clear" w:color="auto" w:fill="FFFFFF"/>
        <w:spacing w:before="0" w:beforeAutospacing="0" w:after="0" w:afterAutospacing="0" w:line="600" w:lineRule="exact"/>
        <w:ind w:firstLine="723" w:firstLineChars="200"/>
        <w:rPr>
          <w:rFonts w:ascii="方正黑体_GBK" w:eastAsia="方正黑体_GBK"/>
          <w:sz w:val="18"/>
          <w:szCs w:val="18"/>
        </w:rPr>
      </w:pPr>
      <w:r>
        <w:rPr>
          <w:rStyle w:val="9"/>
          <w:rFonts w:hint="eastAsia" w:ascii="方正黑体_GBK" w:eastAsia="方正黑体_GBK"/>
          <w:sz w:val="36"/>
          <w:szCs w:val="36"/>
        </w:rPr>
        <w:t>四、其他需要说明的事项</w:t>
      </w:r>
    </w:p>
    <w:p>
      <w:pPr>
        <w:spacing w:line="600" w:lineRule="exact"/>
        <w:ind w:firstLine="643" w:firstLineChars="200"/>
        <w:rPr>
          <w:rStyle w:val="9"/>
          <w:rFonts w:ascii="方正楷体_GBK" w:hAnsi="宋体" w:eastAsia="方正楷体_GBK" w:cs="宋体"/>
          <w:kern w:val="0"/>
          <w:sz w:val="32"/>
          <w:szCs w:val="32"/>
        </w:rPr>
      </w:pPr>
      <w:r>
        <w:rPr>
          <w:rStyle w:val="9"/>
          <w:rFonts w:hint="eastAsia" w:ascii="方正楷体_GBK" w:hAnsi="宋体" w:eastAsia="方正楷体_GBK" w:cs="宋体"/>
          <w:kern w:val="0"/>
          <w:sz w:val="32"/>
          <w:szCs w:val="32"/>
        </w:rPr>
        <w:t>（一）机关运行经费情况说明。</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 xml:space="preserve"> 2020年度本部门机关运行经费支出20.09万元，机关运行经费主要用于邮电费、工会经费、其他交通补助经费。</w:t>
      </w:r>
      <w:r>
        <w:rPr>
          <w:rFonts w:hint="eastAsia" w:ascii="方正仿宋_GBK" w:eastAsia="方正仿宋_GBK"/>
          <w:sz w:val="32"/>
          <w:szCs w:val="32"/>
        </w:rPr>
        <w:t>机关运行经费较上年决算数</w:t>
      </w:r>
      <w:r>
        <w:rPr>
          <w:rFonts w:hint="eastAsia" w:ascii="方正仿宋_GBK" w:eastAsia="方正仿宋_GBK"/>
          <w:kern w:val="0"/>
          <w:sz w:val="32"/>
          <w:szCs w:val="32"/>
        </w:rPr>
        <w:t>比2019年度增加3.7万元，增长22.6%，主要原因是办公费增加。</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 xml:space="preserve"> 本年度会议费支出1.24万元，较上年决算数减少3.97万元，下降76.2%，主要原因是精简会议、厉行节约。</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本年度培训费支出11.92万元，较上年决算数减少2.50万元，减少17.3%，主要原因是严格控制培训范围。</w:t>
      </w:r>
    </w:p>
    <w:p>
      <w:pPr>
        <w:pStyle w:val="6"/>
        <w:shd w:val="clear" w:color="auto" w:fill="FFFFFF"/>
        <w:spacing w:before="0" w:beforeAutospacing="0" w:after="0" w:afterAutospacing="0" w:line="600" w:lineRule="exact"/>
        <w:rPr>
          <w:rStyle w:val="9"/>
          <w:rFonts w:ascii="方正楷体_GBK" w:eastAsia="方正楷体_GBK"/>
          <w:sz w:val="32"/>
          <w:szCs w:val="32"/>
        </w:rPr>
      </w:pPr>
      <w:r>
        <w:rPr>
          <w:rStyle w:val="9"/>
          <w:rFonts w:hint="eastAsia" w:ascii="方正楷体_GBK" w:eastAsia="方正楷体_GBK"/>
          <w:sz w:val="32"/>
          <w:szCs w:val="32"/>
        </w:rPr>
        <w:t xml:space="preserve">    （二）国有资产占用情况说明</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截至2020年12月31日，本部门共有车辆0辆，单价50万元（含）以上通用设备0台（套），单价100万元（含）以上专用设备0台（套）。</w:t>
      </w:r>
    </w:p>
    <w:p>
      <w:pPr>
        <w:pStyle w:val="6"/>
        <w:shd w:val="clear" w:color="auto" w:fill="FFFFFF"/>
        <w:spacing w:before="0" w:beforeAutospacing="0" w:after="0" w:afterAutospacing="0" w:line="600" w:lineRule="exact"/>
        <w:rPr>
          <w:rFonts w:ascii="方正楷体_GBK" w:eastAsia="方正楷体_GBK"/>
          <w:sz w:val="32"/>
          <w:szCs w:val="32"/>
        </w:rPr>
      </w:pPr>
      <w:r>
        <w:rPr>
          <w:rStyle w:val="9"/>
          <w:rFonts w:hint="eastAsia" w:ascii="方正楷体_GBK" w:eastAsia="方正楷体_GBK"/>
          <w:sz w:val="32"/>
          <w:szCs w:val="32"/>
        </w:rPr>
        <w:t xml:space="preserve">    （三）政府采购支出情况说明</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2020年度本部门政府采购支出总额5.62万元，其中：政府采购货物支出5.62万元、政府采购工程支出0.00万元、政府采购服务支出0.00万元。授予中小企业合同金额5.62万元，占政府采购支出总额的100%，其中：授予小微企业合同金额 5.62万元，占政府采购支出总额的100%。主要用于采购集中采购电脑和空调，补充更换部分办公用品。</w:t>
      </w: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9"/>
          <w:rFonts w:hint="eastAsia" w:ascii="方正黑体_GBK" w:eastAsia="方正黑体_GBK"/>
          <w:sz w:val="32"/>
          <w:szCs w:val="32"/>
        </w:rPr>
        <w:t>五、预算绩效管理情况说明</w:t>
      </w:r>
    </w:p>
    <w:p>
      <w:pPr>
        <w:pStyle w:val="11"/>
        <w:tabs>
          <w:tab w:val="center" w:pos="4153"/>
          <w:tab w:val="left" w:pos="7275"/>
        </w:tabs>
        <w:spacing w:line="600" w:lineRule="exact"/>
        <w:ind w:firstLine="643"/>
        <w:rPr>
          <w:rFonts w:ascii="方正楷体_GBK" w:eastAsia="方正楷体_GBK"/>
          <w:b/>
          <w:bCs/>
          <w:kern w:val="0"/>
          <w:sz w:val="32"/>
          <w:szCs w:val="32"/>
        </w:rPr>
      </w:pPr>
      <w:r>
        <w:rPr>
          <w:rFonts w:hint="eastAsia" w:ascii="方正楷体_GBK" w:eastAsia="方正楷体_GBK"/>
          <w:b/>
          <w:bCs/>
          <w:kern w:val="0"/>
          <w:sz w:val="32"/>
          <w:szCs w:val="32"/>
        </w:rPr>
        <w:t>（一）预算绩效管理工作开展情况。</w:t>
      </w:r>
    </w:p>
    <w:p>
      <w:pPr>
        <w:pStyle w:val="11"/>
        <w:tabs>
          <w:tab w:val="center" w:pos="4153"/>
          <w:tab w:val="left" w:pos="7275"/>
        </w:tabs>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根据预算绩效管理要求，我会对6个项目开展了绩效自评，涉及资金83.54万元，其中，以填报目标自评表形式开展自评1项，涉及资金21.65万元。从评价情况来看，执行进度都达到了100%。</w:t>
      </w:r>
    </w:p>
    <w:p>
      <w:pPr>
        <w:pStyle w:val="11"/>
        <w:tabs>
          <w:tab w:val="center" w:pos="4153"/>
          <w:tab w:val="left" w:pos="7275"/>
        </w:tabs>
        <w:spacing w:line="600" w:lineRule="exact"/>
        <w:ind w:firstLine="643"/>
        <w:rPr>
          <w:rFonts w:ascii="方正仿宋_GBK" w:eastAsia="方正仿宋_GBK"/>
          <w:b/>
          <w:bCs/>
          <w:kern w:val="0"/>
          <w:sz w:val="32"/>
          <w:szCs w:val="32"/>
        </w:rPr>
      </w:pPr>
      <w:r>
        <w:rPr>
          <w:rFonts w:hint="eastAsia" w:ascii="方正楷体_GBK" w:eastAsia="方正楷体_GBK"/>
          <w:b/>
          <w:bCs/>
          <w:kern w:val="0"/>
          <w:sz w:val="32"/>
          <w:szCs w:val="32"/>
        </w:rPr>
        <w:t>（二）绩效自评结果</w:t>
      </w:r>
      <w:r>
        <w:rPr>
          <w:rFonts w:hint="eastAsia" w:ascii="方正仿宋_GBK" w:eastAsia="方正仿宋_GBK"/>
          <w:b/>
          <w:bCs/>
          <w:kern w:val="0"/>
          <w:sz w:val="32"/>
          <w:szCs w:val="32"/>
        </w:rPr>
        <w:t>。</w:t>
      </w:r>
    </w:p>
    <w:p>
      <w:pPr>
        <w:pStyle w:val="11"/>
        <w:tabs>
          <w:tab w:val="center" w:pos="4153"/>
          <w:tab w:val="left" w:pos="7275"/>
        </w:tabs>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为会员企业的提供融资服务、法律维权、咨询、调查研究、学习考察等经济服务服务，引导会员企业转变发展方式，遵守国家法律法规、规范经营、照章纳税、维护市场经济秩序，加强政企沟通，反映企业诉求，帮助企业解决困难和问题</w:t>
      </w:r>
    </w:p>
    <w:tbl>
      <w:tblPr>
        <w:tblStyle w:val="7"/>
        <w:tblW w:w="9589" w:type="dxa"/>
        <w:tblInd w:w="-4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06"/>
        <w:gridCol w:w="1692"/>
        <w:gridCol w:w="1478"/>
        <w:gridCol w:w="260"/>
        <w:gridCol w:w="260"/>
        <w:gridCol w:w="1063"/>
        <w:gridCol w:w="240"/>
        <w:gridCol w:w="1352"/>
        <w:gridCol w:w="1097"/>
        <w:gridCol w:w="9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9589" w:type="dxa"/>
            <w:gridSpan w:val="10"/>
            <w:tcBorders>
              <w:top w:val="nil"/>
              <w:left w:val="nil"/>
              <w:bottom w:val="nil"/>
              <w:right w:val="nil"/>
            </w:tcBorders>
            <w:vAlign w:val="center"/>
          </w:tcPr>
          <w:p>
            <w:pPr>
              <w:widowControl/>
              <w:jc w:val="center"/>
              <w:rPr>
                <w:rFonts w:ascii="方正仿宋_GBK" w:hAnsi="宋体" w:eastAsia="方正仿宋_GBK" w:cs="宋体"/>
                <w:b/>
                <w:bCs/>
                <w:kern w:val="0"/>
                <w:sz w:val="32"/>
                <w:szCs w:val="32"/>
              </w:rPr>
            </w:pPr>
            <w:r>
              <w:rPr>
                <w:rFonts w:hint="eastAsia" w:ascii="方正仿宋_GBK" w:hAnsi="宋体" w:eastAsia="方正仿宋_GBK" w:cs="宋体"/>
                <w:b/>
                <w:bCs/>
                <w:kern w:val="0"/>
                <w:sz w:val="32"/>
                <w:szCs w:val="32"/>
              </w:rPr>
              <w:t xml:space="preserve">2020年度区级预算单位项目支出绩效自评表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376" w:type="dxa"/>
            <w:gridSpan w:val="3"/>
            <w:tcBorders>
              <w:top w:val="nil"/>
              <w:left w:val="nil"/>
              <w:bottom w:val="single" w:color="auto" w:sz="4" w:space="0"/>
              <w:right w:val="nil"/>
            </w:tcBorders>
            <w:vAlign w:val="center"/>
          </w:tcPr>
          <w:p>
            <w:pPr>
              <w:widowControl/>
              <w:jc w:val="left"/>
              <w:rPr>
                <w:rFonts w:ascii="宋体" w:hAnsi="宋体" w:cs="宋体"/>
                <w:b/>
                <w:bCs/>
                <w:kern w:val="0"/>
                <w:sz w:val="20"/>
                <w:szCs w:val="20"/>
              </w:rPr>
            </w:pPr>
          </w:p>
        </w:tc>
        <w:tc>
          <w:tcPr>
            <w:tcW w:w="260" w:type="dxa"/>
            <w:tcBorders>
              <w:top w:val="nil"/>
              <w:left w:val="nil"/>
              <w:bottom w:val="single" w:color="auto" w:sz="4" w:space="0"/>
              <w:right w:val="nil"/>
            </w:tcBorders>
            <w:vAlign w:val="center"/>
          </w:tcPr>
          <w:p>
            <w:pPr>
              <w:widowControl/>
              <w:jc w:val="center"/>
              <w:rPr>
                <w:rFonts w:ascii="宋体" w:hAnsi="宋体" w:cs="宋体"/>
                <w:b/>
                <w:bCs/>
                <w:kern w:val="0"/>
                <w:sz w:val="32"/>
                <w:szCs w:val="32"/>
              </w:rPr>
            </w:pPr>
          </w:p>
        </w:tc>
        <w:tc>
          <w:tcPr>
            <w:tcW w:w="260" w:type="dxa"/>
            <w:tcBorders>
              <w:top w:val="nil"/>
              <w:left w:val="nil"/>
              <w:bottom w:val="single" w:color="auto" w:sz="4" w:space="0"/>
              <w:right w:val="nil"/>
            </w:tcBorders>
            <w:vAlign w:val="center"/>
          </w:tcPr>
          <w:p>
            <w:pPr>
              <w:widowControl/>
              <w:jc w:val="center"/>
              <w:rPr>
                <w:rFonts w:ascii="宋体" w:hAnsi="宋体" w:cs="宋体"/>
                <w:b/>
                <w:bCs/>
                <w:kern w:val="0"/>
                <w:sz w:val="32"/>
                <w:szCs w:val="32"/>
              </w:rPr>
            </w:pPr>
          </w:p>
        </w:tc>
        <w:tc>
          <w:tcPr>
            <w:tcW w:w="1063" w:type="dxa"/>
            <w:tcBorders>
              <w:top w:val="nil"/>
              <w:left w:val="nil"/>
              <w:bottom w:val="nil"/>
              <w:right w:val="nil"/>
            </w:tcBorders>
            <w:vAlign w:val="center"/>
          </w:tcPr>
          <w:p>
            <w:pPr>
              <w:widowControl/>
              <w:jc w:val="center"/>
              <w:rPr>
                <w:rFonts w:ascii="宋体" w:hAnsi="宋体" w:cs="宋体"/>
                <w:b/>
                <w:bCs/>
                <w:kern w:val="0"/>
                <w:sz w:val="32"/>
                <w:szCs w:val="32"/>
              </w:rPr>
            </w:pPr>
          </w:p>
        </w:tc>
        <w:tc>
          <w:tcPr>
            <w:tcW w:w="240" w:type="dxa"/>
            <w:tcBorders>
              <w:top w:val="nil"/>
              <w:left w:val="nil"/>
              <w:bottom w:val="nil"/>
              <w:right w:val="nil"/>
            </w:tcBorders>
            <w:vAlign w:val="center"/>
          </w:tcPr>
          <w:p>
            <w:pPr>
              <w:widowControl/>
              <w:jc w:val="center"/>
              <w:rPr>
                <w:rFonts w:ascii="宋体" w:hAnsi="宋体" w:cs="宋体"/>
                <w:b/>
                <w:bCs/>
                <w:kern w:val="0"/>
                <w:sz w:val="32"/>
                <w:szCs w:val="32"/>
              </w:rPr>
            </w:pPr>
          </w:p>
        </w:tc>
        <w:tc>
          <w:tcPr>
            <w:tcW w:w="1352" w:type="dxa"/>
            <w:tcBorders>
              <w:top w:val="nil"/>
              <w:left w:val="nil"/>
              <w:bottom w:val="nil"/>
              <w:right w:val="nil"/>
            </w:tcBorders>
            <w:vAlign w:val="center"/>
          </w:tcPr>
          <w:p>
            <w:pPr>
              <w:widowControl/>
              <w:jc w:val="center"/>
              <w:rPr>
                <w:rFonts w:ascii="宋体" w:hAnsi="宋体" w:cs="宋体"/>
                <w:b/>
                <w:bCs/>
                <w:kern w:val="0"/>
                <w:sz w:val="32"/>
                <w:szCs w:val="32"/>
              </w:rPr>
            </w:pPr>
          </w:p>
        </w:tc>
        <w:tc>
          <w:tcPr>
            <w:tcW w:w="1097" w:type="dxa"/>
            <w:tcBorders>
              <w:top w:val="nil"/>
              <w:left w:val="nil"/>
              <w:bottom w:val="nil"/>
              <w:right w:val="nil"/>
            </w:tcBorders>
            <w:vAlign w:val="center"/>
          </w:tcPr>
          <w:p>
            <w:pPr>
              <w:widowControl/>
              <w:jc w:val="center"/>
              <w:rPr>
                <w:rFonts w:ascii="宋体" w:hAnsi="宋体" w:cs="宋体"/>
                <w:b/>
                <w:bCs/>
                <w:kern w:val="0"/>
                <w:sz w:val="32"/>
                <w:szCs w:val="32"/>
              </w:rPr>
            </w:pPr>
          </w:p>
        </w:tc>
        <w:tc>
          <w:tcPr>
            <w:tcW w:w="941" w:type="dxa"/>
            <w:tcBorders>
              <w:top w:val="nil"/>
              <w:left w:val="nil"/>
              <w:bottom w:val="nil"/>
              <w:right w:val="nil"/>
            </w:tcBorders>
            <w:vAlign w:val="center"/>
          </w:tcPr>
          <w:p>
            <w:pPr>
              <w:widowControl/>
              <w:jc w:val="center"/>
              <w:rPr>
                <w:rFonts w:ascii="宋体" w:hAnsi="宋体" w:cs="宋体"/>
                <w:b/>
                <w:bCs/>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项目名称</w:t>
            </w:r>
          </w:p>
        </w:tc>
        <w:tc>
          <w:tcPr>
            <w:tcW w:w="3690" w:type="dxa"/>
            <w:gridSpan w:val="4"/>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经济服务专项经费</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自评总分</w:t>
            </w:r>
            <w:r>
              <w:rPr>
                <w:rFonts w:hint="eastAsia" w:ascii="方正仿宋_GBK" w:hAnsi="宋体" w:eastAsia="方正仿宋_GBK" w:cs="宋体"/>
                <w:kern w:val="0"/>
                <w:szCs w:val="21"/>
              </w:rPr>
              <w:br w:type="textWrapping"/>
            </w:r>
            <w:r>
              <w:rPr>
                <w:rFonts w:hint="eastAsia" w:ascii="方正仿宋_GBK" w:hAnsi="宋体" w:eastAsia="方正仿宋_GBK" w:cs="宋体"/>
                <w:kern w:val="0"/>
                <w:szCs w:val="21"/>
              </w:rPr>
              <w:t>（分)</w:t>
            </w:r>
          </w:p>
        </w:tc>
        <w:tc>
          <w:tcPr>
            <w:tcW w:w="363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业务主管部门</w:t>
            </w:r>
          </w:p>
        </w:tc>
        <w:tc>
          <w:tcPr>
            <w:tcW w:w="369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綦江区工商联</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联系人</w:t>
            </w:r>
            <w:r>
              <w:rPr>
                <w:rFonts w:hint="eastAsia" w:ascii="方正仿宋_GBK" w:hAnsi="宋体" w:eastAsia="方正仿宋_GBK" w:cs="宋体"/>
                <w:kern w:val="0"/>
                <w:szCs w:val="21"/>
              </w:rPr>
              <w:br w:type="textWrapping"/>
            </w:r>
            <w:r>
              <w:rPr>
                <w:rFonts w:hint="eastAsia" w:ascii="方正仿宋_GBK" w:hAnsi="宋体" w:eastAsia="方正仿宋_GBK" w:cs="宋体"/>
                <w:kern w:val="0"/>
                <w:szCs w:val="21"/>
              </w:rPr>
              <w:t>及电话</w:t>
            </w:r>
          </w:p>
        </w:tc>
        <w:tc>
          <w:tcPr>
            <w:tcW w:w="363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余瑜48880826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项目资金（万元）</w:t>
            </w:r>
          </w:p>
        </w:tc>
        <w:tc>
          <w:tcPr>
            <w:tcW w:w="1692"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998" w:type="dxa"/>
            <w:gridSpan w:val="3"/>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全年预算数（A）</w:t>
            </w:r>
          </w:p>
        </w:tc>
        <w:tc>
          <w:tcPr>
            <w:tcW w:w="1303" w:type="dxa"/>
            <w:gridSpan w:val="2"/>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全年执行数（B）</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执行率%（B/A）</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执行率得分（分）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r>
              <w:rPr>
                <w:rFonts w:hint="eastAsia" w:ascii="方正仿宋_GBK" w:hAnsi="宋体" w:eastAsia="方正仿宋_GBK" w:cs="宋体"/>
                <w:kern w:val="0"/>
                <w:szCs w:val="21"/>
              </w:rPr>
              <w:t>年度资金总额：</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21.65</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21.65</w:t>
            </w:r>
          </w:p>
        </w:tc>
        <w:tc>
          <w:tcPr>
            <w:tcW w:w="1352"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其中：中央补助</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市级补助</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区级资金</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21.65</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21.65</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其他资金</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06" w:type="dxa"/>
            <w:vMerge w:val="restart"/>
            <w:tcBorders>
              <w:top w:val="nil"/>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年度总体目标</w:t>
            </w:r>
          </w:p>
        </w:tc>
        <w:tc>
          <w:tcPr>
            <w:tcW w:w="369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年初设定目标</w:t>
            </w:r>
          </w:p>
        </w:tc>
        <w:tc>
          <w:tcPr>
            <w:tcW w:w="4693" w:type="dxa"/>
            <w:gridSpan w:val="5"/>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34" w:hRule="atLeast"/>
        </w:trPr>
        <w:tc>
          <w:tcPr>
            <w:tcW w:w="1206" w:type="dxa"/>
            <w:vMerge w:val="continue"/>
            <w:tcBorders>
              <w:top w:val="nil"/>
              <w:left w:val="single" w:color="auto" w:sz="4" w:space="0"/>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369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收集调研民营经济发展的堵点、痛点、难点问题，推动问题解决。常态化“政银企”对接机制，每年开展2次银企对接的融资服务工作座谈交流会。加强形势政策教育，组织企业家到高校等开展理想信念教育培训1场次；充分发挥工商联和商会的优势作用，积极参与营商环境评价，开展专题调研5项以上；引导民营经济人士依法理性反映诉求、维护权益，及时有效化解民营企业民商事纠纷；完善“綦商”微信公众号服务功能，推动网上工商联建设。编印《綦商》会刊，宣传民意经济发展情况。</w:t>
            </w:r>
          </w:p>
        </w:tc>
        <w:tc>
          <w:tcPr>
            <w:tcW w:w="4693" w:type="dxa"/>
            <w:gridSpan w:val="5"/>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收集调研民营经济发展的堵点、痛点、难点问题，积极推动问题解决。已建立常态化“政银企”对接机制，全年开展2次银企对接的融资服务工作座谈交流会。组织企业家到高校等开展理想信念教育培训1场次；充分发挥工商联和商会的优势作用，积极参与营商环境评价，开展专题调研8项以上；引导民营经济人士依法理性反映诉求、维护权益，及时有效化解民营企业民商事纠纷；完善“綦商”微信公众号服务功能，推动网上工商联建设。编印《綦商》会刊3000册，宣传民意经济发展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1206" w:type="dxa"/>
            <w:vMerge w:val="restart"/>
            <w:tcBorders>
              <w:top w:val="nil"/>
              <w:left w:val="single" w:color="auto" w:sz="4" w:space="0"/>
              <w:right w:val="single" w:color="auto" w:sz="4" w:space="0"/>
            </w:tcBorders>
            <w:textDirection w:val="tbRlV"/>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绩效指标</w:t>
            </w: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指标名称</w:t>
            </w:r>
            <w:r>
              <w:rPr>
                <w:rFonts w:hint="eastAsia" w:ascii="方正仿宋_GBK" w:hAnsi="宋体" w:eastAsia="方正仿宋_GBK" w:cs="宋体"/>
                <w:kern w:val="0"/>
                <w:szCs w:val="21"/>
              </w:rPr>
              <w:br w:type="textWrapping"/>
            </w:r>
            <w:r>
              <w:rPr>
                <w:rFonts w:hint="eastAsia" w:ascii="方正仿宋_GBK" w:hAnsi="宋体" w:eastAsia="方正仿宋_GBK" w:cs="宋体"/>
                <w:kern w:val="0"/>
                <w:szCs w:val="21"/>
              </w:rPr>
              <w:t>（三级指标）</w:t>
            </w: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计量单位</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指标权重</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指标值</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全年完成值</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得分系数（%）</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指标得分</w:t>
            </w:r>
            <w:r>
              <w:rPr>
                <w:rFonts w:hint="eastAsia" w:ascii="方正仿宋_GBK" w:hAnsi="宋体" w:eastAsia="方正仿宋_GBK" w:cs="宋体"/>
                <w:kern w:val="0"/>
                <w:szCs w:val="21"/>
              </w:rPr>
              <w:br w:type="textWrapping"/>
            </w:r>
            <w:r>
              <w:rPr>
                <w:rFonts w:hint="eastAsia" w:ascii="方正仿宋_GBK" w:hAnsi="宋体" w:eastAsia="方正仿宋_GBK" w:cs="宋体"/>
                <w:kern w:val="0"/>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1"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开展教育培训</w:t>
            </w:r>
          </w:p>
          <w:p>
            <w:pPr>
              <w:widowControl/>
              <w:spacing w:line="600" w:lineRule="exact"/>
              <w:jc w:val="center"/>
              <w:rPr>
                <w:rFonts w:ascii="方正仿宋_GBK" w:hAnsi="宋体" w:eastAsia="方正仿宋_GBK" w:cs="宋体"/>
                <w:kern w:val="0"/>
                <w:szCs w:val="21"/>
              </w:rPr>
            </w:pP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人</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20</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8"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编印綦商会刊</w:t>
            </w:r>
          </w:p>
          <w:p>
            <w:pPr>
              <w:widowControl/>
              <w:spacing w:line="600" w:lineRule="exact"/>
              <w:jc w:val="center"/>
              <w:rPr>
                <w:rFonts w:ascii="方正仿宋_GBK" w:hAnsi="宋体" w:eastAsia="方正仿宋_GBK" w:cs="宋体"/>
                <w:kern w:val="0"/>
                <w:szCs w:val="21"/>
              </w:rPr>
            </w:pP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册</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15</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3000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3000</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专题调研</w:t>
            </w:r>
          </w:p>
          <w:p>
            <w:pPr>
              <w:widowControl/>
              <w:spacing w:line="600" w:lineRule="exact"/>
              <w:jc w:val="center"/>
              <w:rPr>
                <w:rFonts w:ascii="方正仿宋_GBK" w:hAnsi="宋体" w:eastAsia="方正仿宋_GBK" w:cs="宋体"/>
                <w:kern w:val="0"/>
                <w:szCs w:val="21"/>
              </w:rPr>
            </w:pP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项</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8</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8</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2"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法律、融资服务覆盖率</w:t>
            </w: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90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90</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2"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支出控制预算内</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097"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4"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服务民营企业</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家</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2000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2100</w:t>
            </w:r>
          </w:p>
        </w:tc>
        <w:tc>
          <w:tcPr>
            <w:tcW w:w="1097"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会员企业满意度</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90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90</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2"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执行内控制度决策偏差率（%）</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支付安全性合法合规率（%）</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4"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按照序时进度支付率（%）</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4"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执行业务内控流程偏差（%）</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206" w:type="dxa"/>
            <w:tcBorders>
              <w:top w:val="nil"/>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未完成绩效目标或偏离较多的原因、改进措施及其他说明</w:t>
            </w:r>
          </w:p>
        </w:tc>
        <w:tc>
          <w:tcPr>
            <w:tcW w:w="8383" w:type="dxa"/>
            <w:gridSpan w:val="9"/>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p>
        </w:tc>
      </w:tr>
    </w:tbl>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9"/>
          <w:rFonts w:hint="eastAsia" w:ascii="方正黑体_GBK" w:eastAsia="方正黑体_GBK"/>
          <w:sz w:val="32"/>
          <w:szCs w:val="32"/>
        </w:rPr>
        <w:t>六、专业名词解释</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（一）财政拨款收入</w:t>
      </w:r>
      <w:r>
        <w:rPr>
          <w:rFonts w:hint="eastAsia" w:ascii="方正仿宋_GBK" w:eastAsia="方正仿宋_GBK"/>
          <w:sz w:val="32"/>
          <w:szCs w:val="32"/>
        </w:rPr>
        <w:t>：指本年度从本级财政部门取得的财政拨款，包括一般公共预算财政拨款和政府性基金预算财政拨款。</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（二）事业收入</w:t>
      </w:r>
      <w:r>
        <w:rPr>
          <w:rFonts w:hint="eastAsia" w:ascii="方正仿宋_GBK" w:eastAsia="方正仿宋_GBK"/>
          <w:sz w:val="32"/>
          <w:szCs w:val="32"/>
        </w:rPr>
        <w:t>：指事业单位开展专业业务活动及其辅助活动取得的现金流入；事业单位收到的财政专户实际核拨的教育收费等资金在此反映。</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（三）经营收入</w:t>
      </w:r>
      <w:r>
        <w:rPr>
          <w:rFonts w:hint="eastAsia" w:ascii="方正仿宋_GBK" w:eastAsia="方正仿宋_GBK"/>
          <w:sz w:val="32"/>
          <w:szCs w:val="32"/>
        </w:rPr>
        <w:t>：指事业单位在专业业务活动及其辅助活动之外开展非独立核算经营活动取得的现金流入。</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（四）其他收入</w:t>
      </w:r>
      <w:r>
        <w:rPr>
          <w:rFonts w:hint="eastAsia" w:ascii="方正仿宋_GBK"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（五）使用非财政拨款结余</w:t>
      </w:r>
      <w:r>
        <w:rPr>
          <w:rFonts w:hint="eastAsia" w:ascii="方正仿宋_GBK" w:eastAsia="方正仿宋_GBK"/>
          <w:sz w:val="32"/>
          <w:szCs w:val="32"/>
        </w:rPr>
        <w:t>：指单位在当年的“财政拨款收入”、“事业收入”、“经营收入”、“其他收入”等不足以安排当年支出的情况下，使用以前年度积累的非财政拨款结余弥补本年度收支缺口的资金。</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（六）年初结转和结余</w:t>
      </w:r>
      <w:r>
        <w:rPr>
          <w:rFonts w:hint="eastAsia" w:ascii="方正仿宋_GBK" w:eastAsia="方正仿宋_GBK"/>
          <w:sz w:val="32"/>
          <w:szCs w:val="32"/>
        </w:rPr>
        <w:t>：指单位上年结转本年使用的基本支出结转、项目支出结转和结余、经营结余。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（七）结余分配</w:t>
      </w:r>
      <w:r>
        <w:rPr>
          <w:rFonts w:hint="eastAsia" w:ascii="方正仿宋_GBK" w:eastAsia="方正仿宋_GBK"/>
          <w:sz w:val="32"/>
          <w:szCs w:val="32"/>
        </w:rPr>
        <w:t>：指单位按照国家有关规定，缴纳所得税、提取专用基金、转入非财政拨款结余等当年结余的分配情况。</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（八）年末结转和结余</w:t>
      </w:r>
      <w:r>
        <w:rPr>
          <w:rFonts w:hint="eastAsia" w:ascii="方正仿宋_GBK" w:eastAsia="方正仿宋_GBK"/>
          <w:sz w:val="32"/>
          <w:szCs w:val="32"/>
        </w:rPr>
        <w:t>：指单位结转下年的基本支出结转、项目支出结转和结余、经营结余。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（九）基本支出</w:t>
      </w:r>
      <w:r>
        <w:rPr>
          <w:rFonts w:hint="eastAsia" w:ascii="方正仿宋_GBK"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（十）项目支出</w:t>
      </w:r>
      <w:r>
        <w:rPr>
          <w:rFonts w:hint="eastAsia" w:ascii="方正仿宋_GBK" w:eastAsia="方正仿宋_GBK"/>
          <w:sz w:val="32"/>
          <w:szCs w:val="32"/>
        </w:rPr>
        <w:t>：指在基本支出之外为完成特定行政任务和事业发展目标所发生的支出。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（十一）经营支出</w:t>
      </w:r>
      <w:r>
        <w:rPr>
          <w:rFonts w:hint="eastAsia" w:ascii="方正仿宋_GBK" w:eastAsia="方正仿宋_GBK"/>
          <w:sz w:val="32"/>
          <w:szCs w:val="32"/>
        </w:rPr>
        <w:t>：指事业单位在专业业务活动及其辅助活动之外开展非独立核算经营活动发生的支出。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（十二）“三公”经费</w:t>
      </w:r>
      <w:r>
        <w:rPr>
          <w:rFonts w:hint="eastAsia" w:ascii="方正仿宋_GBK"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（十三）机关运行经费</w:t>
      </w:r>
      <w:r>
        <w:rPr>
          <w:rFonts w:hint="eastAsia" w:ascii="方正仿宋_GBK"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（十四）工资福利支出（支出经济分类科目类级）</w:t>
      </w:r>
      <w:r>
        <w:rPr>
          <w:rFonts w:hint="eastAsia" w:ascii="方正仿宋_GBK" w:eastAsia="方正仿宋_GBK"/>
          <w:sz w:val="32"/>
          <w:szCs w:val="32"/>
        </w:rPr>
        <w:t>：反映单位开支的在职职工和编制外长期聘用人员的各类劳动报酬，以及为上述人员缴纳的各项社会保险费等。</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（十五）商品和服务支出（支出经济分类科目类级）</w:t>
      </w:r>
      <w:r>
        <w:rPr>
          <w:rFonts w:hint="eastAsia" w:ascii="方正仿宋_GBK" w:eastAsia="方正仿宋_GBK"/>
          <w:sz w:val="32"/>
          <w:szCs w:val="32"/>
        </w:rPr>
        <w:t>：反映单位购买商品和服务的支出（不包括用于购置固定资产的支出、战略性和应急储备支出）。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（十六）对个人和家庭的补助（支出经济分类科目类级）</w:t>
      </w:r>
      <w:r>
        <w:rPr>
          <w:rFonts w:hint="eastAsia" w:ascii="方正仿宋_GBK" w:eastAsia="方正仿宋_GBK"/>
          <w:sz w:val="32"/>
          <w:szCs w:val="32"/>
        </w:rPr>
        <w:t>：反映用于对个人和家庭的补助支出。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9"/>
          <w:rFonts w:hint="eastAsia" w:ascii="方正仿宋_GBK" w:eastAsia="方正仿宋_GBK"/>
          <w:sz w:val="32"/>
          <w:szCs w:val="32"/>
        </w:rPr>
        <w:t>（十七）其他资本性支出（支出经济分类科目类级）</w:t>
      </w:r>
      <w:r>
        <w:rPr>
          <w:rFonts w:hint="eastAsia" w:ascii="方正仿宋_GBK"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9"/>
          <w:rFonts w:hint="eastAsia" w:ascii="方正黑体_GBK" w:eastAsia="方正黑体_GBK"/>
          <w:sz w:val="32"/>
          <w:szCs w:val="32"/>
        </w:rPr>
        <w:t>七、决算公开联系方式及信息反馈渠道</w:t>
      </w:r>
    </w:p>
    <w:p>
      <w:pPr>
        <w:pStyle w:val="6"/>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本单位决算公开信息反馈和联系方式：023-48662765。</w:t>
      </w:r>
    </w:p>
    <w:p>
      <w:pPr>
        <w:spacing w:line="600" w:lineRule="exact"/>
        <w:rPr>
          <w:rFonts w:ascii="方正仿宋_GBK" w:eastAsia="方正仿宋_GBK"/>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B8AFC"/>
    <w:multiLevelType w:val="singleLevel"/>
    <w:tmpl w:val="0DEB8AF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5D379F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semiHidden/>
    <w:unhideWhenUsed/>
    <w:uiPriority w:val="0"/>
    <w:pPr>
      <w:jc w:val="left"/>
    </w:pPr>
  </w:style>
  <w:style w:type="paragraph" w:styleId="3">
    <w:name w:val="Balloon Text"/>
    <w:basedOn w:val="1"/>
    <w:link w:val="14"/>
    <w:semiHidden/>
    <w:unhideWhenUsed/>
    <w:uiPriority w:val="0"/>
    <w:rPr>
      <w:sz w:val="18"/>
      <w:szCs w:val="18"/>
    </w:rPr>
  </w:style>
  <w:style w:type="paragraph" w:styleId="4">
    <w:name w:val="footer"/>
    <w:basedOn w:val="1"/>
    <w:link w:val="13"/>
    <w:semiHidden/>
    <w:unhideWhenUsed/>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9">
    <w:name w:val="Strong"/>
    <w:basedOn w:val="8"/>
    <w:qFormat/>
    <w:uiPriority w:val="22"/>
    <w:rPr>
      <w:b/>
      <w:bCs/>
    </w:rPr>
  </w:style>
  <w:style w:type="character" w:styleId="10">
    <w:name w:val="annotation reference"/>
    <w:basedOn w:val="8"/>
    <w:semiHidden/>
    <w:unhideWhenUsed/>
    <w:uiPriority w:val="0"/>
    <w:rPr>
      <w:sz w:val="21"/>
      <w:szCs w:val="21"/>
    </w:rPr>
  </w:style>
  <w:style w:type="paragraph" w:customStyle="1" w:styleId="11">
    <w:name w:val="列出段落1"/>
    <w:basedOn w:val="1"/>
    <w:qFormat/>
    <w:uiPriority w:val="34"/>
    <w:pPr>
      <w:ind w:firstLine="420" w:firstLineChars="200"/>
    </w:pPr>
    <w:rPr>
      <w:rFonts w:ascii="Times New Roman" w:hAnsi="Times New Roman"/>
    </w:rPr>
  </w:style>
  <w:style w:type="character" w:customStyle="1" w:styleId="12">
    <w:name w:val="页眉 Char"/>
    <w:basedOn w:val="8"/>
    <w:link w:val="5"/>
    <w:semiHidden/>
    <w:qFormat/>
    <w:uiPriority w:val="99"/>
    <w:rPr>
      <w:sz w:val="18"/>
      <w:szCs w:val="18"/>
    </w:rPr>
  </w:style>
  <w:style w:type="character" w:customStyle="1" w:styleId="13">
    <w:name w:val="页脚 Char"/>
    <w:basedOn w:val="8"/>
    <w:link w:val="4"/>
    <w:semiHidden/>
    <w:qFormat/>
    <w:uiPriority w:val="99"/>
    <w:rPr>
      <w:sz w:val="18"/>
      <w:szCs w:val="18"/>
    </w:rPr>
  </w:style>
  <w:style w:type="character" w:customStyle="1" w:styleId="14">
    <w:name w:val="批注框文本 Char"/>
    <w:basedOn w:val="8"/>
    <w:link w:val="3"/>
    <w:semiHidden/>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922</Words>
  <Characters>5258</Characters>
  <Lines>43</Lines>
  <Paragraphs>12</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2021-10-14T07:24:00Z</dcterms:created>
  <dc:creator>罗昭琴</dc:creator>
  <cp:lastModifiedBy>Administrator</cp:lastModifiedBy>
  <dcterms:modified xsi:type="dcterms:W3CDTF">2025-11-21T09:01:59Z</dcterms:modified>
  <dc:title>重庆市綦江区工商业联合会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