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重庆市綦江区军队离休退休干部服务管理中心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一、部门基本情况</w:t>
      </w:r>
    </w:p>
    <w:p>
      <w:pPr>
        <w:pStyle w:val="5"/>
        <w:shd w:val="clear" w:color="auto" w:fill="FFFFFF"/>
        <w:ind w:firstLine="420"/>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pPr>
        <w:pStyle w:val="5"/>
        <w:keepNext w:val="0"/>
        <w:keepLines w:val="0"/>
        <w:pageBreakBefore w:val="0"/>
        <w:widowControl/>
        <w:suppressLineNumbers w:val="0"/>
        <w:kinsoku/>
        <w:wordWrap/>
        <w:overflowPunct/>
        <w:topLinePunct w:val="0"/>
        <w:autoSpaceDE/>
        <w:autoSpaceDN/>
        <w:bidi w:val="0"/>
        <w:adjustRightInd/>
        <w:snapToGrid/>
        <w:spacing w:before="100" w:after="100" w:line="600" w:lineRule="exact"/>
        <w:ind w:left="0" w:leftChars="0" w:firstLine="640" w:firstLineChars="200"/>
        <w:jc w:val="left"/>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主要服务范围：1.宣传贯彻执行党和政府有关军队离退休干部的有关政策，落实辖区内军队离退休干部的政治待遇、生活待遇。2.承担辖区的军队离退休干部的管理和服务工作。3.引导辖区内军队离退休干部发挥余热，为地区经济发展和社会稳定献计献策。4.完成区退役军人事务局交办的其他工作。</w:t>
      </w:r>
    </w:p>
    <w:p>
      <w:pPr>
        <w:pStyle w:val="10"/>
        <w:keepNext w:val="0"/>
        <w:keepLines w:val="0"/>
        <w:pageBreakBefore w:val="0"/>
        <w:widowControl/>
        <w:suppressLineNumbers w:val="0"/>
        <w:kinsoku/>
        <w:wordWrap/>
        <w:overflowPunct/>
        <w:topLinePunct w:val="0"/>
        <w:autoSpaceDE w:val="0"/>
        <w:autoSpaceDN/>
        <w:bidi w:val="0"/>
        <w:adjustRightInd w:val="0"/>
        <w:snapToGrid/>
        <w:spacing w:before="0" w:beforeAutospacing="0" w:afterAutospacing="0" w:line="600" w:lineRule="exact"/>
        <w:ind w:left="0" w:firstLine="640" w:firstLineChars="200"/>
        <w:jc w:val="left"/>
        <w:textAlignment w:val="auto"/>
        <w:rPr>
          <w:rFonts w:hint="eastAsia" w:ascii="方正楷体_GBK" w:hAnsi="方正楷体_GBK" w:eastAsia="方正楷体_GBK" w:cs="方正楷体_GBK"/>
          <w:b w:val="0"/>
          <w:bCs/>
          <w:color w:val="auto"/>
          <w:kern w:val="0"/>
          <w:sz w:val="32"/>
          <w:szCs w:val="32"/>
        </w:rPr>
      </w:pPr>
      <w:r>
        <w:rPr>
          <w:rStyle w:val="11"/>
          <w:rFonts w:hint="eastAsia" w:ascii="方正楷体_GBK" w:hAnsi="方正楷体_GBK" w:eastAsia="方正楷体_GBK" w:cs="方正楷体_GBK"/>
          <w:b w:val="0"/>
          <w:bCs/>
          <w:color w:val="auto"/>
          <w:sz w:val="32"/>
          <w:szCs w:val="32"/>
          <w:shd w:val="clear" w:fill="FFFFFF"/>
        </w:rPr>
        <w:t>（二）机构设置</w:t>
      </w:r>
    </w:p>
    <w:p>
      <w:pPr>
        <w:keepNext w:val="0"/>
        <w:keepLines w:val="0"/>
        <w:pageBreakBefore w:val="0"/>
        <w:widowControl/>
        <w:kinsoku/>
        <w:wordWrap/>
        <w:overflowPunct/>
        <w:topLinePunct w:val="0"/>
        <w:autoSpaceDN/>
        <w:bidi w:val="0"/>
        <w:adjustRightInd w:val="0"/>
        <w:snapToGrid/>
        <w:spacing w:beforeAutospacing="0" w:afterAutospacing="0" w:line="600" w:lineRule="exact"/>
        <w:ind w:firstLine="640" w:firstLineChars="200"/>
        <w:textAlignment w:val="auto"/>
        <w:rPr>
          <w:rFonts w:eastAsia="方正仿宋_GBK"/>
          <w:color w:val="auto"/>
          <w:sz w:val="32"/>
          <w:szCs w:val="32"/>
        </w:rPr>
      </w:pPr>
      <w:r>
        <w:rPr>
          <w:rFonts w:eastAsia="方正仿宋_GBK"/>
          <w:color w:val="auto"/>
          <w:sz w:val="32"/>
          <w:szCs w:val="32"/>
        </w:rPr>
        <w:t>重庆市綦江区军队离</w:t>
      </w:r>
      <w:r>
        <w:rPr>
          <w:rFonts w:hint="eastAsia" w:eastAsia="方正仿宋_GBK"/>
          <w:color w:val="auto"/>
          <w:sz w:val="32"/>
          <w:szCs w:val="32"/>
        </w:rPr>
        <w:t>休</w:t>
      </w:r>
      <w:r>
        <w:rPr>
          <w:rFonts w:eastAsia="方正仿宋_GBK"/>
          <w:color w:val="auto"/>
          <w:sz w:val="32"/>
          <w:szCs w:val="32"/>
        </w:rPr>
        <w:t>退休干部服务管理中心事业编制</w:t>
      </w:r>
      <w:r>
        <w:rPr>
          <w:rFonts w:hint="eastAsia" w:eastAsia="方正仿宋_GBK"/>
          <w:color w:val="auto"/>
          <w:sz w:val="32"/>
          <w:szCs w:val="32"/>
        </w:rPr>
        <w:t>6</w:t>
      </w:r>
      <w:r>
        <w:rPr>
          <w:rFonts w:eastAsia="方正仿宋_GBK"/>
          <w:color w:val="auto"/>
          <w:sz w:val="32"/>
          <w:szCs w:val="32"/>
        </w:rPr>
        <w:t>名。设主任1名，副主任1名。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503.11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收、支与2023年度相比，减少72.14万元，下降12.5%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军休干部离退休费减少。</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503.11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与2023年度相比，减少65.38万元，下降11.5%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军休干部离退休费减少。</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503.11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503.11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与2023年度相比，减少72.14万元，下降12.5%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军休干部离退休费减少。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181.54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36.1%</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321.57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63.9%</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bCs/>
          <w:color w:val="auto"/>
          <w:kern w:val="0"/>
          <w:sz w:val="32"/>
          <w:szCs w:val="32"/>
        </w:rPr>
        <w:t>科学预测、提前部署，精准编制预算</w:t>
      </w:r>
      <w:r>
        <w:rPr>
          <w:rFonts w:hint="eastAsia" w:ascii="方正仿宋_GBK" w:hAnsi="方正仿宋_GBK" w:eastAsia="方正仿宋_GBK" w:cs="方正仿宋_GBK"/>
          <w:b w:val="0"/>
          <w:bCs/>
          <w:color w:val="auto"/>
          <w:kern w:val="0"/>
          <w:sz w:val="32"/>
          <w:szCs w:val="32"/>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503.11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财政拨款收、支总计各减少72.14万元，下降12.5%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军休干部离退休费减少。</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503.11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与2023年度相比，减少65.38万元，下降11.5%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军休干部离退休费及医疗费减少。</w:t>
      </w:r>
      <w:r>
        <w:rPr>
          <w:rFonts w:hint="default" w:ascii="Times New Roman" w:hAnsi="Times New Roman" w:eastAsia="方正仿宋_GBK"/>
          <w:sz w:val="32"/>
          <w:szCs w:val="32"/>
          <w:shd w:val="clear" w:color="auto" w:fill="FFFFFF"/>
        </w:rPr>
        <w:t>较年初预算数减少512.71万元，下降50.5%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调减军休干部离退休费。</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503.11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与2023年度相比，减少72.14万元，下降12.5%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军休干部离退休费及医疗费减少。</w:t>
      </w:r>
      <w:r>
        <w:rPr>
          <w:rFonts w:hint="default" w:ascii="Times New Roman" w:hAnsi="Times New Roman" w:eastAsia="方正仿宋_GBK"/>
          <w:sz w:val="32"/>
          <w:szCs w:val="32"/>
          <w:shd w:val="clear" w:color="auto" w:fill="FFFFFF"/>
        </w:rPr>
        <w:t>较年初预算数减少512.71万元，下降50.5%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调减</w:t>
      </w:r>
      <w:r>
        <w:rPr>
          <w:rFonts w:hint="eastAsia" w:ascii="方正仿宋_GBK" w:hAnsi="方正仿宋_GBK" w:eastAsia="方正仿宋_GBK" w:cs="方正仿宋_GBK"/>
          <w:color w:val="auto"/>
          <w:sz w:val="32"/>
          <w:szCs w:val="32"/>
          <w:shd w:val="clear" w:color="auto" w:fill="FFFFFF"/>
          <w:lang w:eastAsia="zh-CN"/>
        </w:rPr>
        <w:t>军休干部离退休费。</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482.18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95.8%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较年初预算数减少512.73万元，下降51.5%</w:t>
      </w:r>
      <w:r>
        <w:rPr>
          <w:rFonts w:ascii="方正仿宋_GBK" w:hAnsi="方正仿宋_GBK" w:eastAsia="方正仿宋_GBK" w:cs="方正仿宋_GBK"/>
          <w:sz w:val="32"/>
          <w:szCs w:val="32"/>
          <w:shd w:val="clear" w:color="auto" w:fill="FFFFFF"/>
        </w:rPr>
        <w:t>，主要原因是是</w:t>
      </w:r>
      <w:r>
        <w:rPr>
          <w:rFonts w:hint="eastAsia" w:ascii="方正仿宋_GBK" w:hAnsi="方正仿宋_GBK" w:eastAsia="方正仿宋_GBK" w:cs="方正仿宋_GBK"/>
          <w:color w:val="auto"/>
          <w:sz w:val="32"/>
          <w:szCs w:val="32"/>
          <w:shd w:val="clear" w:color="auto" w:fill="FFFFFF"/>
          <w:lang w:eastAsia="zh-CN"/>
        </w:rPr>
        <w:t>调减军休干部离退休费。</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9.38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较年初预算数增加0.10万元，增长1.1%</w:t>
      </w:r>
      <w:r>
        <w:rPr>
          <w:rFonts w:ascii="方正仿宋_GBK" w:hAnsi="方正仿宋_GBK" w:eastAsia="方正仿宋_GBK" w:cs="方正仿宋_GBK"/>
          <w:sz w:val="32"/>
          <w:szCs w:val="32"/>
          <w:shd w:val="clear" w:color="auto" w:fill="FFFFFF"/>
        </w:rPr>
        <w:t>，主要原因是是</w:t>
      </w:r>
      <w:r>
        <w:rPr>
          <w:rFonts w:hint="eastAsia" w:ascii="方正仿宋_GBK" w:hAnsi="方正仿宋_GBK" w:eastAsia="方正仿宋_GBK" w:cs="方正仿宋_GBK"/>
          <w:color w:val="auto"/>
          <w:sz w:val="32"/>
          <w:szCs w:val="32"/>
          <w:shd w:val="clear" w:color="auto" w:fill="FFFFFF"/>
          <w:lang w:eastAsia="zh-CN"/>
        </w:rPr>
        <w:t>调增军休干部离医疗费。</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11.55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较年初预算数减少0.08万元，下降0.7%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工资结构调整，住房公积金扣减。</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bCs/>
          <w:color w:val="auto"/>
          <w:kern w:val="0"/>
          <w:sz w:val="32"/>
          <w:szCs w:val="32"/>
        </w:rPr>
        <w:t>科学预测、提前部署，精准编制预算</w:t>
      </w:r>
      <w:r>
        <w:rPr>
          <w:rFonts w:hint="eastAsia" w:ascii="方正仿宋_GBK" w:hAnsi="方正仿宋_GBK" w:eastAsia="方正仿宋_GBK" w:cs="方正仿宋_GBK"/>
          <w:b w:val="0"/>
          <w:bCs/>
          <w:color w:val="auto"/>
          <w:kern w:val="0"/>
          <w:sz w:val="32"/>
          <w:szCs w:val="32"/>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181.54</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143.77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与2023年度相比，增加6.13万元，增长4.5%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本年工资结构调整，社保、住房公积金增加。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kern w:val="2"/>
          <w:sz w:val="32"/>
          <w:szCs w:val="32"/>
        </w:rPr>
        <w:t>基本工资、津贴补贴、奖金、社会保障缴费等。</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37.77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与2023年度相比，增加16.96万元，增长81.5%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为了提升离退休干部生活品质，购置设施设备一批。</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kern w:val="0"/>
          <w:sz w:val="32"/>
          <w:szCs w:val="32"/>
        </w:rPr>
        <w:t>办公费、印刷费、咨询费、手续费</w:t>
      </w:r>
      <w:r>
        <w:rPr>
          <w:rFonts w:hint="eastAsia" w:ascii="方正仿宋_GBK" w:hAnsi="方正仿宋_GBK" w:eastAsia="方正仿宋_GBK" w:cs="方正仿宋_GBK"/>
          <w:kern w:val="0"/>
          <w:sz w:val="32"/>
          <w:szCs w:val="32"/>
          <w:lang w:eastAsia="zh-CN"/>
        </w:rPr>
        <w:t>、水电费</w:t>
      </w:r>
      <w:r>
        <w:rPr>
          <w:rFonts w:hint="eastAsia" w:ascii="方正仿宋_GBK" w:hAnsi="方正仿宋_GBK" w:eastAsia="方正仿宋_GBK" w:cs="方正仿宋_GBK"/>
          <w:kern w:val="0"/>
          <w:sz w:val="32"/>
          <w:szCs w:val="32"/>
        </w:rPr>
        <w:t>等。</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本部门</w:t>
      </w:r>
      <w:r>
        <w:rPr>
          <w:rFonts w:hint="default" w:ascii="方正仿宋_GBK" w:hAnsi="方正仿宋_GBK" w:eastAsia="方正仿宋_GBK" w:cs="方正仿宋_GBK"/>
          <w:kern w:val="0"/>
          <w:sz w:val="32"/>
          <w:szCs w:val="32"/>
          <w:lang w:eastAsia="zh-CN"/>
        </w:rPr>
        <w:t>2024</w:t>
      </w:r>
      <w:r>
        <w:rPr>
          <w:rFonts w:hint="eastAsia" w:ascii="方正仿宋_GBK" w:hAnsi="方正仿宋_GBK" w:eastAsia="方正仿宋_GBK" w:cs="方正仿宋_GBK"/>
          <w:kern w:val="0"/>
          <w:sz w:val="32"/>
          <w:szCs w:val="32"/>
          <w:lang w:eastAsia="zh-CN"/>
        </w:rPr>
        <w:t>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本部门</w:t>
      </w:r>
      <w:r>
        <w:rPr>
          <w:rFonts w:hint="default" w:ascii="方正仿宋_GBK" w:hAnsi="方正仿宋_GBK" w:eastAsia="方正仿宋_GBK" w:cs="方正仿宋_GBK"/>
          <w:kern w:val="0"/>
          <w:sz w:val="32"/>
          <w:szCs w:val="32"/>
          <w:lang w:eastAsia="zh-CN"/>
        </w:rPr>
        <w:t>2024</w:t>
      </w:r>
      <w:r>
        <w:rPr>
          <w:rFonts w:hint="eastAsia" w:ascii="方正仿宋_GBK" w:hAnsi="方正仿宋_GBK" w:eastAsia="方正仿宋_GBK" w:cs="方正仿宋_GBK"/>
          <w:kern w:val="0"/>
          <w:sz w:val="32"/>
          <w:szCs w:val="32"/>
          <w:lang w:eastAsia="zh-CN"/>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较年初预算数减少0.76万元，下降21.7%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厉行节约，</w:t>
      </w:r>
      <w:r>
        <w:rPr>
          <w:rFonts w:hint="eastAsia" w:ascii="方正仿宋_GBK" w:hAnsi="方正仿宋_GBK" w:eastAsia="方正仿宋_GBK" w:cs="方正仿宋_GBK"/>
          <w:color w:val="auto"/>
          <w:sz w:val="32"/>
          <w:szCs w:val="32"/>
          <w:shd w:val="clear" w:color="auto" w:fill="FFFFFF"/>
          <w:lang w:eastAsia="zh-CN"/>
        </w:rPr>
        <w:t>压缩开支</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较上年支出数减少25.89万元，下降90.4%</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sz w:val="32"/>
          <w:szCs w:val="32"/>
          <w:shd w:val="clear" w:color="auto" w:fill="FFFFFF"/>
        </w:rPr>
        <w:t>因是</w:t>
      </w:r>
      <w:r>
        <w:rPr>
          <w:rFonts w:hint="eastAsia" w:ascii="Times New Roman" w:hAnsi="Times New Roman" w:eastAsia="方正仿宋_GBK"/>
          <w:sz w:val="32"/>
          <w:szCs w:val="32"/>
          <w:shd w:val="clear" w:color="auto" w:fill="FFFFFF"/>
          <w:lang w:val="en-US" w:eastAsia="zh-CN"/>
        </w:rPr>
        <w:t>2023</w:t>
      </w:r>
      <w:r>
        <w:rPr>
          <w:rFonts w:hint="eastAsia" w:ascii="Times New Roman" w:hAnsi="Times New Roman" w:eastAsia="方正仿宋_GBK"/>
          <w:sz w:val="32"/>
          <w:szCs w:val="32"/>
          <w:shd w:val="clear" w:color="auto" w:fill="FFFFFF"/>
        </w:rPr>
        <w:t>年度采购公务用车一辆。</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较上年支出数减少25.86万元，下降100.0%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2023</w:t>
      </w:r>
      <w:r>
        <w:rPr>
          <w:rFonts w:hint="eastAsia" w:ascii="Times New Roman" w:hAnsi="Times New Roman" w:eastAsia="方正仿宋_GBK"/>
          <w:sz w:val="32"/>
          <w:szCs w:val="32"/>
          <w:shd w:val="clear" w:color="auto" w:fill="FFFFFF"/>
        </w:rPr>
        <w:t>年度采购公务用车一辆。</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2.74</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b w:val="0"/>
          <w:bCs/>
          <w:color w:val="auto"/>
          <w:kern w:val="2"/>
          <w:sz w:val="32"/>
          <w:szCs w:val="32"/>
        </w:rPr>
        <w:t>机要文件交换、市内因公出行、业务检查等工作所需车辆的燃料费、维修费、过桥过路费、保险费等。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较年初预算数减少0.76万元，下降21.7%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厉行节约，压缩开支</w:t>
      </w:r>
      <w:r>
        <w:rPr>
          <w:rFonts w:hint="eastAsia" w:ascii="方正仿宋_GBK" w:hAnsi="方正仿宋_GBK" w:eastAsia="方正仿宋_GBK" w:cs="方正仿宋_GBK"/>
          <w:color w:val="auto"/>
          <w:sz w:val="32"/>
          <w:szCs w:val="32"/>
          <w:shd w:val="clear" w:color="auto" w:fill="FFFFFF"/>
          <w:lang w:val="en-US" w:eastAsia="zh-CN"/>
        </w:rPr>
        <w:t>。</w:t>
      </w:r>
      <w:r>
        <w:rPr>
          <w:rFonts w:hint="default" w:ascii="Times New Roman" w:hAnsi="Times New Roman" w:eastAsia="方正仿宋_GBK"/>
          <w:sz w:val="32"/>
          <w:szCs w:val="32"/>
          <w:shd w:val="clear" w:color="auto" w:fill="FFFFFF"/>
        </w:rPr>
        <w:t>较上年支出数减少0.04万元，下降1.4%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厉行节约，压缩开支</w:t>
      </w:r>
      <w:r>
        <w:rPr>
          <w:rFonts w:hint="eastAsia" w:ascii="方正仿宋_GBK" w:hAnsi="方正仿宋_GBK" w:eastAsia="方正仿宋_GBK" w:cs="方正仿宋_GBK"/>
          <w:color w:val="auto"/>
          <w:sz w:val="32"/>
          <w:szCs w:val="32"/>
          <w:shd w:val="clear" w:color="auto" w:fill="FFFFFF"/>
          <w:lang w:val="en-US" w:eastAsia="zh-CN"/>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2.74</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0.24</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与2023年度相比，减少0.02万元，下降7.7%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厉行节约，压缩开支</w:t>
      </w:r>
      <w:r>
        <w:rPr>
          <w:rFonts w:hint="eastAsia" w:ascii="方正仿宋_GBK" w:hAnsi="方正仿宋_GBK" w:eastAsia="方正仿宋_GBK" w:cs="方正仿宋_GBK"/>
          <w:color w:val="auto"/>
          <w:sz w:val="32"/>
          <w:szCs w:val="32"/>
          <w:shd w:val="clear" w:color="auto" w:fill="FFFFFF"/>
          <w:lang w:val="en-US"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37.77</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b w:val="0"/>
          <w:bCs/>
          <w:color w:val="auto"/>
          <w:kern w:val="2"/>
          <w:sz w:val="32"/>
          <w:szCs w:val="32"/>
        </w:rPr>
        <w:t>办公费、印刷费、咨询费、手续费、邮电费、工会经费、维修（护）费等</w:t>
      </w:r>
      <w:r>
        <w:rPr>
          <w:rFonts w:hint="eastAsia" w:ascii="方正仿宋_GBK" w:hAnsi="方正仿宋_GBK" w:eastAsia="方正仿宋_GBK" w:cs="方正仿宋_GBK"/>
          <w:b w:val="0"/>
          <w:bCs/>
          <w:color w:val="auto"/>
          <w:kern w:val="2"/>
          <w:sz w:val="32"/>
          <w:szCs w:val="32"/>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较上年支出数增加16.96万元，增长81.5%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为了提升离退休干部生活品质，购置设施设备一批。</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textAlignment w:val="auto"/>
        <w:rPr>
          <w:rStyle w:val="8"/>
          <w:rFonts w:hint="default" w:ascii="黑体" w:hAnsi="黑体" w:eastAsia="黑体" w:cs="黑体"/>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rPr>
        <w:t>部门</w:t>
      </w:r>
      <w:r>
        <w:rPr>
          <w:rFonts w:ascii="方正仿宋_GBK" w:hAnsi="方正仿宋_GBK" w:eastAsia="方正仿宋_GBK" w:cs="方正仿宋_GBK"/>
          <w:sz w:val="32"/>
          <w:szCs w:val="32"/>
          <w:shd w:val="clear" w:color="auto" w:fill="FFFFFF"/>
        </w:rPr>
        <w:t>未发生政府采购事项，无相关经费支出。</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firstLine="640" w:firstLineChars="200"/>
        <w:jc w:val="left"/>
        <w:textAlignment w:val="auto"/>
        <w:rPr>
          <w:rFonts w:hint="eastAsia" w:ascii="宋体" w:hAnsi="宋体" w:eastAsia="宋体" w:cs="宋体"/>
          <w:kern w:val="0"/>
          <w:sz w:val="24"/>
          <w:szCs w:val="24"/>
        </w:rPr>
      </w:pPr>
      <w:r>
        <w:rPr>
          <w:rStyle w:val="13"/>
          <w:rFonts w:hint="eastAsia" w:ascii="方正楷体_GBK" w:hAnsi="方正楷体_GBK" w:eastAsia="方正楷体_GBK" w:cs="方正楷体_GBK"/>
          <w:b w:val="0"/>
          <w:bCs w:val="0"/>
          <w:sz w:val="32"/>
          <w:szCs w:val="32"/>
          <w:shd w:val="clear" w:fill="FFFFFF"/>
        </w:rPr>
        <w:t>（一）预算绩效管理工作开展情况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firstLine="640" w:firstLineChars="200"/>
        <w:jc w:val="left"/>
        <w:textAlignment w:val="auto"/>
        <w:rPr>
          <w:rFonts w:hint="eastAsia" w:ascii="宋体" w:hAnsi="宋体" w:eastAsia="宋体" w:cs="宋体"/>
          <w:kern w:val="0"/>
          <w:sz w:val="24"/>
          <w:szCs w:val="24"/>
        </w:rPr>
      </w:pPr>
      <w:r>
        <w:rPr>
          <w:rFonts w:hint="eastAsia" w:ascii="方正仿宋_GBK" w:hAnsi="方正仿宋_GBK" w:eastAsia="方正仿宋_GBK" w:cs="方正仿宋_GBK"/>
          <w:kern w:val="2"/>
          <w:sz w:val="32"/>
          <w:szCs w:val="32"/>
        </w:rPr>
        <w:t>根据预算绩效管理要求，我局对部门整体和</w:t>
      </w:r>
      <w:r>
        <w:rPr>
          <w:rFonts w:hint="eastAsia" w:ascii="方正仿宋_GBK" w:hAnsi="方正仿宋_GBK" w:eastAsia="方正仿宋_GBK" w:cs="方正仿宋_GBK"/>
          <w:color w:val="auto"/>
          <w:kern w:val="2"/>
          <w:sz w:val="32"/>
          <w:szCs w:val="32"/>
          <w:lang w:val="en-US" w:eastAsia="zh-CN"/>
        </w:rPr>
        <w:t>13</w:t>
      </w:r>
      <w:r>
        <w:rPr>
          <w:rFonts w:hint="eastAsia" w:ascii="方正仿宋_GBK" w:hAnsi="方正仿宋_GBK" w:eastAsia="方正仿宋_GBK" w:cs="方正仿宋_GBK"/>
          <w:kern w:val="2"/>
          <w:sz w:val="32"/>
          <w:szCs w:val="32"/>
        </w:rPr>
        <w:t>个项目开展了绩效自评，其中，以填报自评表形式开展自评</w:t>
      </w:r>
      <w:r>
        <w:rPr>
          <w:rFonts w:hint="eastAsia" w:ascii="方正仿宋_GBK" w:hAnsi="方正仿宋_GBK" w:eastAsia="方正仿宋_GBK" w:cs="方正仿宋_GBK"/>
          <w:kern w:val="2"/>
          <w:sz w:val="32"/>
          <w:szCs w:val="32"/>
          <w:lang w:val="en-US" w:eastAsia="zh-CN"/>
        </w:rPr>
        <w:t>13</w:t>
      </w:r>
      <w:r>
        <w:rPr>
          <w:rFonts w:hint="eastAsia" w:ascii="方正仿宋_GBK" w:hAnsi="方正仿宋_GBK" w:eastAsia="方正仿宋_GBK" w:cs="方正仿宋_GBK"/>
          <w:kern w:val="2"/>
          <w:sz w:val="32"/>
          <w:szCs w:val="32"/>
        </w:rPr>
        <w:t>项，涉及资金******万元</w:t>
      </w:r>
      <w:r>
        <w:rPr>
          <w:rFonts w:hint="eastAsia" w:ascii="方正仿宋_GBK" w:hAnsi="方正仿宋_GBK" w:eastAsia="方正仿宋_GBK" w:cs="方正仿宋_GBK"/>
          <w:kern w:val="0"/>
          <w:sz w:val="32"/>
          <w:szCs w:val="32"/>
        </w:rPr>
        <w:t>（退役军人涉密项目）</w:t>
      </w:r>
      <w:r>
        <w:rPr>
          <w:rFonts w:hint="eastAsia" w:ascii="宋体" w:hAnsi="宋体" w:eastAsia="宋体" w:cs="宋体"/>
          <w:kern w:val="0"/>
          <w:sz w:val="24"/>
          <w:szCs w:val="24"/>
          <w:shd w:val="clear" w:fill="FFFFFF"/>
        </w:rPr>
        <w:t>；</w:t>
      </w:r>
      <w:r>
        <w:rPr>
          <w:rFonts w:hint="eastAsia" w:ascii="方正仿宋_GBK" w:hAnsi="方正仿宋_GBK" w:eastAsia="方正仿宋_GBK" w:cs="方正仿宋_GBK"/>
          <w:kern w:val="2"/>
          <w:sz w:val="32"/>
          <w:szCs w:val="32"/>
        </w:rPr>
        <w:t>没有以委托第三方形式开展绩效评价。从评价情况来看，数量指标全部完成，质量效益指标方面成效明显，群众满意度达到</w:t>
      </w:r>
      <w:r>
        <w:rPr>
          <w:rFonts w:hint="default" w:ascii="Times New Roman" w:hAnsi="Times New Roman" w:eastAsia="方正仿宋_GBK" w:cs="Times New Roman"/>
          <w:kern w:val="2"/>
          <w:sz w:val="32"/>
          <w:szCs w:val="32"/>
        </w:rPr>
        <w:t>95%</w:t>
      </w:r>
      <w:r>
        <w:rPr>
          <w:rFonts w:hint="eastAsia" w:ascii="方正仿宋_GBK" w:hAnsi="方正仿宋_GBK" w:eastAsia="方正仿宋_GBK" w:cs="方正仿宋_GBK"/>
          <w:kern w:val="2"/>
          <w:sz w:val="32"/>
          <w:szCs w:val="32"/>
        </w:rPr>
        <w:t>以上，资金管理和内控指标执行偏差率低于</w:t>
      </w:r>
      <w:r>
        <w:rPr>
          <w:rFonts w:hint="default" w:ascii="Times New Roman" w:hAnsi="Times New Roman" w:eastAsia="方正仿宋_GBK" w:cs="Times New Roman"/>
          <w:kern w:val="2"/>
          <w:sz w:val="32"/>
          <w:szCs w:val="32"/>
        </w:rPr>
        <w:t>2%</w:t>
      </w:r>
      <w:r>
        <w:rPr>
          <w:rFonts w:hint="eastAsia" w:ascii="方正仿宋_GBK" w:hAnsi="方正仿宋_GBK" w:eastAsia="方正仿宋_GBK" w:cs="方正仿宋_GBK"/>
          <w:kern w:val="2"/>
          <w:sz w:val="32"/>
          <w:szCs w:val="32"/>
        </w:rPr>
        <w:t>，较好地保障了</w:t>
      </w:r>
      <w:r>
        <w:rPr>
          <w:rFonts w:hint="eastAsia" w:ascii="Times New Roman" w:hAnsi="Times New Roman" w:eastAsia="方正仿宋_GBK" w:cs="Times New Roman"/>
          <w:color w:val="auto"/>
          <w:kern w:val="2"/>
          <w:sz w:val="32"/>
          <w:szCs w:val="20"/>
          <w:lang w:val="en-US" w:eastAsia="zh-CN" w:bidi="ar-SA"/>
        </w:rPr>
        <w:t>军休安置“两个待遇”的顺利落实。</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firstLine="640" w:firstLineChars="200"/>
        <w:jc w:val="left"/>
        <w:textAlignment w:val="auto"/>
        <w:rPr>
          <w:rFonts w:hint="eastAsia" w:ascii="宋体" w:hAnsi="宋体" w:eastAsia="宋体" w:cs="宋体"/>
          <w:kern w:val="0"/>
          <w:sz w:val="24"/>
          <w:szCs w:val="24"/>
        </w:rPr>
      </w:pPr>
      <w:r>
        <w:rPr>
          <w:rStyle w:val="13"/>
          <w:rFonts w:hint="eastAsia" w:ascii="方正楷体_GBK" w:hAnsi="方正楷体_GBK" w:eastAsia="方正楷体_GBK" w:cs="方正楷体_GBK"/>
          <w:b w:val="0"/>
          <w:bCs w:val="0"/>
          <w:sz w:val="32"/>
          <w:szCs w:val="32"/>
          <w:shd w:val="clear" w:fill="FFFFFF"/>
        </w:rPr>
        <w:t>（二）绩效自评结果。</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firstLine="640" w:firstLineChars="200"/>
        <w:jc w:val="left"/>
        <w:textAlignment w:val="auto"/>
        <w:rPr>
          <w:rFonts w:hint="eastAsia" w:ascii="方正仿宋_GBK" w:hAnsi="方正仿宋_GBK" w:eastAsia="方正仿宋_GBK" w:cs="方正仿宋_GBK"/>
          <w:kern w:val="2"/>
          <w:sz w:val="32"/>
          <w:szCs w:val="32"/>
        </w:rPr>
      </w:pPr>
      <w:r>
        <w:rPr>
          <w:rFonts w:hint="default" w:ascii="Times New Roman" w:hAnsi="Times New Roman" w:eastAsia="方正仿宋_GBK" w:cs="Times New Roman"/>
          <w:kern w:val="2"/>
          <w:sz w:val="32"/>
          <w:szCs w:val="32"/>
        </w:rPr>
        <w:t>1.</w:t>
      </w:r>
      <w:r>
        <w:rPr>
          <w:rFonts w:hint="eastAsia" w:ascii="方正仿宋_GBK" w:hAnsi="方正仿宋_GBK" w:eastAsia="方正仿宋_GBK" w:cs="方正仿宋_GBK"/>
          <w:kern w:val="2"/>
          <w:sz w:val="32"/>
          <w:szCs w:val="32"/>
        </w:rPr>
        <w:t>绩效目标自评表。</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firstLine="480" w:firstLineChars="200"/>
        <w:jc w:val="left"/>
        <w:textAlignment w:val="auto"/>
        <w:rPr>
          <w:rFonts w:hint="eastAsia" w:ascii="Times New Roman" w:hAnsi="Times New Roman" w:eastAsia="方正仿宋_GBK" w:cs="Times New Roman"/>
          <w:kern w:val="2"/>
          <w:sz w:val="32"/>
          <w:szCs w:val="32"/>
          <w:lang w:eastAsia="zh-CN"/>
        </w:rPr>
      </w:pPr>
      <w:r>
        <w:rPr>
          <w:rFonts w:hint="eastAsia"/>
          <w:lang w:val="en-US" w:eastAsia="zh-CN"/>
        </w:rPr>
        <w:t xml:space="preserve"> </w:t>
      </w:r>
      <w:r>
        <w:rPr>
          <w:rFonts w:hint="eastAsia" w:ascii="方正仿宋_GBK" w:hAnsi="方正仿宋_GBK" w:eastAsia="方正仿宋_GBK" w:cs="方正仿宋_GBK"/>
          <w:kern w:val="2"/>
          <w:sz w:val="32"/>
          <w:szCs w:val="32"/>
        </w:rPr>
        <w:t>详见</w:t>
      </w:r>
      <w:r>
        <w:rPr>
          <w:rFonts w:hint="eastAsia" w:ascii="方正仿宋_GBK" w:hAnsi="方正仿宋_GBK" w:eastAsia="方正仿宋_GBK" w:cs="方正仿宋_GBK"/>
          <w:kern w:val="2"/>
          <w:sz w:val="32"/>
          <w:szCs w:val="32"/>
          <w:lang w:eastAsia="zh-CN"/>
        </w:rPr>
        <w:t>附件。</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firstLine="640" w:firstLineChars="200"/>
        <w:jc w:val="left"/>
        <w:textAlignment w:val="auto"/>
        <w:rPr>
          <w:rFonts w:hint="eastAsia" w:ascii="方正仿宋_GBK" w:hAnsi="方正仿宋_GBK" w:eastAsia="方正仿宋_GBK" w:cs="方正仿宋_GBK"/>
          <w:kern w:val="2"/>
          <w:sz w:val="32"/>
          <w:szCs w:val="32"/>
        </w:rPr>
      </w:pPr>
      <w:r>
        <w:rPr>
          <w:rFonts w:hint="default" w:ascii="Times New Roman" w:hAnsi="Times New Roman" w:eastAsia="方正仿宋_GBK" w:cs="Times New Roman"/>
          <w:kern w:val="2"/>
          <w:sz w:val="32"/>
          <w:szCs w:val="32"/>
        </w:rPr>
        <w:t>2.</w:t>
      </w:r>
      <w:r>
        <w:rPr>
          <w:rFonts w:hint="eastAsia" w:ascii="方正仿宋_GBK" w:hAnsi="方正仿宋_GBK" w:eastAsia="方正仿宋_GBK" w:cs="方正仿宋_GBK"/>
          <w:kern w:val="2"/>
          <w:sz w:val="32"/>
          <w:szCs w:val="32"/>
        </w:rPr>
        <w:t>绩效自评报告或案例。</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firstLine="480" w:firstLineChars="200"/>
        <w:jc w:val="left"/>
        <w:textAlignment w:val="auto"/>
        <w:rPr>
          <w:rFonts w:hint="eastAsia" w:ascii="Times New Roman" w:hAnsi="Times New Roman" w:eastAsia="方正仿宋_GBK" w:cs="Times New Roman"/>
          <w:kern w:val="2"/>
          <w:sz w:val="32"/>
          <w:szCs w:val="32"/>
        </w:rPr>
      </w:pPr>
      <w:r>
        <w:rPr>
          <w:rFonts w:hint="eastAsia"/>
          <w:lang w:val="en-US" w:eastAsia="zh-CN"/>
        </w:rPr>
        <w:t xml:space="preserve"> </w:t>
      </w:r>
      <w:r>
        <w:rPr>
          <w:rFonts w:hint="eastAsia" w:ascii="方正仿宋_GBK" w:hAnsi="方正仿宋_GBK" w:eastAsia="方正仿宋_GBK" w:cs="方正仿宋_GBK"/>
          <w:kern w:val="2"/>
          <w:sz w:val="32"/>
          <w:szCs w:val="32"/>
        </w:rPr>
        <w:t>无</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firstLine="640" w:firstLineChars="200"/>
        <w:jc w:val="left"/>
        <w:textAlignment w:val="auto"/>
        <w:rPr>
          <w:rFonts w:hint="eastAsia"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3.</w:t>
      </w:r>
      <w:r>
        <w:rPr>
          <w:rFonts w:hint="eastAsia" w:ascii="方正仿宋_GBK" w:hAnsi="方正仿宋_GBK" w:eastAsia="方正仿宋_GBK" w:cs="方正仿宋_GBK"/>
          <w:kern w:val="2"/>
          <w:sz w:val="32"/>
          <w:szCs w:val="32"/>
        </w:rPr>
        <w:t>关于绩效自评结果的说明。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firstLine="640" w:firstLineChars="200"/>
        <w:jc w:val="left"/>
        <w:textAlignment w:val="auto"/>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rPr>
        <w:t>本年度各项工作目标顺利完成，在思想宣传、社会服务等方面都完成了年初工作计划，自评绩效目标完成度较好。</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firstLine="640" w:firstLineChars="200"/>
        <w:jc w:val="left"/>
        <w:textAlignment w:val="auto"/>
        <w:rPr>
          <w:rStyle w:val="13"/>
          <w:rFonts w:hint="eastAsia" w:ascii="方正楷体_GBK" w:hAnsi="方正楷体_GBK" w:eastAsia="方正楷体_GBK" w:cs="方正楷体_GBK"/>
          <w:b w:val="0"/>
          <w:bCs w:val="0"/>
          <w:sz w:val="32"/>
          <w:szCs w:val="32"/>
          <w:shd w:val="clear" w:fill="FFFFFF"/>
        </w:rPr>
      </w:pPr>
      <w:r>
        <w:rPr>
          <w:rStyle w:val="13"/>
          <w:rFonts w:hint="eastAsia" w:ascii="方正楷体_GBK" w:hAnsi="方正楷体_GBK" w:eastAsia="方正楷体_GBK" w:cs="方正楷体_GBK"/>
          <w:b w:val="0"/>
          <w:bCs w:val="0"/>
          <w:sz w:val="32"/>
          <w:szCs w:val="32"/>
          <w:shd w:val="clear" w:fill="FFFFFF"/>
        </w:rPr>
        <w:t>（三）重点绩效评价结果。</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firstLine="480" w:firstLineChars="200"/>
        <w:jc w:val="left"/>
        <w:textAlignment w:val="auto"/>
        <w:rPr>
          <w:rFonts w:hint="eastAsia" w:ascii="方正仿宋_GBK" w:hAnsi="方正仿宋_GBK" w:eastAsia="方正仿宋_GBK" w:cs="方正仿宋_GBK"/>
          <w:kern w:val="2"/>
          <w:sz w:val="32"/>
          <w:szCs w:val="32"/>
        </w:rPr>
      </w:pPr>
      <w:r>
        <w:rPr>
          <w:rFonts w:hint="eastAsia"/>
          <w:lang w:val="en-US" w:eastAsia="zh-CN"/>
        </w:rPr>
        <w:t xml:space="preserve"> </w:t>
      </w:r>
      <w:r>
        <w:rPr>
          <w:rFonts w:hint="eastAsia" w:ascii="方正仿宋_GBK" w:hAnsi="方正仿宋_GBK" w:eastAsia="方正仿宋_GBK" w:cs="方正仿宋_GBK"/>
          <w:kern w:val="2"/>
          <w:sz w:val="32"/>
          <w:szCs w:val="32"/>
        </w:rPr>
        <w:t>无</w:t>
      </w:r>
    </w:p>
    <w:p>
      <w:pPr>
        <w:pStyle w:val="5"/>
        <w:shd w:val="clear" w:color="auto" w:fill="FFFFFF"/>
        <w:ind w:firstLine="643" w:firstLineChars="200"/>
        <w:rPr>
          <w:rStyle w:val="8"/>
          <w:rFonts w:hint="default" w:ascii="方正仿宋_GBK" w:hAnsi="方正仿宋_GBK" w:eastAsia="方正仿宋_GBK" w:cs="方正仿宋_GBK"/>
          <w:sz w:val="32"/>
          <w:szCs w:val="32"/>
          <w:shd w:val="clear" w:color="auto" w:fill="FFFFFF"/>
        </w:rPr>
      </w:pPr>
      <w:r>
        <w:rPr>
          <w:rStyle w:val="8"/>
          <w:rFonts w:ascii="黑体" w:hAnsi="黑体" w:eastAsia="黑体" w:cs="黑体"/>
          <w:sz w:val="32"/>
          <w:szCs w:val="32"/>
          <w:shd w:val="clear" w:color="auto" w:fill="FFFFFF"/>
        </w:rPr>
        <w:t>六、专业名词解释</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shd w:val="clear" w:color="auto" w:fill="FFFFFF"/>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hint="eastAsia" w:ascii="方正仿宋_GBK" w:hAnsi="方正仿宋_GBK" w:eastAsia="方正仿宋_GBK" w:cs="方正仿宋_GBK"/>
          <w:sz w:val="32"/>
          <w:szCs w:val="32"/>
          <w:shd w:val="clear" w:color="auto" w:fill="FFFFFF"/>
          <w:lang w:val="en-US" w:eastAsia="zh-CN"/>
        </w:rPr>
        <w:t xml:space="preserve">   </w:t>
      </w:r>
      <w:r>
        <w:rPr>
          <w:rStyle w:val="8"/>
          <w:rFonts w:ascii="黑体" w:hAnsi="黑体" w:eastAsia="黑体" w:cs="黑体"/>
          <w:sz w:val="32"/>
          <w:szCs w:val="32"/>
          <w:shd w:val="clear" w:color="auto" w:fill="FFFFFF"/>
        </w:rPr>
        <w:t>七、决算公开联系方式及信息反馈渠道</w:t>
      </w:r>
    </w:p>
    <w:p>
      <w:pPr>
        <w:pStyle w:val="9"/>
        <w:autoSpaceDE w:val="0"/>
        <w:ind w:firstLine="640" w:firstLineChars="200"/>
        <w:rPr>
          <w:rStyle w:val="8"/>
          <w:rFonts w:hint="default" w:ascii="方正仿宋_GBK" w:hAnsi="方正仿宋_GBK" w:eastAsia="方正仿宋_GBK" w:cs="方正仿宋_GBK"/>
          <w:color w:val="auto"/>
          <w:sz w:val="32"/>
          <w:szCs w:val="32"/>
          <w:shd w:val="clear" w:color="auto" w:fill="FFFF00"/>
          <w:lang w:val="en-US"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color w:val="auto"/>
          <w:sz w:val="32"/>
          <w:szCs w:val="32"/>
          <w:shd w:val="clear" w:color="auto" w:fill="FFFFFF"/>
          <w:lang w:val="en-US" w:eastAsia="zh-CN"/>
        </w:rPr>
        <w:t>023-61260152</w:t>
      </w:r>
      <w:bookmarkStart w:id="0" w:name="_GoBack"/>
      <w:bookmarkEnd w:id="0"/>
    </w:p>
    <w:sectPr>
      <w:headerReference r:id="rId3" w:type="default"/>
      <w:footerReference r:id="rId4" w:type="default"/>
      <w:pgSz w:w="11917" w:h="16838"/>
      <w:pgMar w:top="1440" w:right="1803" w:bottom="1440" w:left="1803" w:header="850"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414728"/>
    <w:rsid w:val="00550ABE"/>
    <w:rsid w:val="007B419D"/>
    <w:rsid w:val="009B67B8"/>
    <w:rsid w:val="00B03CCD"/>
    <w:rsid w:val="011B7C97"/>
    <w:rsid w:val="01474EBF"/>
    <w:rsid w:val="0179426A"/>
    <w:rsid w:val="01F3521E"/>
    <w:rsid w:val="029808B9"/>
    <w:rsid w:val="02E569C2"/>
    <w:rsid w:val="03BC6E87"/>
    <w:rsid w:val="03E3214F"/>
    <w:rsid w:val="04446191"/>
    <w:rsid w:val="044C50BA"/>
    <w:rsid w:val="050B4EAE"/>
    <w:rsid w:val="0536621F"/>
    <w:rsid w:val="05E71467"/>
    <w:rsid w:val="06A2550B"/>
    <w:rsid w:val="06F80EE2"/>
    <w:rsid w:val="07001CCA"/>
    <w:rsid w:val="075321D2"/>
    <w:rsid w:val="075678DB"/>
    <w:rsid w:val="077535D8"/>
    <w:rsid w:val="07932335"/>
    <w:rsid w:val="08051BCA"/>
    <w:rsid w:val="080A21BB"/>
    <w:rsid w:val="08BA052C"/>
    <w:rsid w:val="08DB07BA"/>
    <w:rsid w:val="09226B21"/>
    <w:rsid w:val="098305D0"/>
    <w:rsid w:val="09B72B6E"/>
    <w:rsid w:val="0A0C7F04"/>
    <w:rsid w:val="0A227275"/>
    <w:rsid w:val="0A5C4B69"/>
    <w:rsid w:val="0AF5732A"/>
    <w:rsid w:val="0B22525C"/>
    <w:rsid w:val="0B9335CE"/>
    <w:rsid w:val="0BA10C97"/>
    <w:rsid w:val="0C554661"/>
    <w:rsid w:val="0C7927C4"/>
    <w:rsid w:val="0C9B098C"/>
    <w:rsid w:val="0CDB79FA"/>
    <w:rsid w:val="0CE80A8F"/>
    <w:rsid w:val="0D472B48"/>
    <w:rsid w:val="0D673E11"/>
    <w:rsid w:val="0DB50EFE"/>
    <w:rsid w:val="0DDA54E4"/>
    <w:rsid w:val="0E3A5F83"/>
    <w:rsid w:val="0E9478E1"/>
    <w:rsid w:val="0F836721"/>
    <w:rsid w:val="0FBA22CF"/>
    <w:rsid w:val="10291082"/>
    <w:rsid w:val="103645A3"/>
    <w:rsid w:val="107B59E5"/>
    <w:rsid w:val="10AA219D"/>
    <w:rsid w:val="11003CB0"/>
    <w:rsid w:val="11124E18"/>
    <w:rsid w:val="111445C7"/>
    <w:rsid w:val="112A1B51"/>
    <w:rsid w:val="1158083A"/>
    <w:rsid w:val="11F03528"/>
    <w:rsid w:val="12C921C4"/>
    <w:rsid w:val="12DA353E"/>
    <w:rsid w:val="13135BA7"/>
    <w:rsid w:val="13850DCB"/>
    <w:rsid w:val="13871C70"/>
    <w:rsid w:val="13A71CB4"/>
    <w:rsid w:val="13AF1D43"/>
    <w:rsid w:val="13CE1647"/>
    <w:rsid w:val="14200702"/>
    <w:rsid w:val="144F3F11"/>
    <w:rsid w:val="1580711B"/>
    <w:rsid w:val="16D80EBF"/>
    <w:rsid w:val="189B0D0B"/>
    <w:rsid w:val="18E03A42"/>
    <w:rsid w:val="19313430"/>
    <w:rsid w:val="194A1770"/>
    <w:rsid w:val="1983686E"/>
    <w:rsid w:val="19B906A4"/>
    <w:rsid w:val="19BC4734"/>
    <w:rsid w:val="1A1F744B"/>
    <w:rsid w:val="1A7F5D0F"/>
    <w:rsid w:val="1A9F2593"/>
    <w:rsid w:val="1AB1005B"/>
    <w:rsid w:val="1AB10093"/>
    <w:rsid w:val="1B501DE7"/>
    <w:rsid w:val="1B6F15B6"/>
    <w:rsid w:val="1BAA2EDC"/>
    <w:rsid w:val="1CE157EE"/>
    <w:rsid w:val="1D014A01"/>
    <w:rsid w:val="1D022362"/>
    <w:rsid w:val="1D091B60"/>
    <w:rsid w:val="1D794AE5"/>
    <w:rsid w:val="1DD26311"/>
    <w:rsid w:val="1DE57DAF"/>
    <w:rsid w:val="1E2230FA"/>
    <w:rsid w:val="1EF67CA4"/>
    <w:rsid w:val="1F213FD9"/>
    <w:rsid w:val="1FCD26AF"/>
    <w:rsid w:val="20642787"/>
    <w:rsid w:val="20C83310"/>
    <w:rsid w:val="20EC77A3"/>
    <w:rsid w:val="21556F04"/>
    <w:rsid w:val="21A13DDD"/>
    <w:rsid w:val="22403BD3"/>
    <w:rsid w:val="22D20B00"/>
    <w:rsid w:val="235A558D"/>
    <w:rsid w:val="23943A9B"/>
    <w:rsid w:val="245913E6"/>
    <w:rsid w:val="24B92327"/>
    <w:rsid w:val="2533755C"/>
    <w:rsid w:val="25EC3FE2"/>
    <w:rsid w:val="26396DF4"/>
    <w:rsid w:val="266B763B"/>
    <w:rsid w:val="27167136"/>
    <w:rsid w:val="27B23302"/>
    <w:rsid w:val="27D424D7"/>
    <w:rsid w:val="285722C3"/>
    <w:rsid w:val="28A6651D"/>
    <w:rsid w:val="28B2691E"/>
    <w:rsid w:val="28DC1FF8"/>
    <w:rsid w:val="29310A5F"/>
    <w:rsid w:val="29C37A35"/>
    <w:rsid w:val="2A076083"/>
    <w:rsid w:val="2A2A375E"/>
    <w:rsid w:val="2A306CA5"/>
    <w:rsid w:val="2A73162E"/>
    <w:rsid w:val="2AFA2E94"/>
    <w:rsid w:val="2B167953"/>
    <w:rsid w:val="2B200583"/>
    <w:rsid w:val="2B8209DE"/>
    <w:rsid w:val="2B8D1C7B"/>
    <w:rsid w:val="2B9D1133"/>
    <w:rsid w:val="2C6762A3"/>
    <w:rsid w:val="2CEC6364"/>
    <w:rsid w:val="2D5F4C37"/>
    <w:rsid w:val="2FE029D7"/>
    <w:rsid w:val="2FF06E00"/>
    <w:rsid w:val="306A6486"/>
    <w:rsid w:val="306E45C9"/>
    <w:rsid w:val="315F0B22"/>
    <w:rsid w:val="31BE24D6"/>
    <w:rsid w:val="31D84415"/>
    <w:rsid w:val="32285F6F"/>
    <w:rsid w:val="32527281"/>
    <w:rsid w:val="32770556"/>
    <w:rsid w:val="329C0913"/>
    <w:rsid w:val="3337290D"/>
    <w:rsid w:val="352930DB"/>
    <w:rsid w:val="35573069"/>
    <w:rsid w:val="358C217E"/>
    <w:rsid w:val="359E7284"/>
    <w:rsid w:val="359F188C"/>
    <w:rsid w:val="36C9128A"/>
    <w:rsid w:val="37841E99"/>
    <w:rsid w:val="379C594F"/>
    <w:rsid w:val="37BF1123"/>
    <w:rsid w:val="37C85E36"/>
    <w:rsid w:val="38BE4696"/>
    <w:rsid w:val="38F61C4C"/>
    <w:rsid w:val="39B82A39"/>
    <w:rsid w:val="39F33306"/>
    <w:rsid w:val="3B1705E5"/>
    <w:rsid w:val="3B18334B"/>
    <w:rsid w:val="3B36794F"/>
    <w:rsid w:val="3B544954"/>
    <w:rsid w:val="3B793FF0"/>
    <w:rsid w:val="3B97076E"/>
    <w:rsid w:val="3BC755AC"/>
    <w:rsid w:val="3C177DCE"/>
    <w:rsid w:val="3C5A5928"/>
    <w:rsid w:val="3C6A5B02"/>
    <w:rsid w:val="3C764A5C"/>
    <w:rsid w:val="3D2757A1"/>
    <w:rsid w:val="3D3D4FC4"/>
    <w:rsid w:val="3DDF3AB1"/>
    <w:rsid w:val="3DE44590"/>
    <w:rsid w:val="3DE60B7E"/>
    <w:rsid w:val="3E0E6857"/>
    <w:rsid w:val="3E1D0952"/>
    <w:rsid w:val="3E42660A"/>
    <w:rsid w:val="3E7555B1"/>
    <w:rsid w:val="3EA72472"/>
    <w:rsid w:val="3ED2616E"/>
    <w:rsid w:val="3EDE1208"/>
    <w:rsid w:val="3F0527E5"/>
    <w:rsid w:val="3F16459E"/>
    <w:rsid w:val="4004000C"/>
    <w:rsid w:val="407255E9"/>
    <w:rsid w:val="40C511E5"/>
    <w:rsid w:val="411B6CE5"/>
    <w:rsid w:val="412070D7"/>
    <w:rsid w:val="41314E40"/>
    <w:rsid w:val="415C674B"/>
    <w:rsid w:val="426C1EA8"/>
    <w:rsid w:val="42700262"/>
    <w:rsid w:val="42E86A87"/>
    <w:rsid w:val="43136432"/>
    <w:rsid w:val="435E08BF"/>
    <w:rsid w:val="43CA178E"/>
    <w:rsid w:val="443A3B12"/>
    <w:rsid w:val="44487B36"/>
    <w:rsid w:val="44EF6BE8"/>
    <w:rsid w:val="45A30364"/>
    <w:rsid w:val="465B470D"/>
    <w:rsid w:val="465F09CF"/>
    <w:rsid w:val="469D6AD4"/>
    <w:rsid w:val="47674801"/>
    <w:rsid w:val="48225EF7"/>
    <w:rsid w:val="48A36D47"/>
    <w:rsid w:val="495C4A24"/>
    <w:rsid w:val="49A21DF3"/>
    <w:rsid w:val="49C811E4"/>
    <w:rsid w:val="49EE6436"/>
    <w:rsid w:val="49FA188E"/>
    <w:rsid w:val="4A216E30"/>
    <w:rsid w:val="4B7951CB"/>
    <w:rsid w:val="4B7C315C"/>
    <w:rsid w:val="4B9300D7"/>
    <w:rsid w:val="4BAB7F90"/>
    <w:rsid w:val="4BD53EDA"/>
    <w:rsid w:val="4BE11807"/>
    <w:rsid w:val="4C484CE5"/>
    <w:rsid w:val="4DAC4ACA"/>
    <w:rsid w:val="4DD06F63"/>
    <w:rsid w:val="4E043596"/>
    <w:rsid w:val="4EA8523F"/>
    <w:rsid w:val="4F186D58"/>
    <w:rsid w:val="4F224836"/>
    <w:rsid w:val="4FCC17ED"/>
    <w:rsid w:val="505A5A06"/>
    <w:rsid w:val="51760217"/>
    <w:rsid w:val="51E36677"/>
    <w:rsid w:val="522F6E0C"/>
    <w:rsid w:val="52463BA1"/>
    <w:rsid w:val="529F078E"/>
    <w:rsid w:val="52EB2713"/>
    <w:rsid w:val="53C0244D"/>
    <w:rsid w:val="53DD4D4E"/>
    <w:rsid w:val="53E578CE"/>
    <w:rsid w:val="53EA10F5"/>
    <w:rsid w:val="53F72961"/>
    <w:rsid w:val="543B029D"/>
    <w:rsid w:val="54977029"/>
    <w:rsid w:val="554E5773"/>
    <w:rsid w:val="555A3CBC"/>
    <w:rsid w:val="55EF4EA6"/>
    <w:rsid w:val="56530F5D"/>
    <w:rsid w:val="569C3BD1"/>
    <w:rsid w:val="56EE372E"/>
    <w:rsid w:val="5842572D"/>
    <w:rsid w:val="598A28E2"/>
    <w:rsid w:val="598C5BF6"/>
    <w:rsid w:val="5B3A53A8"/>
    <w:rsid w:val="5C1336B7"/>
    <w:rsid w:val="5C263CE4"/>
    <w:rsid w:val="5C5D2777"/>
    <w:rsid w:val="5C722D7F"/>
    <w:rsid w:val="5C7F3319"/>
    <w:rsid w:val="5D290C69"/>
    <w:rsid w:val="5EFA176D"/>
    <w:rsid w:val="5F0247F9"/>
    <w:rsid w:val="5F2D4A41"/>
    <w:rsid w:val="5FC06878"/>
    <w:rsid w:val="601C34ED"/>
    <w:rsid w:val="60A511FB"/>
    <w:rsid w:val="60B46450"/>
    <w:rsid w:val="60FB1AB9"/>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7F2B0B"/>
    <w:rsid w:val="6587477F"/>
    <w:rsid w:val="658C3A08"/>
    <w:rsid w:val="65C031CA"/>
    <w:rsid w:val="65CE6852"/>
    <w:rsid w:val="65F004F9"/>
    <w:rsid w:val="66267C04"/>
    <w:rsid w:val="663F505A"/>
    <w:rsid w:val="667F2393"/>
    <w:rsid w:val="66C231EC"/>
    <w:rsid w:val="66EE5541"/>
    <w:rsid w:val="67086152"/>
    <w:rsid w:val="687E45FE"/>
    <w:rsid w:val="692172FD"/>
    <w:rsid w:val="6A3829EE"/>
    <w:rsid w:val="6A924CB7"/>
    <w:rsid w:val="6AE0292E"/>
    <w:rsid w:val="6B474EF5"/>
    <w:rsid w:val="6B723B89"/>
    <w:rsid w:val="6BC27679"/>
    <w:rsid w:val="6BC54EFE"/>
    <w:rsid w:val="6C560CAE"/>
    <w:rsid w:val="6CD15296"/>
    <w:rsid w:val="6D670DF8"/>
    <w:rsid w:val="6D903FF5"/>
    <w:rsid w:val="6DA955B8"/>
    <w:rsid w:val="6DE346AB"/>
    <w:rsid w:val="6E305033"/>
    <w:rsid w:val="6FFB2E76"/>
    <w:rsid w:val="70AB70D6"/>
    <w:rsid w:val="70DE5507"/>
    <w:rsid w:val="71C34D91"/>
    <w:rsid w:val="71ED38AA"/>
    <w:rsid w:val="723B4B3E"/>
    <w:rsid w:val="72DB435C"/>
    <w:rsid w:val="741858B1"/>
    <w:rsid w:val="747566EB"/>
    <w:rsid w:val="74ED1B1B"/>
    <w:rsid w:val="750837F0"/>
    <w:rsid w:val="75E45394"/>
    <w:rsid w:val="762A73EF"/>
    <w:rsid w:val="7631412E"/>
    <w:rsid w:val="764A2989"/>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A94FA0"/>
    <w:rsid w:val="7CAC0922"/>
    <w:rsid w:val="7CE56AF6"/>
    <w:rsid w:val="7CF02E5B"/>
    <w:rsid w:val="7D213FB2"/>
    <w:rsid w:val="7E2140BE"/>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Char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1">
    <w:name w:val="15"/>
    <w:basedOn w:val="7"/>
    <w:qFormat/>
    <w:uiPriority w:val="0"/>
    <w:rPr>
      <w:rFonts w:hint="default" w:ascii="Times New Roman" w:hAnsi="Times New Roman" w:cs="Times New Roman"/>
      <w:b/>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7"/>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5</TotalTime>
  <ScaleCrop>false</ScaleCrop>
  <LinksUpToDate>false</LinksUpToDate>
  <CharactersWithSpaces>21460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2025-10-21T09:15:46Z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ICV">
    <vt:lpwstr>BB46EABDBB2749749395447164B066B3_12</vt:lpwstr>
  </property>
</Properties>
</file>