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重庆市綦江区文化旅游服务中心</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2021年度部门决算公开说明</w:t>
      </w:r>
    </w:p>
    <w:p>
      <w:pPr>
        <w:spacing w:line="600" w:lineRule="exact"/>
        <w:rPr>
          <w:rFonts w:ascii="方正小标宋_GBK" w:eastAsia="方正小标宋_GBK"/>
          <w:b/>
          <w:sz w:val="44"/>
          <w:szCs w:val="44"/>
        </w:rPr>
      </w:pPr>
    </w:p>
    <w:p>
      <w:pPr>
        <w:pStyle w:val="10"/>
        <w:tabs>
          <w:tab w:val="center" w:pos="4153"/>
          <w:tab w:val="left" w:pos="7275"/>
        </w:tabs>
        <w:spacing w:line="600" w:lineRule="exact"/>
        <w:ind w:firstLine="640"/>
        <w:rPr>
          <w:rFonts w:eastAsia="方正黑体_GBK"/>
          <w:sz w:val="32"/>
          <w:szCs w:val="32"/>
        </w:rPr>
      </w:pPr>
      <w:r>
        <w:rPr>
          <w:rFonts w:hint="eastAsia" w:eastAsia="方正黑体_GBK"/>
          <w:sz w:val="32"/>
          <w:szCs w:val="32"/>
        </w:rPr>
        <w:t>一、单位基本情况</w:t>
      </w:r>
    </w:p>
    <w:p>
      <w:pPr>
        <w:spacing w:line="600" w:lineRule="exact"/>
        <w:ind w:firstLine="640" w:firstLineChars="200"/>
        <w:rPr>
          <w:rFonts w:ascii="方正楷体_GBK" w:eastAsia="方正楷体_GBK" w:cs="宋体"/>
          <w:kern w:val="0"/>
          <w:sz w:val="32"/>
          <w:szCs w:val="32"/>
        </w:rPr>
      </w:pPr>
      <w:r>
        <w:rPr>
          <w:rFonts w:hint="eastAsia" w:ascii="方正楷体_GBK" w:eastAsia="方正楷体_GBK" w:cs="宋体"/>
          <w:kern w:val="0"/>
          <w:sz w:val="32"/>
          <w:szCs w:val="32"/>
        </w:rPr>
        <w:t>（一）职能职责。</w:t>
      </w:r>
    </w:p>
    <w:p>
      <w:pPr>
        <w:spacing w:line="60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1.指导全区旅游学术活动和行业协会工作。</w:t>
      </w:r>
    </w:p>
    <w:p>
      <w:pPr>
        <w:spacing w:line="60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2.负责旅游业发展目标评价考核体系建设，组织旅游业服务质量的检查、考核、交流。</w:t>
      </w:r>
    </w:p>
    <w:p>
      <w:pPr>
        <w:spacing w:line="60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3.负责旅游从业人员的培训监督管理工作，协助处理游客投诉。</w:t>
      </w:r>
    </w:p>
    <w:p>
      <w:pPr>
        <w:spacing w:line="60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4.负责旅游景区景点质量等级评定申报，大数据监测、旅游统计和分析工作。</w:t>
      </w:r>
    </w:p>
    <w:p>
      <w:pPr>
        <w:spacing w:line="60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5.负责应急广播系统的后续管理工作。</w:t>
      </w:r>
    </w:p>
    <w:p>
      <w:pPr>
        <w:spacing w:line="60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6.负责指导文化和旅游商品生产和销售企业定点工作；规范、优化文化和旅游旅游商品市场环境；指导文化和旅游旅游商品的品牌建设和知识产权保护工作。</w:t>
      </w:r>
    </w:p>
    <w:p>
      <w:pPr>
        <w:spacing w:line="60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7.负责统筹全区旅游形象宣传和国内外旅游宣传促销计划并组织实施。</w:t>
      </w:r>
    </w:p>
    <w:p>
      <w:pPr>
        <w:spacing w:line="60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8.负责培育旅游市场，制定全区旅游市场开发和深度营销战略并组织实施。</w:t>
      </w:r>
    </w:p>
    <w:p>
      <w:pPr>
        <w:spacing w:line="60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9.完成上级交办的其他工作。</w:t>
      </w:r>
    </w:p>
    <w:p>
      <w:pPr>
        <w:spacing w:line="600" w:lineRule="exact"/>
        <w:ind w:firstLine="640" w:firstLineChars="200"/>
        <w:rPr>
          <w:rFonts w:ascii="方正楷体_GBK" w:eastAsia="方正楷体_GBK" w:cs="宋体"/>
          <w:kern w:val="0"/>
          <w:sz w:val="32"/>
          <w:szCs w:val="32"/>
        </w:rPr>
      </w:pPr>
      <w:r>
        <w:rPr>
          <w:rFonts w:hint="eastAsia" w:ascii="方正楷体_GBK" w:eastAsia="方正楷体_GBK" w:cs="宋体"/>
          <w:kern w:val="0"/>
          <w:sz w:val="32"/>
          <w:szCs w:val="32"/>
        </w:rPr>
        <w:t>（二）机构设置。</w:t>
      </w:r>
    </w:p>
    <w:p>
      <w:pPr>
        <w:spacing w:line="60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重庆市綦江区文化旅游服务中心为区文化旅游委所属事业单位，机构类型为公益一类事业单位，机构级别为正科级，经费形式为财政全额拨款，宗旨为开展文化旅游服务，促进文化旅游事业发展。</w:t>
      </w:r>
    </w:p>
    <w:p>
      <w:pPr>
        <w:spacing w:line="600" w:lineRule="exact"/>
        <w:ind w:firstLine="640" w:firstLineChars="200"/>
        <w:rPr>
          <w:rFonts w:ascii="方正楷体_GBK" w:eastAsia="方正楷体_GBK" w:cs="宋体"/>
          <w:kern w:val="0"/>
          <w:sz w:val="32"/>
          <w:szCs w:val="32"/>
        </w:rPr>
      </w:pPr>
      <w:r>
        <w:rPr>
          <w:rFonts w:hint="eastAsia" w:ascii="方正楷体_GBK" w:eastAsia="方正楷体_GBK" w:cs="宋体"/>
          <w:kern w:val="0"/>
          <w:sz w:val="32"/>
          <w:szCs w:val="32"/>
        </w:rPr>
        <w:t>（三）内设机构。</w:t>
      </w:r>
    </w:p>
    <w:p>
      <w:pPr>
        <w:spacing w:line="60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根据上述职能，重庆市綦江区文化旅游服务中心下设办公室、旅游宣传营销中心等2个内设机构。</w:t>
      </w:r>
    </w:p>
    <w:p>
      <w:pPr>
        <w:spacing w:line="600" w:lineRule="exact"/>
        <w:ind w:firstLine="640" w:firstLineChars="200"/>
        <w:rPr>
          <w:rFonts w:eastAsia="方正黑体_GBK"/>
          <w:sz w:val="32"/>
          <w:szCs w:val="32"/>
        </w:rPr>
      </w:pPr>
      <w:r>
        <w:rPr>
          <w:rFonts w:hint="eastAsia" w:eastAsia="方正黑体_GBK"/>
          <w:sz w:val="32"/>
          <w:szCs w:val="32"/>
        </w:rPr>
        <w:t>二、部门决算情况说明</w:t>
      </w:r>
    </w:p>
    <w:p>
      <w:pPr>
        <w:spacing w:line="600" w:lineRule="exact"/>
        <w:ind w:firstLine="640" w:firstLineChars="200"/>
        <w:rPr>
          <w:rFonts w:ascii="方正楷体_GBK" w:eastAsia="方正楷体_GBK" w:cs="宋体"/>
          <w:kern w:val="0"/>
          <w:sz w:val="32"/>
          <w:szCs w:val="32"/>
        </w:rPr>
      </w:pPr>
      <w:r>
        <w:rPr>
          <w:rFonts w:hint="eastAsia" w:ascii="方正楷体_GBK" w:eastAsia="方正楷体_GBK" w:cs="宋体"/>
          <w:kern w:val="0"/>
          <w:sz w:val="32"/>
          <w:szCs w:val="32"/>
        </w:rPr>
        <w:t>（一）收入支出决算总体情况说明。</w:t>
      </w:r>
    </w:p>
    <w:p>
      <w:pPr>
        <w:spacing w:line="600" w:lineRule="exact"/>
        <w:ind w:firstLine="640" w:firstLineChars="200"/>
        <w:jc w:val="left"/>
        <w:rPr>
          <w:rFonts w:ascii="方正仿宋_GBK" w:eastAsia="方正仿宋_GBK" w:cs="宋体"/>
          <w:kern w:val="0"/>
          <w:sz w:val="32"/>
          <w:szCs w:val="32"/>
        </w:rPr>
      </w:pPr>
      <w:r>
        <w:rPr>
          <w:rFonts w:hint="eastAsia" w:ascii="方正仿宋_GBK" w:eastAsia="方正仿宋_GBK" w:cs="宋体"/>
          <w:kern w:val="0"/>
          <w:sz w:val="32"/>
          <w:szCs w:val="32"/>
        </w:rPr>
        <w:t>1.总体情况。</w:t>
      </w:r>
      <w:r>
        <w:rPr>
          <w:rFonts w:ascii="方正仿宋_GBK" w:eastAsia="方正仿宋_GBK" w:cs="宋体"/>
          <w:kern w:val="0"/>
          <w:sz w:val="32"/>
          <w:szCs w:val="32"/>
        </w:rPr>
        <w:t>2021年度收入总计122.77万元，支出总计122.77万元。收支较上年决算数减少37.94万元、下降23.6%，主要原因</w:t>
      </w:r>
      <w:r>
        <w:rPr>
          <w:rFonts w:hint="eastAsia" w:ascii="方正仿宋_GBK" w:eastAsia="方正仿宋_GBK" w:cs="宋体"/>
          <w:kern w:val="0"/>
          <w:sz w:val="32"/>
          <w:szCs w:val="32"/>
        </w:rPr>
        <w:t>：一是规范津贴补贴后人员性经费正常减少33.46万元；二是公用经费因扶贫等增加劳务费、租车费等而正常增加13.62万元；三是项目支出净减少18.1万元。</w:t>
      </w:r>
    </w:p>
    <w:p>
      <w:pPr>
        <w:spacing w:line="600" w:lineRule="exact"/>
        <w:ind w:firstLine="640" w:firstLineChars="200"/>
        <w:jc w:val="left"/>
        <w:rPr>
          <w:rFonts w:ascii="方正仿宋_GBK" w:eastAsia="方正仿宋_GBK"/>
          <w:sz w:val="32"/>
          <w:szCs w:val="32"/>
        </w:rPr>
      </w:pPr>
      <w:r>
        <w:rPr>
          <w:rFonts w:hint="eastAsia" w:ascii="方正仿宋_GBK" w:eastAsia="方正仿宋_GBK" w:cs="宋体"/>
          <w:kern w:val="0"/>
          <w:sz w:val="32"/>
          <w:szCs w:val="32"/>
        </w:rPr>
        <w:t>2.收入情况。</w:t>
      </w:r>
      <w:r>
        <w:rPr>
          <w:rFonts w:ascii="方正仿宋_GBK" w:eastAsia="方正仿宋_GBK"/>
          <w:sz w:val="32"/>
          <w:szCs w:val="32"/>
        </w:rPr>
        <w:t>2021年度收入合计114.98万元，较上年决算数减少14.22万元，下降11</w:t>
      </w:r>
      <w:r>
        <w:rPr>
          <w:rFonts w:hint="eastAsia" w:ascii="方正仿宋_GBK" w:eastAsia="方正仿宋_GBK"/>
          <w:sz w:val="32"/>
          <w:szCs w:val="32"/>
        </w:rPr>
        <w:t>.0</w:t>
      </w:r>
      <w:r>
        <w:rPr>
          <w:rFonts w:ascii="方正仿宋_GBK" w:eastAsia="方正仿宋_GBK"/>
          <w:sz w:val="32"/>
          <w:szCs w:val="32"/>
        </w:rPr>
        <w:t>%，</w:t>
      </w:r>
      <w:r>
        <w:rPr>
          <w:rFonts w:ascii="方正仿宋_GBK" w:eastAsia="方正仿宋_GBK" w:cs="宋体"/>
          <w:kern w:val="0"/>
          <w:sz w:val="32"/>
          <w:szCs w:val="32"/>
        </w:rPr>
        <w:t>主要原因</w:t>
      </w:r>
      <w:r>
        <w:rPr>
          <w:rFonts w:hint="eastAsia" w:ascii="方正仿宋_GBK" w:eastAsia="方正仿宋_GBK" w:cs="宋体"/>
          <w:kern w:val="0"/>
          <w:sz w:val="32"/>
          <w:szCs w:val="32"/>
        </w:rPr>
        <w:t>：一是规范津贴补贴后人员性经费正常减少9.74万元；二是公用经费因扶贫等增加劳务费、租车费等而正常增加13.62万元；三是项目支出净减少18.1万元。</w:t>
      </w:r>
      <w:r>
        <w:rPr>
          <w:rFonts w:ascii="方正仿宋_GBK" w:eastAsia="方正仿宋_GBK"/>
          <w:sz w:val="32"/>
          <w:szCs w:val="32"/>
        </w:rPr>
        <w:t>其中：财政拨款收入114.98万元，占100</w:t>
      </w:r>
      <w:r>
        <w:rPr>
          <w:rFonts w:hint="eastAsia" w:ascii="方正仿宋_GBK" w:eastAsia="方正仿宋_GBK"/>
          <w:sz w:val="32"/>
          <w:szCs w:val="32"/>
        </w:rPr>
        <w:t>.0</w:t>
      </w:r>
      <w:r>
        <w:rPr>
          <w:rFonts w:ascii="方正仿宋_GBK" w:eastAsia="方正仿宋_GBK"/>
          <w:sz w:val="32"/>
          <w:szCs w:val="32"/>
        </w:rPr>
        <w:t>%</w:t>
      </w:r>
      <w:r>
        <w:rPr>
          <w:rFonts w:hint="eastAsia" w:ascii="方正仿宋_GBK" w:eastAsia="方正仿宋_GBK"/>
          <w:sz w:val="32"/>
          <w:szCs w:val="32"/>
        </w:rPr>
        <w:t>。此外，</w:t>
      </w:r>
      <w:r>
        <w:rPr>
          <w:rFonts w:ascii="方正仿宋_GBK" w:eastAsia="方正仿宋_GBK"/>
          <w:sz w:val="32"/>
          <w:szCs w:val="32"/>
        </w:rPr>
        <w:t>年初结转和结余7.79万元</w:t>
      </w:r>
      <w:r>
        <w:rPr>
          <w:rFonts w:hint="eastAsia" w:ascii="方正仿宋_GBK" w:eastAsia="方正仿宋_GBK"/>
          <w:sz w:val="32"/>
          <w:szCs w:val="32"/>
        </w:rPr>
        <w:t>。</w:t>
      </w:r>
    </w:p>
    <w:p>
      <w:pPr>
        <w:spacing w:line="600" w:lineRule="exact"/>
        <w:ind w:firstLine="640" w:firstLineChars="200"/>
        <w:jc w:val="left"/>
        <w:rPr>
          <w:rFonts w:ascii="方正仿宋_GBK" w:eastAsia="方正仿宋_GBK" w:cs="宋体"/>
          <w:kern w:val="0"/>
          <w:sz w:val="32"/>
          <w:szCs w:val="32"/>
        </w:rPr>
      </w:pPr>
      <w:r>
        <w:rPr>
          <w:rFonts w:hint="eastAsia" w:ascii="方正仿宋_GBK" w:eastAsia="方正仿宋_GBK" w:cs="宋体"/>
          <w:kern w:val="0"/>
          <w:sz w:val="32"/>
          <w:szCs w:val="32"/>
        </w:rPr>
        <w:t>3.支出</w:t>
      </w:r>
      <w:r>
        <w:rPr>
          <w:rFonts w:hint="eastAsia" w:ascii="方正仿宋_GBK" w:eastAsia="方正仿宋_GBK"/>
          <w:sz w:val="32"/>
          <w:szCs w:val="32"/>
        </w:rPr>
        <w:t>情况。</w:t>
      </w:r>
      <w:r>
        <w:rPr>
          <w:rFonts w:ascii="方正仿宋_GBK" w:eastAsia="方正仿宋_GBK"/>
          <w:sz w:val="32"/>
          <w:szCs w:val="32"/>
        </w:rPr>
        <w:t>2021年度支出合计122.77万元，较上年决算数减少37.94万元，下降23.6%，主要原因是</w:t>
      </w:r>
      <w:r>
        <w:rPr>
          <w:rFonts w:hint="eastAsia" w:ascii="方正仿宋_GBK" w:eastAsia="方正仿宋_GBK" w:cs="宋体"/>
          <w:kern w:val="0"/>
          <w:sz w:val="32"/>
          <w:szCs w:val="32"/>
        </w:rPr>
        <w:t>规范津贴补贴后人员性经费正常减少33.46万元，公用经费因扶贫等增加劳务费、租车费等增加13.62万元，项目经费减少18.1万元。</w:t>
      </w:r>
    </w:p>
    <w:p>
      <w:pPr>
        <w:spacing w:line="60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4.结转结余情况。2021年度年末结转和结余0万元，</w:t>
      </w:r>
      <w:r>
        <w:rPr>
          <w:rFonts w:hint="eastAsia" w:ascii="方正仿宋_GBK" w:eastAsia="方正仿宋_GBK"/>
          <w:sz w:val="32"/>
          <w:szCs w:val="32"/>
        </w:rPr>
        <w:t>与</w:t>
      </w:r>
      <w:r>
        <w:rPr>
          <w:rFonts w:hint="eastAsia" w:ascii="方正仿宋_GBK" w:eastAsia="方正仿宋_GBK" w:cs="宋体"/>
          <w:kern w:val="0"/>
          <w:sz w:val="32"/>
          <w:szCs w:val="32"/>
        </w:rPr>
        <w:t>上年持平。</w:t>
      </w:r>
    </w:p>
    <w:p>
      <w:pPr>
        <w:spacing w:line="600" w:lineRule="exact"/>
        <w:ind w:firstLine="640" w:firstLineChars="200"/>
        <w:rPr>
          <w:rFonts w:ascii="方正楷体_GBK" w:eastAsia="方正楷体_GBK" w:cs="宋体"/>
          <w:kern w:val="0"/>
          <w:sz w:val="32"/>
          <w:szCs w:val="32"/>
        </w:rPr>
      </w:pPr>
      <w:r>
        <w:rPr>
          <w:rFonts w:hint="eastAsia" w:ascii="方正楷体_GBK" w:eastAsia="方正楷体_GBK" w:cs="宋体"/>
          <w:kern w:val="0"/>
          <w:sz w:val="32"/>
          <w:szCs w:val="32"/>
        </w:rPr>
        <w:t>（二）财政拨款收入支出决算总体情况说明。</w:t>
      </w:r>
    </w:p>
    <w:p>
      <w:pPr>
        <w:spacing w:line="600" w:lineRule="exact"/>
        <w:ind w:firstLine="640" w:firstLineChars="200"/>
        <w:rPr>
          <w:rFonts w:ascii="方正仿宋_GBK" w:eastAsia="方正仿宋_GBK" w:cs="宋体"/>
          <w:kern w:val="0"/>
          <w:sz w:val="32"/>
          <w:szCs w:val="32"/>
        </w:rPr>
      </w:pPr>
      <w:r>
        <w:rPr>
          <w:rFonts w:ascii="方正仿宋_GBK" w:eastAsia="方正仿宋_GBK" w:cs="宋体"/>
          <w:kern w:val="0"/>
          <w:sz w:val="32"/>
          <w:szCs w:val="32"/>
        </w:rPr>
        <w:t>2021年度财政拨款收、支总计122.77万元。与2020年相比，财政拨款收、支总计各减少37.94万元，下降23.6%。主要原因</w:t>
      </w:r>
      <w:r>
        <w:rPr>
          <w:rFonts w:hint="eastAsia" w:ascii="方正仿宋_GBK" w:eastAsia="方正仿宋_GBK" w:cs="宋体"/>
          <w:kern w:val="0"/>
          <w:sz w:val="32"/>
          <w:szCs w:val="32"/>
        </w:rPr>
        <w:t>：一是规范津贴补贴后人员性经费正常减少33.46万元；二是因扶贫等工作增加劳务费、租车费等导致公用经费增加13.62万元；三是项目支出净减少18.1万元。</w:t>
      </w:r>
    </w:p>
    <w:p>
      <w:pPr>
        <w:spacing w:line="600" w:lineRule="exact"/>
        <w:ind w:firstLine="640" w:firstLineChars="200"/>
        <w:rPr>
          <w:rFonts w:ascii="方正楷体_GBK" w:eastAsia="方正楷体_GBK" w:cs="宋体"/>
          <w:kern w:val="0"/>
          <w:sz w:val="32"/>
          <w:szCs w:val="32"/>
        </w:rPr>
      </w:pPr>
      <w:r>
        <w:rPr>
          <w:rFonts w:hint="eastAsia" w:ascii="方正楷体_GBK" w:eastAsia="方正楷体_GBK" w:cs="宋体"/>
          <w:kern w:val="0"/>
          <w:sz w:val="32"/>
          <w:szCs w:val="32"/>
        </w:rPr>
        <w:t>（三）一般公共预算财政拨款支出决算情况说明。</w:t>
      </w:r>
    </w:p>
    <w:p>
      <w:pPr>
        <w:spacing w:line="600" w:lineRule="exact"/>
        <w:ind w:firstLine="640" w:firstLineChars="200"/>
        <w:rPr>
          <w:rFonts w:ascii="方正仿宋_GBK" w:eastAsia="方正仿宋_GBK"/>
          <w:sz w:val="32"/>
          <w:szCs w:val="32"/>
        </w:rPr>
      </w:pPr>
      <w:r>
        <w:rPr>
          <w:rFonts w:hint="eastAsia" w:ascii="方正楷体_GBK" w:eastAsia="方正楷体_GBK" w:cs="宋体"/>
          <w:kern w:val="0"/>
          <w:sz w:val="32"/>
          <w:szCs w:val="32"/>
        </w:rPr>
        <w:t>1.收入情况。</w:t>
      </w:r>
      <w:r>
        <w:rPr>
          <w:rFonts w:ascii="方正仿宋_GBK" w:eastAsia="方正仿宋_GBK" w:cs="宋体"/>
          <w:kern w:val="0"/>
          <w:sz w:val="32"/>
          <w:szCs w:val="32"/>
        </w:rPr>
        <w:t>2021年度一般公共预算财政拨款收入114.98万元，较上年决算数减少14.22万元，下降11</w:t>
      </w:r>
      <w:r>
        <w:rPr>
          <w:rFonts w:hint="eastAsia" w:ascii="方正仿宋_GBK" w:eastAsia="方正仿宋_GBK" w:cs="宋体"/>
          <w:kern w:val="0"/>
          <w:sz w:val="32"/>
          <w:szCs w:val="32"/>
        </w:rPr>
        <w:t>.0</w:t>
      </w:r>
      <w:r>
        <w:rPr>
          <w:rFonts w:ascii="方正仿宋_GBK" w:eastAsia="方正仿宋_GBK" w:cs="宋体"/>
          <w:kern w:val="0"/>
          <w:sz w:val="32"/>
          <w:szCs w:val="32"/>
        </w:rPr>
        <w:t>%。</w:t>
      </w:r>
      <w:r>
        <w:rPr>
          <w:rFonts w:ascii="方正仿宋_GBK" w:eastAsia="方正仿宋_GBK"/>
          <w:sz w:val="32"/>
          <w:szCs w:val="32"/>
        </w:rPr>
        <w:t>主要原因是</w:t>
      </w:r>
      <w:r>
        <w:rPr>
          <w:rFonts w:hint="eastAsia" w:ascii="方正仿宋_GBK" w:eastAsia="方正仿宋_GBK" w:cs="宋体"/>
          <w:kern w:val="0"/>
          <w:sz w:val="32"/>
          <w:szCs w:val="32"/>
        </w:rPr>
        <w:t>人员正常增资、扶贫等公用经费正常增加造成基本支出总体增加3.88万元，项目经费正常减少18.1万元。</w:t>
      </w:r>
      <w:r>
        <w:rPr>
          <w:rFonts w:ascii="方正仿宋_GBK" w:eastAsia="方正仿宋_GBK" w:cs="宋体"/>
          <w:kern w:val="0"/>
          <w:sz w:val="32"/>
          <w:szCs w:val="32"/>
        </w:rPr>
        <w:t>较年初预算数减少6.41万元，下降5.3</w:t>
      </w:r>
      <w:r>
        <w:rPr>
          <w:rFonts w:ascii="方正仿宋_GBK" w:eastAsia="方正仿宋_GBK"/>
          <w:sz w:val="32"/>
          <w:szCs w:val="32"/>
        </w:rPr>
        <w:t>%。主要原因是</w:t>
      </w:r>
      <w:r>
        <w:rPr>
          <w:rFonts w:hint="eastAsia" w:ascii="方正仿宋_GBK" w:eastAsia="方正仿宋_GBK" w:cs="宋体"/>
          <w:kern w:val="0"/>
          <w:sz w:val="32"/>
          <w:szCs w:val="32"/>
        </w:rPr>
        <w:t>规范津贴补贴后人员性经费正常减少6.41万元。</w:t>
      </w:r>
      <w:r>
        <w:rPr>
          <w:rFonts w:ascii="方正仿宋_GBK" w:eastAsia="方正仿宋_GBK"/>
          <w:sz w:val="32"/>
          <w:szCs w:val="32"/>
        </w:rPr>
        <w:t>此外，年初财政拨款结转和结余7.79万元。</w:t>
      </w:r>
    </w:p>
    <w:p>
      <w:pPr>
        <w:spacing w:line="600" w:lineRule="exact"/>
        <w:ind w:firstLine="640" w:firstLineChars="200"/>
        <w:rPr>
          <w:rFonts w:ascii="方正仿宋_GBK" w:eastAsia="方正仿宋_GBK"/>
          <w:sz w:val="32"/>
          <w:szCs w:val="32"/>
        </w:rPr>
      </w:pPr>
      <w:r>
        <w:rPr>
          <w:rFonts w:hint="eastAsia" w:ascii="方正仿宋_GBK" w:eastAsia="方正仿宋_GBK" w:cs="宋体"/>
          <w:kern w:val="0"/>
          <w:sz w:val="32"/>
          <w:szCs w:val="32"/>
        </w:rPr>
        <w:t>2.支出情况</w:t>
      </w:r>
      <w:r>
        <w:rPr>
          <w:rFonts w:hint="eastAsia" w:ascii="方正仿宋_GBK" w:eastAsia="方正仿宋_GBK"/>
          <w:sz w:val="32"/>
          <w:szCs w:val="32"/>
        </w:rPr>
        <w:t>。</w:t>
      </w:r>
      <w:r>
        <w:rPr>
          <w:rFonts w:ascii="方正仿宋_GBK" w:eastAsia="方正仿宋_GBK"/>
          <w:sz w:val="32"/>
          <w:szCs w:val="32"/>
        </w:rPr>
        <w:t>2021年度一般公共预算财政拨款支出122.77万元，较上年决算数减少37.94万元，下降23.6%。主要原因</w:t>
      </w:r>
      <w:r>
        <w:rPr>
          <w:rFonts w:hint="eastAsia" w:ascii="方正仿宋_GBK" w:eastAsia="方正仿宋_GBK"/>
          <w:sz w:val="32"/>
          <w:szCs w:val="32"/>
        </w:rPr>
        <w:t>：</w:t>
      </w:r>
      <w:r>
        <w:rPr>
          <w:rFonts w:hint="eastAsia" w:ascii="方正仿宋_GBK" w:eastAsia="方正仿宋_GBK" w:cs="宋体"/>
          <w:kern w:val="0"/>
          <w:sz w:val="32"/>
          <w:szCs w:val="32"/>
        </w:rPr>
        <w:t>一是规范津贴补贴后人员经费正常减少33.46万元；二是因扶贫等工作增加劳务费、租车费等导致公用经费增加13.62万元；三是项目支出净减少18.1万元。</w:t>
      </w:r>
      <w:r>
        <w:rPr>
          <w:rFonts w:ascii="方正仿宋_GBK" w:eastAsia="方正仿宋_GBK"/>
          <w:sz w:val="32"/>
          <w:szCs w:val="32"/>
        </w:rPr>
        <w:t>较年初预算数减少6.41万元，下降5%</w:t>
      </w:r>
      <w:r>
        <w:rPr>
          <w:rFonts w:hint="eastAsia" w:ascii="方正仿宋_GBK" w:eastAsia="方正仿宋_GBK"/>
          <w:sz w:val="32"/>
          <w:szCs w:val="32"/>
        </w:rPr>
        <w:t>，</w:t>
      </w:r>
      <w:r>
        <w:rPr>
          <w:rFonts w:ascii="方正仿宋_GBK" w:eastAsia="方正仿宋_GBK"/>
          <w:sz w:val="32"/>
          <w:szCs w:val="32"/>
        </w:rPr>
        <w:t>主要原因是</w:t>
      </w:r>
      <w:r>
        <w:rPr>
          <w:rFonts w:hint="eastAsia" w:ascii="方正仿宋_GBK" w:eastAsia="方正仿宋_GBK" w:cs="宋体"/>
          <w:kern w:val="0"/>
          <w:sz w:val="32"/>
          <w:szCs w:val="32"/>
        </w:rPr>
        <w:t>规范津贴补贴后人员性经费正常减少6.41万元</w:t>
      </w:r>
      <w:r>
        <w:rPr>
          <w:rFonts w:ascii="方正仿宋_GBK" w:eastAsia="方正仿宋_GBK"/>
          <w:sz w:val="32"/>
          <w:szCs w:val="32"/>
        </w:rPr>
        <w:t>。</w:t>
      </w:r>
    </w:p>
    <w:p>
      <w:pPr>
        <w:spacing w:line="60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3.结转结余情况。2021年度年末一般公共预算财政拨款结转和结余0万元，与上年持平。</w:t>
      </w:r>
    </w:p>
    <w:p>
      <w:pPr>
        <w:spacing w:line="60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4.比较情况。本部门2021年度一般公共预算财政拨款支出主要用于以下几个方面：</w:t>
      </w:r>
    </w:p>
    <w:p>
      <w:pPr>
        <w:spacing w:line="60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（1）</w:t>
      </w:r>
      <w:r>
        <w:rPr>
          <w:rFonts w:ascii="方正仿宋_GBK" w:eastAsia="方正仿宋_GBK" w:cs="宋体"/>
          <w:kern w:val="0"/>
          <w:sz w:val="32"/>
          <w:szCs w:val="32"/>
        </w:rPr>
        <w:t>文化旅游体育与传媒支出98.24万元，占80</w:t>
      </w:r>
      <w:r>
        <w:rPr>
          <w:rFonts w:hint="eastAsia" w:ascii="方正仿宋_GBK" w:eastAsia="方正仿宋_GBK" w:cs="宋体"/>
          <w:kern w:val="0"/>
          <w:sz w:val="32"/>
          <w:szCs w:val="32"/>
        </w:rPr>
        <w:t>.0</w:t>
      </w:r>
      <w:r>
        <w:rPr>
          <w:rFonts w:ascii="方正仿宋_GBK" w:eastAsia="方正仿宋_GBK" w:cs="宋体"/>
          <w:kern w:val="0"/>
          <w:sz w:val="32"/>
          <w:szCs w:val="32"/>
        </w:rPr>
        <w:t>%，较年初预算数减少6.61万元，下降6.3%，主要原因是</w:t>
      </w:r>
      <w:r>
        <w:rPr>
          <w:rFonts w:hint="eastAsia" w:ascii="方正仿宋_GBK" w:eastAsia="方正仿宋_GBK" w:cs="宋体"/>
          <w:kern w:val="0"/>
          <w:sz w:val="32"/>
          <w:szCs w:val="32"/>
        </w:rPr>
        <w:t>规范津贴补贴后人员经费性支出正常减少6.61</w:t>
      </w:r>
      <w:r>
        <w:rPr>
          <w:rFonts w:ascii="方正仿宋_GBK" w:eastAsia="方正仿宋_GBK" w:cs="宋体"/>
          <w:kern w:val="0"/>
          <w:sz w:val="32"/>
          <w:szCs w:val="32"/>
        </w:rPr>
        <w:t>万元</w:t>
      </w:r>
      <w:r>
        <w:rPr>
          <w:rFonts w:hint="eastAsia" w:ascii="方正仿宋_GBK" w:eastAsia="方正仿宋_GBK" w:cs="宋体"/>
          <w:kern w:val="0"/>
          <w:sz w:val="32"/>
          <w:szCs w:val="32"/>
        </w:rPr>
        <w:t>。</w:t>
      </w:r>
    </w:p>
    <w:p>
      <w:pPr>
        <w:spacing w:line="60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（2）</w:t>
      </w:r>
      <w:r>
        <w:rPr>
          <w:rFonts w:ascii="方正仿宋_GBK" w:eastAsia="方正仿宋_GBK" w:cs="宋体"/>
          <w:kern w:val="0"/>
          <w:sz w:val="32"/>
          <w:szCs w:val="32"/>
        </w:rPr>
        <w:t>社会保障与就业支出15.38万元，占12.5%，较年初预算数增加0.1万元，增长0.7%，主要原因是</w:t>
      </w:r>
      <w:r>
        <w:rPr>
          <w:rFonts w:hint="eastAsia" w:ascii="方正仿宋_GBK" w:eastAsia="方正仿宋_GBK" w:cs="宋体"/>
          <w:kern w:val="0"/>
          <w:sz w:val="32"/>
          <w:szCs w:val="32"/>
        </w:rPr>
        <w:t>缴费基数正常增加而增加支出0.1万元。</w:t>
      </w:r>
    </w:p>
    <w:p>
      <w:pPr>
        <w:spacing w:line="60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（3）</w:t>
      </w:r>
      <w:r>
        <w:rPr>
          <w:rFonts w:ascii="方正仿宋_GBK" w:eastAsia="方正仿宋_GBK" w:cs="宋体"/>
          <w:kern w:val="0"/>
          <w:sz w:val="32"/>
          <w:szCs w:val="32"/>
        </w:rPr>
        <w:t>卫生健康支出4.49万元，占3.7%，较年初预算数增加0.04万元，增长0.9%，主要原因是</w:t>
      </w:r>
      <w:r>
        <w:rPr>
          <w:rFonts w:hint="eastAsia" w:ascii="方正仿宋_GBK" w:eastAsia="方正仿宋_GBK" w:cs="宋体"/>
          <w:kern w:val="0"/>
          <w:sz w:val="32"/>
          <w:szCs w:val="32"/>
        </w:rPr>
        <w:t>缴费基数正常增加而增加支出0.04万元。</w:t>
      </w:r>
    </w:p>
    <w:p>
      <w:pPr>
        <w:spacing w:line="60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（4）</w:t>
      </w:r>
      <w:r>
        <w:rPr>
          <w:rFonts w:ascii="方正仿宋_GBK" w:eastAsia="方正仿宋_GBK" w:cs="宋体"/>
          <w:kern w:val="0"/>
          <w:sz w:val="32"/>
          <w:szCs w:val="32"/>
        </w:rPr>
        <w:t>住房保障支出4.66万元，占3.8%，较年初预算数增加0.05万元，增长1.1%，主要原因是</w:t>
      </w:r>
      <w:r>
        <w:rPr>
          <w:rFonts w:hint="eastAsia" w:ascii="方正仿宋_GBK" w:eastAsia="方正仿宋_GBK" w:cs="宋体"/>
          <w:kern w:val="0"/>
          <w:sz w:val="32"/>
          <w:szCs w:val="32"/>
        </w:rPr>
        <w:t>缴费基数正常增加而增加支出0.05万元。</w:t>
      </w:r>
    </w:p>
    <w:p>
      <w:pPr>
        <w:spacing w:line="600" w:lineRule="exact"/>
        <w:ind w:firstLine="640" w:firstLineChars="200"/>
        <w:rPr>
          <w:rFonts w:ascii="方正楷体_GBK" w:eastAsia="方正楷体_GBK" w:cs="宋体"/>
          <w:kern w:val="0"/>
          <w:sz w:val="32"/>
          <w:szCs w:val="32"/>
        </w:rPr>
      </w:pPr>
      <w:r>
        <w:rPr>
          <w:rFonts w:hint="eastAsia" w:ascii="方正楷体_GBK" w:eastAsia="方正楷体_GBK" w:cs="宋体"/>
          <w:kern w:val="0"/>
          <w:sz w:val="32"/>
          <w:szCs w:val="32"/>
        </w:rPr>
        <w:t>（四）一般公共预算财政拨款基本支出决算情况说明。</w:t>
      </w:r>
    </w:p>
    <w:p>
      <w:pPr>
        <w:spacing w:line="600" w:lineRule="exact"/>
        <w:ind w:firstLine="640" w:firstLineChars="200"/>
        <w:rPr>
          <w:rFonts w:ascii="方正仿宋_GBK" w:eastAsia="方正仿宋_GBK" w:cs="宋体"/>
          <w:kern w:val="0"/>
          <w:sz w:val="32"/>
          <w:szCs w:val="32"/>
        </w:rPr>
      </w:pPr>
      <w:r>
        <w:rPr>
          <w:rFonts w:ascii="方正仿宋_GBK" w:eastAsia="方正仿宋_GBK" w:cs="宋体"/>
          <w:kern w:val="0"/>
          <w:sz w:val="32"/>
          <w:szCs w:val="32"/>
        </w:rPr>
        <w:t>2021年度一般公共财政拨款基本支出109.52万元。其中：人员经费82.86万元，较上年决算数减少</w:t>
      </w:r>
      <w:r>
        <w:rPr>
          <w:rFonts w:hint="eastAsia" w:ascii="方正仿宋_GBK" w:eastAsia="方正仿宋_GBK" w:cs="宋体"/>
          <w:kern w:val="0"/>
          <w:sz w:val="32"/>
          <w:szCs w:val="32"/>
        </w:rPr>
        <w:t>33.47</w:t>
      </w:r>
      <w:r>
        <w:rPr>
          <w:rFonts w:ascii="方正仿宋_GBK" w:eastAsia="方正仿宋_GBK" w:cs="宋体"/>
          <w:kern w:val="0"/>
          <w:sz w:val="32"/>
          <w:szCs w:val="32"/>
        </w:rPr>
        <w:t>万元，下降</w:t>
      </w:r>
      <w:r>
        <w:rPr>
          <w:rFonts w:hint="eastAsia" w:ascii="方正仿宋_GBK" w:eastAsia="方正仿宋_GBK" w:cs="宋体"/>
          <w:kern w:val="0"/>
          <w:sz w:val="32"/>
          <w:szCs w:val="32"/>
        </w:rPr>
        <w:t>28.8</w:t>
      </w:r>
      <w:r>
        <w:rPr>
          <w:rFonts w:ascii="方正仿宋_GBK" w:eastAsia="方正仿宋_GBK" w:cs="宋体"/>
          <w:kern w:val="0"/>
          <w:sz w:val="32"/>
          <w:szCs w:val="32"/>
        </w:rPr>
        <w:t>%，主要原因</w:t>
      </w:r>
      <w:r>
        <w:rPr>
          <w:rFonts w:hint="eastAsia" w:ascii="方正仿宋_GBK" w:eastAsia="方正仿宋_GBK" w:cs="宋体"/>
          <w:kern w:val="0"/>
          <w:sz w:val="32"/>
          <w:szCs w:val="32"/>
        </w:rPr>
        <w:t>是规范津贴补贴后人员性支出正常减少33.47万元。人员经费用途主要包括基本工资、津贴补贴、奖金、社会保障缴费、绩效工资、机关事业单位基本养老保险缴费、职业年金缴费、其他工资福利支出、离退休费、抚恤金、医疗费、住房公积金等。公用经费26.65万元，较上年决算数增加</w:t>
      </w:r>
      <w:r>
        <w:rPr>
          <w:rFonts w:ascii="方正仿宋_GBK" w:eastAsia="方正仿宋_GBK" w:cs="宋体"/>
          <w:kern w:val="0"/>
          <w:sz w:val="32"/>
          <w:szCs w:val="32"/>
        </w:rPr>
        <w:t>13.62万元，增长104.5%</w:t>
      </w:r>
      <w:r>
        <w:rPr>
          <w:rFonts w:hint="eastAsia" w:ascii="方正仿宋_GBK" w:eastAsia="方正仿宋_GBK" w:cs="宋体"/>
          <w:kern w:val="0"/>
          <w:sz w:val="32"/>
          <w:szCs w:val="32"/>
        </w:rPr>
        <w:t>，主要原因是扶贫等工作增加劳务费、租车费等13.62万元。公用经费用途主要包括办公费、印刷费、水费、电费、邮电费、差旅费、维修费、会议费、培训费、公务接待费、劳务费、工会经费、福利费、公务用车运行维护费、其他交通费用等。</w:t>
      </w:r>
    </w:p>
    <w:p>
      <w:pPr>
        <w:spacing w:line="600" w:lineRule="exact"/>
        <w:ind w:firstLine="640" w:firstLineChars="200"/>
        <w:rPr>
          <w:rFonts w:ascii="方正楷体_GBK" w:eastAsia="方正楷体_GBK" w:cs="宋体"/>
          <w:kern w:val="0"/>
          <w:sz w:val="32"/>
          <w:szCs w:val="32"/>
        </w:rPr>
      </w:pPr>
      <w:r>
        <w:rPr>
          <w:rFonts w:hint="eastAsia" w:ascii="方正楷体_GBK" w:eastAsia="方正楷体_GBK" w:cs="宋体"/>
          <w:kern w:val="0"/>
          <w:sz w:val="32"/>
          <w:szCs w:val="32"/>
        </w:rPr>
        <w:t>（五）政府性基金预算收支决算情况说明。</w:t>
      </w:r>
    </w:p>
    <w:p>
      <w:pPr>
        <w:spacing w:line="600" w:lineRule="exact"/>
        <w:ind w:firstLine="640" w:firstLineChars="200"/>
        <w:rPr>
          <w:rFonts w:ascii="方正仿宋_GBK" w:eastAsia="方正仿宋_GBK" w:cs="宋体"/>
          <w:kern w:val="0"/>
          <w:sz w:val="32"/>
          <w:szCs w:val="32"/>
        </w:rPr>
      </w:pPr>
      <w:r>
        <w:rPr>
          <w:rFonts w:ascii="方正仿宋_GBK" w:eastAsia="方正仿宋_GBK" w:cs="宋体"/>
          <w:kern w:val="0"/>
          <w:sz w:val="32"/>
          <w:szCs w:val="32"/>
        </w:rPr>
        <w:t>本部门2021年度无政府性基金预算财政拨款收支</w:t>
      </w:r>
      <w:r>
        <w:rPr>
          <w:rFonts w:hint="eastAsia" w:ascii="方正仿宋_GBK" w:eastAsia="方正仿宋_GBK" w:cs="宋体"/>
          <w:kern w:val="0"/>
          <w:sz w:val="32"/>
          <w:szCs w:val="32"/>
        </w:rPr>
        <w:t>，与上年持平。</w:t>
      </w:r>
    </w:p>
    <w:p>
      <w:pPr>
        <w:spacing w:line="600" w:lineRule="exact"/>
        <w:ind w:firstLine="640" w:firstLineChars="200"/>
        <w:rPr>
          <w:rFonts w:ascii="方正楷体_GBK" w:eastAsia="方正楷体_GBK" w:cs="宋体"/>
          <w:kern w:val="0"/>
          <w:sz w:val="32"/>
          <w:szCs w:val="32"/>
        </w:rPr>
      </w:pPr>
      <w:r>
        <w:rPr>
          <w:rFonts w:hint="eastAsia" w:ascii="方正楷体_GBK" w:eastAsia="方正楷体_GBK" w:cs="宋体"/>
          <w:kern w:val="0"/>
          <w:sz w:val="32"/>
          <w:szCs w:val="32"/>
        </w:rPr>
        <w:t>（六）国有资本经营预算财政拨款支出决算情况说明。</w:t>
      </w:r>
    </w:p>
    <w:p>
      <w:pPr>
        <w:spacing w:line="600" w:lineRule="exact"/>
        <w:ind w:firstLine="640" w:firstLineChars="200"/>
        <w:rPr>
          <w:rFonts w:ascii="方正仿宋_GBK" w:eastAsia="方正仿宋_GBK" w:cs="宋体"/>
          <w:kern w:val="0"/>
          <w:sz w:val="32"/>
          <w:szCs w:val="32"/>
        </w:rPr>
      </w:pPr>
      <w:r>
        <w:rPr>
          <w:rFonts w:ascii="方正仿宋_GBK" w:eastAsia="方正仿宋_GBK" w:cs="宋体"/>
          <w:kern w:val="0"/>
          <w:sz w:val="32"/>
          <w:szCs w:val="32"/>
        </w:rPr>
        <w:t>本部门2021年度无国有资本经营预算财政拨款支出</w:t>
      </w:r>
      <w:r>
        <w:rPr>
          <w:rFonts w:hint="eastAsia" w:ascii="方正仿宋_GBK" w:eastAsia="方正仿宋_GBK" w:cs="宋体"/>
          <w:kern w:val="0"/>
          <w:sz w:val="32"/>
          <w:szCs w:val="32"/>
        </w:rPr>
        <w:t>，与上年持平。</w:t>
      </w:r>
    </w:p>
    <w:p>
      <w:pPr>
        <w:spacing w:line="600" w:lineRule="exact"/>
        <w:ind w:firstLine="640" w:firstLineChars="200"/>
        <w:rPr>
          <w:sz w:val="30"/>
          <w:szCs w:val="30"/>
        </w:rPr>
      </w:pPr>
      <w:r>
        <w:rPr>
          <w:rFonts w:hint="eastAsia" w:eastAsia="方正黑体_GBK"/>
          <w:sz w:val="32"/>
          <w:szCs w:val="32"/>
        </w:rPr>
        <w:t>三、“三公”经费情况说明</w:t>
      </w:r>
    </w:p>
    <w:p>
      <w:pPr>
        <w:spacing w:line="600" w:lineRule="exact"/>
        <w:ind w:firstLine="640" w:firstLineChars="200"/>
        <w:rPr>
          <w:rFonts w:hint="eastAsia" w:ascii="方正仿宋_GBK" w:eastAsia="方正仿宋_GBK" w:cs="宋体"/>
          <w:kern w:val="0"/>
          <w:sz w:val="32"/>
          <w:szCs w:val="32"/>
        </w:rPr>
      </w:pPr>
      <w:r>
        <w:rPr>
          <w:rFonts w:hint="eastAsia" w:ascii="方正楷体_GBK" w:eastAsia="方正楷体_GBK"/>
          <w:color w:val="333333"/>
          <w:sz w:val="32"/>
          <w:szCs w:val="32"/>
        </w:rPr>
        <w:t>（一）</w:t>
      </w:r>
      <w:r>
        <w:rPr>
          <w:rFonts w:hint="eastAsia" w:ascii="方正仿宋_GBK" w:eastAsia="方正仿宋_GBK" w:cs="宋体"/>
          <w:kern w:val="0"/>
          <w:sz w:val="32"/>
          <w:szCs w:val="32"/>
        </w:rPr>
        <w:t>“三公”经费支出总体情况说明。</w:t>
      </w:r>
    </w:p>
    <w:p>
      <w:pPr>
        <w:spacing w:line="60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本单位当年未发生“三公”经费支出，与上年持平。</w:t>
      </w:r>
    </w:p>
    <w:p>
      <w:pPr>
        <w:spacing w:line="600" w:lineRule="exact"/>
        <w:ind w:firstLine="640" w:firstLineChars="20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（二） “三公”经费分项支出情况。</w:t>
      </w:r>
    </w:p>
    <w:p>
      <w:pPr>
        <w:spacing w:line="600" w:lineRule="exact"/>
        <w:ind w:firstLine="640" w:firstLineChars="200"/>
        <w:rPr>
          <w:rFonts w:ascii="方正仿宋_GBK" w:eastAsia="方正仿宋_GBK" w:cs="宋体"/>
          <w:kern w:val="0"/>
          <w:sz w:val="32"/>
          <w:szCs w:val="32"/>
        </w:rPr>
      </w:pPr>
      <w:r>
        <w:rPr>
          <w:rFonts w:hint="eastAsia" w:ascii="方正仿宋_GBK" w:hAnsi="微软雅黑" w:eastAsia="方正仿宋_GBK" w:cs="宋体"/>
          <w:color w:val="333333"/>
          <w:kern w:val="0"/>
          <w:sz w:val="32"/>
          <w:szCs w:val="32"/>
        </w:rPr>
        <w:t>因公出国（境）费。</w:t>
      </w:r>
      <w:r>
        <w:rPr>
          <w:rFonts w:hint="eastAsia" w:ascii="方正仿宋_GBK" w:eastAsia="方正仿宋_GBK" w:cs="宋体"/>
          <w:kern w:val="0"/>
          <w:sz w:val="32"/>
          <w:szCs w:val="32"/>
        </w:rPr>
        <w:t>本单位当年未发生</w:t>
      </w:r>
      <w:r>
        <w:rPr>
          <w:rFonts w:hint="eastAsia" w:ascii="方正仿宋_GBK" w:hAnsi="微软雅黑" w:eastAsia="方正仿宋_GBK" w:cs="宋体"/>
          <w:color w:val="333333"/>
          <w:kern w:val="0"/>
          <w:sz w:val="32"/>
          <w:szCs w:val="32"/>
        </w:rPr>
        <w:t>因公出国（境）费</w:t>
      </w:r>
      <w:r>
        <w:rPr>
          <w:rFonts w:hint="eastAsia" w:ascii="方正仿宋_GBK" w:eastAsia="方正仿宋_GBK" w:cs="宋体"/>
          <w:kern w:val="0"/>
          <w:sz w:val="32"/>
          <w:szCs w:val="32"/>
        </w:rPr>
        <w:t>支出，与上年持平。</w:t>
      </w:r>
    </w:p>
    <w:p>
      <w:pPr>
        <w:spacing w:line="600" w:lineRule="exact"/>
        <w:ind w:firstLine="640" w:firstLineChars="200"/>
        <w:rPr>
          <w:rFonts w:ascii="方正仿宋_GBK" w:eastAsia="方正仿宋_GBK" w:cs="宋体"/>
          <w:kern w:val="0"/>
          <w:sz w:val="32"/>
          <w:szCs w:val="32"/>
        </w:rPr>
      </w:pPr>
      <w:r>
        <w:rPr>
          <w:rFonts w:hint="eastAsia" w:ascii="方正仿宋_GBK" w:hAnsi="微软雅黑" w:eastAsia="方正仿宋_GBK" w:cs="宋体"/>
          <w:color w:val="333333"/>
          <w:kern w:val="0"/>
          <w:sz w:val="32"/>
          <w:szCs w:val="32"/>
        </w:rPr>
        <w:t>公务车购置费。</w:t>
      </w:r>
      <w:r>
        <w:rPr>
          <w:rFonts w:hint="eastAsia" w:ascii="方正仿宋_GBK" w:eastAsia="方正仿宋_GBK" w:cs="宋体"/>
          <w:kern w:val="0"/>
          <w:sz w:val="32"/>
          <w:szCs w:val="32"/>
        </w:rPr>
        <w:t>本单位当年未发生</w:t>
      </w:r>
      <w:r>
        <w:rPr>
          <w:rFonts w:hint="eastAsia" w:ascii="方正仿宋_GBK" w:hAnsi="微软雅黑" w:eastAsia="方正仿宋_GBK" w:cs="宋体"/>
          <w:color w:val="333333"/>
          <w:kern w:val="0"/>
          <w:sz w:val="32"/>
          <w:szCs w:val="32"/>
        </w:rPr>
        <w:t>公务车购置费</w:t>
      </w:r>
      <w:r>
        <w:rPr>
          <w:rFonts w:hint="eastAsia" w:ascii="方正仿宋_GBK" w:eastAsia="方正仿宋_GBK" w:cs="宋体"/>
          <w:kern w:val="0"/>
          <w:sz w:val="32"/>
          <w:szCs w:val="32"/>
        </w:rPr>
        <w:t>支出，与上年持平。</w:t>
      </w:r>
    </w:p>
    <w:p>
      <w:pPr>
        <w:spacing w:line="600" w:lineRule="exact"/>
        <w:ind w:firstLine="640" w:firstLineChars="200"/>
        <w:rPr>
          <w:rFonts w:ascii="方正仿宋_GBK" w:eastAsia="方正仿宋_GBK" w:cs="宋体"/>
          <w:kern w:val="0"/>
          <w:sz w:val="32"/>
          <w:szCs w:val="32"/>
        </w:rPr>
      </w:pPr>
      <w:r>
        <w:rPr>
          <w:rFonts w:hint="eastAsia" w:ascii="方正仿宋_GBK" w:hAnsi="微软雅黑" w:eastAsia="方正仿宋_GBK" w:cs="宋体"/>
          <w:color w:val="333333"/>
          <w:kern w:val="0"/>
          <w:sz w:val="32"/>
          <w:szCs w:val="32"/>
        </w:rPr>
        <w:t>公务车运行维护费。</w:t>
      </w:r>
      <w:r>
        <w:rPr>
          <w:rFonts w:hint="eastAsia" w:ascii="方正仿宋_GBK" w:eastAsia="方正仿宋_GBK" w:cs="宋体"/>
          <w:kern w:val="0"/>
          <w:sz w:val="32"/>
          <w:szCs w:val="32"/>
        </w:rPr>
        <w:t>本单位当年未发生</w:t>
      </w:r>
      <w:r>
        <w:rPr>
          <w:rFonts w:hint="eastAsia" w:ascii="方正仿宋_GBK" w:hAnsi="微软雅黑" w:eastAsia="方正仿宋_GBK" w:cs="宋体"/>
          <w:color w:val="333333"/>
          <w:kern w:val="0"/>
          <w:sz w:val="32"/>
          <w:szCs w:val="32"/>
        </w:rPr>
        <w:t>公务车运行维护费</w:t>
      </w:r>
      <w:r>
        <w:rPr>
          <w:rFonts w:hint="eastAsia" w:ascii="方正仿宋_GBK" w:eastAsia="方正仿宋_GBK" w:cs="宋体"/>
          <w:kern w:val="0"/>
          <w:sz w:val="32"/>
          <w:szCs w:val="32"/>
        </w:rPr>
        <w:t>支出，与上年持平。</w:t>
      </w:r>
    </w:p>
    <w:p>
      <w:pPr>
        <w:spacing w:line="600" w:lineRule="exact"/>
        <w:ind w:firstLine="640" w:firstLineChars="200"/>
        <w:rPr>
          <w:rFonts w:ascii="方正仿宋_GBK" w:eastAsia="方正仿宋_GBK" w:cs="宋体"/>
          <w:kern w:val="0"/>
          <w:sz w:val="32"/>
          <w:szCs w:val="32"/>
        </w:rPr>
      </w:pPr>
      <w:r>
        <w:rPr>
          <w:rFonts w:hint="eastAsia" w:ascii="方正仿宋_GBK" w:hAnsi="微软雅黑" w:eastAsia="方正仿宋_GBK" w:cs="宋体"/>
          <w:color w:val="333333"/>
          <w:kern w:val="0"/>
          <w:sz w:val="32"/>
          <w:szCs w:val="32"/>
        </w:rPr>
        <w:t>公务接待费。</w:t>
      </w:r>
      <w:r>
        <w:rPr>
          <w:rFonts w:hint="eastAsia" w:ascii="方正仿宋_GBK" w:eastAsia="方正仿宋_GBK" w:cs="宋体"/>
          <w:kern w:val="0"/>
          <w:sz w:val="32"/>
          <w:szCs w:val="32"/>
        </w:rPr>
        <w:t>本单位当年未发生</w:t>
      </w:r>
      <w:r>
        <w:rPr>
          <w:rFonts w:hint="eastAsia" w:ascii="方正仿宋_GBK" w:hAnsi="微软雅黑" w:eastAsia="方正仿宋_GBK" w:cs="宋体"/>
          <w:color w:val="333333"/>
          <w:kern w:val="0"/>
          <w:sz w:val="32"/>
          <w:szCs w:val="32"/>
        </w:rPr>
        <w:t>公务接待费</w:t>
      </w:r>
      <w:r>
        <w:rPr>
          <w:rFonts w:hint="eastAsia" w:ascii="方正仿宋_GBK" w:eastAsia="方正仿宋_GBK" w:cs="宋体"/>
          <w:kern w:val="0"/>
          <w:sz w:val="32"/>
          <w:szCs w:val="32"/>
        </w:rPr>
        <w:t>支出，与上年持平。</w:t>
      </w:r>
    </w:p>
    <w:p>
      <w:pPr>
        <w:spacing w:line="600" w:lineRule="exact"/>
        <w:ind w:firstLine="640" w:firstLineChars="200"/>
        <w:rPr>
          <w:rFonts w:hint="eastAsia" w:ascii="方正楷体_GBK" w:hAnsi="微软雅黑" w:eastAsia="方正楷体_GBK" w:cs="宋体"/>
          <w:color w:val="333333"/>
          <w:kern w:val="0"/>
          <w:sz w:val="32"/>
          <w:szCs w:val="32"/>
        </w:rPr>
      </w:pPr>
      <w:r>
        <w:rPr>
          <w:rFonts w:hint="eastAsia" w:ascii="方正楷体_GBK" w:hAnsi="微软雅黑" w:eastAsia="方正楷体_GBK" w:cs="宋体"/>
          <w:color w:val="333333"/>
          <w:kern w:val="0"/>
          <w:sz w:val="32"/>
          <w:szCs w:val="32"/>
        </w:rPr>
        <w:t>（三）“三公”经费实物量情况。</w:t>
      </w:r>
    </w:p>
    <w:p>
      <w:pPr>
        <w:spacing w:line="600" w:lineRule="exact"/>
        <w:ind w:firstLine="640" w:firstLineChars="20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2021年度本部门因公出国（境）共计0个团组，0人；公务用车购置0辆；公务车保有量为0辆；国内公务接待0批次0人，其中：国内外事接待 0批次，0人；国（境）外公务接待0批次，0人，2021年本部门人均接待费0元；车均购置费0万元；车均维护费0万元。</w:t>
      </w:r>
    </w:p>
    <w:p>
      <w:pPr>
        <w:pStyle w:val="10"/>
        <w:tabs>
          <w:tab w:val="center" w:pos="4153"/>
          <w:tab w:val="left" w:pos="7275"/>
        </w:tabs>
        <w:spacing w:line="600" w:lineRule="exact"/>
        <w:ind w:firstLine="640"/>
        <w:rPr>
          <w:rFonts w:eastAsia="方正黑体_GBK"/>
          <w:sz w:val="32"/>
          <w:szCs w:val="32"/>
        </w:rPr>
      </w:pPr>
      <w:r>
        <w:rPr>
          <w:rFonts w:hint="eastAsia" w:eastAsia="方正黑体_GBK"/>
          <w:sz w:val="32"/>
          <w:szCs w:val="32"/>
        </w:rPr>
        <w:t>四、其他需要说明的事项</w:t>
      </w:r>
    </w:p>
    <w:p>
      <w:pPr>
        <w:spacing w:line="600" w:lineRule="exact"/>
        <w:ind w:firstLine="640" w:firstLineChars="200"/>
        <w:rPr>
          <w:rFonts w:hint="eastAsia" w:ascii="方正楷体_GBK" w:hAnsi="微软雅黑" w:eastAsia="方正楷体_GBK" w:cs="宋体"/>
          <w:kern w:val="0"/>
          <w:sz w:val="32"/>
          <w:szCs w:val="32"/>
        </w:rPr>
      </w:pPr>
      <w:r>
        <w:rPr>
          <w:rFonts w:ascii="方正楷体_GBK" w:hAnsi="微软雅黑" w:eastAsia="方正楷体_GBK" w:cs="宋体"/>
          <w:kern w:val="0"/>
          <w:sz w:val="32"/>
          <w:szCs w:val="32"/>
        </w:rPr>
        <w:t xml:space="preserve">（一）一般公共预算财政拨款会议费和培训费情况说明。  </w:t>
      </w:r>
    </w:p>
    <w:p>
      <w:pPr>
        <w:spacing w:line="600" w:lineRule="exact"/>
        <w:ind w:firstLine="640" w:firstLineChars="200"/>
        <w:rPr>
          <w:rFonts w:ascii="方正仿宋_GBK" w:eastAsia="方正仿宋_GBK" w:cs="宋体"/>
          <w:kern w:val="0"/>
          <w:sz w:val="32"/>
          <w:szCs w:val="32"/>
        </w:rPr>
      </w:pPr>
      <w:r>
        <w:rPr>
          <w:rFonts w:ascii="方正仿宋_GBK" w:eastAsia="方正仿宋_GBK" w:cs="宋体"/>
          <w:kern w:val="0"/>
          <w:sz w:val="32"/>
          <w:szCs w:val="32"/>
        </w:rPr>
        <w:t>本年度</w:t>
      </w:r>
      <w:r>
        <w:rPr>
          <w:rFonts w:hint="eastAsia" w:ascii="方正仿宋_GBK" w:eastAsia="方正仿宋_GBK" w:cs="宋体"/>
          <w:kern w:val="0"/>
          <w:sz w:val="32"/>
          <w:szCs w:val="32"/>
        </w:rPr>
        <w:t>未发生</w:t>
      </w:r>
      <w:r>
        <w:rPr>
          <w:rFonts w:ascii="方正仿宋_GBK" w:eastAsia="方正仿宋_GBK" w:cs="宋体"/>
          <w:kern w:val="0"/>
          <w:sz w:val="32"/>
          <w:szCs w:val="32"/>
        </w:rPr>
        <w:t>会议费支出</w:t>
      </w:r>
      <w:r>
        <w:rPr>
          <w:rFonts w:hint="eastAsia" w:ascii="方正仿宋_GBK" w:eastAsia="方正仿宋_GBK" w:cs="宋体"/>
          <w:kern w:val="0"/>
          <w:sz w:val="32"/>
          <w:szCs w:val="32"/>
        </w:rPr>
        <w:t>，与上年持平。</w:t>
      </w:r>
      <w:r>
        <w:rPr>
          <w:rFonts w:ascii="方正仿宋_GBK" w:eastAsia="方正仿宋_GBK" w:cs="宋体"/>
          <w:kern w:val="0"/>
          <w:sz w:val="32"/>
          <w:szCs w:val="32"/>
        </w:rPr>
        <w:t>本年度培训费支出0.2万元，较上年决算数增加0.2万元，增长</w:t>
      </w:r>
      <w:r>
        <w:rPr>
          <w:rFonts w:hint="eastAsia" w:ascii="方正仿宋_GBK" w:eastAsia="方正仿宋_GBK" w:cs="宋体"/>
          <w:kern w:val="0"/>
          <w:sz w:val="32"/>
          <w:szCs w:val="32"/>
        </w:rPr>
        <w:t>100.0</w:t>
      </w:r>
      <w:r>
        <w:rPr>
          <w:rFonts w:ascii="方正仿宋_GBK" w:eastAsia="方正仿宋_GBK" w:cs="宋体"/>
          <w:kern w:val="0"/>
          <w:sz w:val="32"/>
          <w:szCs w:val="32"/>
        </w:rPr>
        <w:t>%，主要原因是</w:t>
      </w:r>
      <w:r>
        <w:rPr>
          <w:rFonts w:hint="eastAsia" w:ascii="方正仿宋_GBK" w:eastAsia="方正仿宋_GBK" w:cs="宋体"/>
          <w:kern w:val="0"/>
          <w:sz w:val="32"/>
          <w:szCs w:val="32"/>
        </w:rPr>
        <w:t>上年无培训支出，今年新增培训0.2万元。</w:t>
      </w:r>
    </w:p>
    <w:p>
      <w:pPr>
        <w:spacing w:line="600" w:lineRule="exact"/>
        <w:ind w:firstLine="640" w:firstLineChars="200"/>
        <w:rPr>
          <w:rFonts w:eastAsia="方正楷体_GBK"/>
          <w:color w:val="333333"/>
          <w:sz w:val="32"/>
          <w:szCs w:val="32"/>
        </w:rPr>
      </w:pPr>
      <w:r>
        <w:rPr>
          <w:rFonts w:hint="eastAsia" w:eastAsia="方正楷体_GBK"/>
          <w:color w:val="333333"/>
          <w:sz w:val="32"/>
          <w:szCs w:val="32"/>
        </w:rPr>
        <w:t>（二）机关运行经费情况说明。</w:t>
      </w:r>
    </w:p>
    <w:p>
      <w:pPr>
        <w:spacing w:line="600" w:lineRule="exact"/>
        <w:ind w:firstLine="640" w:firstLineChars="200"/>
        <w:rPr>
          <w:rFonts w:ascii="方正仿宋_GBK" w:eastAsia="方正仿宋_GBK" w:cs="宋体"/>
          <w:kern w:val="0"/>
          <w:sz w:val="32"/>
          <w:szCs w:val="32"/>
        </w:rPr>
      </w:pPr>
      <w:r>
        <w:rPr>
          <w:rFonts w:ascii="方正仿宋_GBK" w:eastAsia="方正仿宋_GBK" w:cs="宋体"/>
          <w:kern w:val="0"/>
          <w:sz w:val="32"/>
          <w:szCs w:val="32"/>
        </w:rPr>
        <w:t>按照部门决算列报口径，我单位不在机关运行经费统计范围之内。</w:t>
      </w:r>
    </w:p>
    <w:p>
      <w:pPr>
        <w:spacing w:line="600" w:lineRule="exact"/>
        <w:ind w:firstLine="640" w:firstLineChars="200"/>
        <w:rPr>
          <w:rFonts w:eastAsia="方正楷体_GBK"/>
          <w:color w:val="333333"/>
          <w:sz w:val="32"/>
          <w:szCs w:val="32"/>
        </w:rPr>
      </w:pPr>
      <w:r>
        <w:rPr>
          <w:rFonts w:hint="eastAsia" w:eastAsia="方正楷体_GBK"/>
          <w:color w:val="333333"/>
          <w:sz w:val="32"/>
          <w:szCs w:val="32"/>
        </w:rPr>
        <w:t>（三）国有资产占用情况说明。</w:t>
      </w:r>
    </w:p>
    <w:p>
      <w:pPr>
        <w:spacing w:line="60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截至2021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pPr>
        <w:spacing w:line="600" w:lineRule="exact"/>
        <w:ind w:firstLine="640" w:firstLineChars="200"/>
        <w:rPr>
          <w:rFonts w:hint="eastAsia" w:ascii="方正楷体_GBK" w:hAnsi="微软雅黑" w:eastAsia="方正楷体_GBK" w:cs="宋体"/>
          <w:color w:val="333333"/>
          <w:kern w:val="0"/>
          <w:sz w:val="32"/>
          <w:szCs w:val="32"/>
        </w:rPr>
      </w:pPr>
      <w:r>
        <w:rPr>
          <w:rFonts w:hint="eastAsia" w:ascii="方正楷体_GBK" w:hAnsi="微软雅黑" w:eastAsia="方正楷体_GBK" w:cs="宋体"/>
          <w:color w:val="333333"/>
          <w:kern w:val="0"/>
          <w:sz w:val="32"/>
          <w:szCs w:val="32"/>
        </w:rPr>
        <w:t>（四）政府采购支出情况说明。</w:t>
      </w:r>
    </w:p>
    <w:p>
      <w:pPr>
        <w:spacing w:line="600" w:lineRule="exact"/>
        <w:ind w:left="638" w:leftChars="304"/>
        <w:rPr>
          <w:rFonts w:eastAsia="方正仿宋_GBK" w:cs="宋体"/>
          <w:b/>
          <w:kern w:val="0"/>
          <w:sz w:val="32"/>
          <w:szCs w:val="32"/>
        </w:rPr>
      </w:pPr>
      <w:r>
        <w:rPr>
          <w:rFonts w:ascii="方正仿宋_GBK" w:eastAsia="方正仿宋_GBK" w:cs="宋体"/>
          <w:kern w:val="0"/>
          <w:sz w:val="32"/>
          <w:szCs w:val="32"/>
        </w:rPr>
        <w:t>2021年度我单位未发生政府采购事项，无相关经费支出。</w:t>
      </w:r>
      <w:r>
        <w:rPr>
          <w:rFonts w:hint="eastAsia" w:ascii="方正仿宋_GBK" w:eastAsia="方正仿宋_GBK" w:cs="宋体"/>
          <w:kern w:val="0"/>
          <w:sz w:val="32"/>
          <w:szCs w:val="32"/>
        </w:rPr>
        <w:t xml:space="preserve">  </w:t>
      </w:r>
      <w:r>
        <w:rPr>
          <w:rFonts w:hint="eastAsia" w:eastAsia="方正黑体_GBK" w:cs="宋体"/>
          <w:kern w:val="0"/>
          <w:sz w:val="32"/>
          <w:szCs w:val="32"/>
        </w:rPr>
        <w:t>五、预算绩效管理情况说明</w:t>
      </w:r>
    </w:p>
    <w:p>
      <w:pPr>
        <w:pStyle w:val="10"/>
        <w:tabs>
          <w:tab w:val="center" w:pos="4153"/>
          <w:tab w:val="left" w:pos="7275"/>
        </w:tabs>
        <w:spacing w:line="600" w:lineRule="exact"/>
        <w:ind w:firstLine="640"/>
        <w:rPr>
          <w:rFonts w:eastAsia="方正楷体_GBK"/>
          <w:color w:val="333333"/>
          <w:sz w:val="32"/>
          <w:szCs w:val="32"/>
        </w:rPr>
      </w:pPr>
      <w:r>
        <w:rPr>
          <w:rFonts w:hint="eastAsia" w:eastAsia="方正楷体_GBK"/>
          <w:color w:val="333333"/>
          <w:sz w:val="32"/>
          <w:szCs w:val="32"/>
        </w:rPr>
        <w:t>（一）预算绩效管理工作开展情况。</w:t>
      </w:r>
    </w:p>
    <w:p>
      <w:pPr>
        <w:pStyle w:val="10"/>
        <w:tabs>
          <w:tab w:val="center" w:pos="4153"/>
          <w:tab w:val="left" w:pos="7275"/>
        </w:tabs>
        <w:spacing w:line="600" w:lineRule="exact"/>
        <w:ind w:firstLine="640"/>
        <w:rPr>
          <w:rFonts w:ascii="方正仿宋_GBK" w:eastAsia="方正仿宋_GBK" w:cs="宋体"/>
          <w:kern w:val="0"/>
          <w:sz w:val="32"/>
          <w:szCs w:val="32"/>
        </w:rPr>
      </w:pPr>
      <w:r>
        <w:rPr>
          <w:rFonts w:hint="eastAsia" w:ascii="方正仿宋_GBK" w:eastAsia="方正仿宋_GBK" w:cs="宋体"/>
          <w:kern w:val="0"/>
          <w:sz w:val="32"/>
          <w:szCs w:val="32"/>
        </w:rPr>
        <w:t>根据预算绩效管理要求，我单位对2个项目开展了绩效自评，其中，以填报目标自评表形式开展自评2项，涉及资金13.25万元；以委托第三方形式开展绩效评价0项，涉及资金0万元，从评价情况来看，</w:t>
      </w:r>
      <w:r>
        <w:rPr>
          <w:rFonts w:hint="eastAsia" w:ascii="方正仿宋_GBK" w:hAnsi="微软雅黑" w:eastAsia="方正仿宋_GBK" w:cs="宋体"/>
          <w:color w:val="333333"/>
          <w:kern w:val="0"/>
          <w:sz w:val="32"/>
          <w:szCs w:val="32"/>
          <w:shd w:val="clear" w:color="auto" w:fill="FFFFFF"/>
        </w:rPr>
        <w:t>预算执行情况良好，群众满意度较高</w:t>
      </w:r>
      <w:r>
        <w:rPr>
          <w:rFonts w:hint="eastAsia" w:ascii="方正仿宋_GBK" w:hAnsi="微软雅黑" w:eastAsia="方正仿宋_GBK" w:cs="宋体"/>
          <w:color w:val="333333"/>
          <w:kern w:val="0"/>
          <w:sz w:val="32"/>
          <w:szCs w:val="32"/>
        </w:rPr>
        <w:t>。</w:t>
      </w:r>
    </w:p>
    <w:p>
      <w:pPr>
        <w:pStyle w:val="10"/>
        <w:tabs>
          <w:tab w:val="center" w:pos="4153"/>
          <w:tab w:val="left" w:pos="7275"/>
        </w:tabs>
        <w:spacing w:line="600" w:lineRule="exact"/>
        <w:ind w:firstLine="640"/>
        <w:rPr>
          <w:rFonts w:eastAsia="方正楷体_GBK"/>
          <w:color w:val="333333"/>
          <w:sz w:val="32"/>
          <w:szCs w:val="32"/>
        </w:rPr>
      </w:pPr>
      <w:r>
        <w:rPr>
          <w:rFonts w:hint="eastAsia" w:eastAsia="方正楷体_GBK"/>
          <w:color w:val="333333"/>
          <w:sz w:val="32"/>
          <w:szCs w:val="32"/>
        </w:rPr>
        <w:t>（二）绩效自评结果。</w:t>
      </w:r>
    </w:p>
    <w:p>
      <w:pPr>
        <w:widowControl/>
        <w:shd w:val="clear" w:color="auto" w:fill="FFFFFF"/>
        <w:spacing w:after="180" w:line="600" w:lineRule="atLeast"/>
        <w:ind w:firstLine="645"/>
        <w:jc w:val="left"/>
        <w:rPr>
          <w:rFonts w:ascii="方正仿宋_GBK" w:eastAsia="方正仿宋_GBK" w:cs="宋体"/>
          <w:kern w:val="0"/>
          <w:sz w:val="32"/>
          <w:szCs w:val="32"/>
        </w:rPr>
      </w:pPr>
      <w:r>
        <w:rPr>
          <w:rFonts w:hint="eastAsia" w:ascii="方正仿宋_GBK" w:eastAsia="方正仿宋_GBK" w:cs="宋体"/>
          <w:kern w:val="0"/>
          <w:sz w:val="32"/>
          <w:szCs w:val="32"/>
        </w:rPr>
        <w:t>2021年重庆市綦江区文化旅游服务中心“运转性项目-人员补丁”项目支出绩效目标自评综述：根据年初设定的绩效目标，项目总体完成情况较好。项目全年预算数为7.5万元，执行数为7.5万元，完成预算的100.0%。主要产出和效果：保障人数5人，单位正常运转率达100.0%，全面完成工作目标任务；文化旅游服务工作影响度达80.0%，服务对象满意度达100.0%，总体均达到了年初设定目标。</w:t>
      </w:r>
    </w:p>
    <w:tbl>
      <w:tblPr>
        <w:tblStyle w:val="8"/>
        <w:tblW w:w="8380" w:type="dxa"/>
        <w:tblInd w:w="93" w:type="dxa"/>
        <w:tblLayout w:type="fixed"/>
        <w:tblCellMar>
          <w:top w:w="0" w:type="dxa"/>
          <w:left w:w="108" w:type="dxa"/>
          <w:bottom w:w="0" w:type="dxa"/>
          <w:right w:w="108" w:type="dxa"/>
        </w:tblCellMar>
      </w:tblPr>
      <w:tblGrid>
        <w:gridCol w:w="812"/>
        <w:gridCol w:w="2010"/>
        <w:gridCol w:w="898"/>
        <w:gridCol w:w="793"/>
        <w:gridCol w:w="1078"/>
        <w:gridCol w:w="993"/>
        <w:gridCol w:w="928"/>
        <w:gridCol w:w="868"/>
      </w:tblGrid>
      <w:tr>
        <w:tblPrEx>
          <w:tblLayout w:type="fixed"/>
          <w:tblCellMar>
            <w:top w:w="0" w:type="dxa"/>
            <w:left w:w="108" w:type="dxa"/>
            <w:bottom w:w="0" w:type="dxa"/>
            <w:right w:w="108" w:type="dxa"/>
          </w:tblCellMar>
        </w:tblPrEx>
        <w:trPr>
          <w:trHeight w:val="585" w:hRule="atLeast"/>
        </w:trPr>
        <w:tc>
          <w:tcPr>
            <w:tcW w:w="8380" w:type="dxa"/>
            <w:gridSpan w:val="8"/>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2021年度部门（单位）项目支出绩效自评表</w:t>
            </w:r>
          </w:p>
        </w:tc>
      </w:tr>
      <w:tr>
        <w:tblPrEx>
          <w:tblLayout w:type="fixed"/>
          <w:tblCellMar>
            <w:top w:w="0" w:type="dxa"/>
            <w:left w:w="108" w:type="dxa"/>
            <w:bottom w:w="0" w:type="dxa"/>
            <w:right w:w="108" w:type="dxa"/>
          </w:tblCellMar>
        </w:tblPrEx>
        <w:trPr>
          <w:trHeight w:val="585" w:hRule="atLeast"/>
        </w:trPr>
        <w:tc>
          <w:tcPr>
            <w:tcW w:w="8380" w:type="dxa"/>
            <w:gridSpan w:val="8"/>
            <w:tcBorders>
              <w:top w:val="nil"/>
              <w:left w:val="nil"/>
              <w:bottom w:val="single" w:color="auto" w:sz="4" w:space="0"/>
              <w:right w:val="nil"/>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填表单位（盖章）：重庆市綦江区文化旅游服务中心</w:t>
            </w:r>
          </w:p>
        </w:tc>
      </w:tr>
      <w:tr>
        <w:tblPrEx>
          <w:tblLayout w:type="fixed"/>
          <w:tblCellMar>
            <w:top w:w="0" w:type="dxa"/>
            <w:left w:w="108" w:type="dxa"/>
            <w:bottom w:w="0" w:type="dxa"/>
            <w:right w:w="108" w:type="dxa"/>
          </w:tblCellMar>
        </w:tblPrEx>
        <w:trPr>
          <w:trHeight w:val="645" w:hRule="atLeast"/>
        </w:trPr>
        <w:tc>
          <w:tcPr>
            <w:tcW w:w="8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370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运转性项目-人员补丁</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自评总分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（分)</w:t>
            </w:r>
          </w:p>
        </w:tc>
        <w:tc>
          <w:tcPr>
            <w:tcW w:w="278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r>
      <w:tr>
        <w:tblPrEx>
          <w:tblLayout w:type="fixed"/>
          <w:tblCellMar>
            <w:top w:w="0" w:type="dxa"/>
            <w:left w:w="108" w:type="dxa"/>
            <w:bottom w:w="0" w:type="dxa"/>
            <w:right w:w="108" w:type="dxa"/>
          </w:tblCellMar>
        </w:tblPrEx>
        <w:trPr>
          <w:trHeight w:val="645" w:hRule="atLeast"/>
        </w:trPr>
        <w:tc>
          <w:tcPr>
            <w:tcW w:w="8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业务主管部门</w:t>
            </w:r>
          </w:p>
        </w:tc>
        <w:tc>
          <w:tcPr>
            <w:tcW w:w="370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重庆市綦江区文化和旅游发展委员会</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联系人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及电话</w:t>
            </w:r>
          </w:p>
        </w:tc>
        <w:tc>
          <w:tcPr>
            <w:tcW w:w="278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罗舒婷48678206</w:t>
            </w:r>
          </w:p>
        </w:tc>
      </w:tr>
      <w:tr>
        <w:tblPrEx>
          <w:tblLayout w:type="fixed"/>
          <w:tblCellMar>
            <w:top w:w="0" w:type="dxa"/>
            <w:left w:w="108" w:type="dxa"/>
            <w:bottom w:w="0" w:type="dxa"/>
            <w:right w:w="108" w:type="dxa"/>
          </w:tblCellMar>
        </w:tblPrEx>
        <w:trPr>
          <w:trHeight w:val="540" w:hRule="atLeast"/>
        </w:trPr>
        <w:tc>
          <w:tcPr>
            <w:tcW w:w="81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项目资金（万元）</w:t>
            </w:r>
          </w:p>
        </w:tc>
        <w:tc>
          <w:tcPr>
            <w:tcW w:w="2010"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全年预算数（A）</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全年执行数（B）</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执行率%（B/A）</w:t>
            </w:r>
          </w:p>
        </w:tc>
        <w:tc>
          <w:tcPr>
            <w:tcW w:w="17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执行率得分（分）</w:t>
            </w:r>
          </w:p>
        </w:tc>
      </w:tr>
      <w:tr>
        <w:tblPrEx>
          <w:tblLayout w:type="fixed"/>
          <w:tblCellMar>
            <w:top w:w="0" w:type="dxa"/>
            <w:left w:w="108" w:type="dxa"/>
            <w:bottom w:w="0" w:type="dxa"/>
            <w:right w:w="108" w:type="dxa"/>
          </w:tblCellMar>
        </w:tblPrEx>
        <w:trPr>
          <w:trHeight w:val="360"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6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10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7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r>
      <w:tr>
        <w:tblPrEx>
          <w:tblLayout w:type="fixed"/>
          <w:tblCellMar>
            <w:top w:w="0" w:type="dxa"/>
            <w:left w:w="108" w:type="dxa"/>
            <w:bottom w:w="0" w:type="dxa"/>
            <w:right w:w="108" w:type="dxa"/>
          </w:tblCellMar>
        </w:tblPrEx>
        <w:trPr>
          <w:trHeight w:val="360"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其中：中央补助</w:t>
            </w:r>
          </w:p>
        </w:tc>
        <w:tc>
          <w:tcPr>
            <w:tcW w:w="16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375"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市级补助</w:t>
            </w:r>
          </w:p>
        </w:tc>
        <w:tc>
          <w:tcPr>
            <w:tcW w:w="16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420"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区级资金</w:t>
            </w:r>
          </w:p>
        </w:tc>
        <w:tc>
          <w:tcPr>
            <w:tcW w:w="16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10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7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r>
      <w:tr>
        <w:tblPrEx>
          <w:tblLayout w:type="fixed"/>
          <w:tblCellMar>
            <w:top w:w="0" w:type="dxa"/>
            <w:left w:w="108" w:type="dxa"/>
            <w:bottom w:w="0" w:type="dxa"/>
            <w:right w:w="108" w:type="dxa"/>
          </w:tblCellMar>
        </w:tblPrEx>
        <w:trPr>
          <w:trHeight w:val="330"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6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510" w:hRule="atLeast"/>
        </w:trPr>
        <w:tc>
          <w:tcPr>
            <w:tcW w:w="8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370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年初设定目标</w:t>
            </w:r>
          </w:p>
        </w:tc>
        <w:tc>
          <w:tcPr>
            <w:tcW w:w="386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全年目标实际完成情况</w:t>
            </w:r>
          </w:p>
        </w:tc>
      </w:tr>
      <w:tr>
        <w:tblPrEx>
          <w:tblLayout w:type="fixed"/>
          <w:tblCellMar>
            <w:top w:w="0" w:type="dxa"/>
            <w:left w:w="108" w:type="dxa"/>
            <w:bottom w:w="0" w:type="dxa"/>
            <w:right w:w="108" w:type="dxa"/>
          </w:tblCellMar>
        </w:tblPrEx>
        <w:trPr>
          <w:trHeight w:val="1110" w:hRule="atLeast"/>
        </w:trPr>
        <w:tc>
          <w:tcPr>
            <w:tcW w:w="8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70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按照财政局统一核定标准，保证单位正常运转，</w:t>
            </w:r>
          </w:p>
        </w:tc>
        <w:tc>
          <w:tcPr>
            <w:tcW w:w="386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单位正常运转</w:t>
            </w:r>
          </w:p>
        </w:tc>
      </w:tr>
      <w:tr>
        <w:tblPrEx>
          <w:tblLayout w:type="fixed"/>
          <w:tblCellMar>
            <w:top w:w="0" w:type="dxa"/>
            <w:left w:w="108" w:type="dxa"/>
            <w:bottom w:w="0" w:type="dxa"/>
            <w:right w:w="108" w:type="dxa"/>
          </w:tblCellMar>
        </w:tblPrEx>
        <w:trPr>
          <w:trHeight w:val="645" w:hRule="atLeast"/>
        </w:trPr>
        <w:tc>
          <w:tcPr>
            <w:tcW w:w="812"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绩效指标</w:t>
            </w: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指标名称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（三级指标）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计量单位</w:t>
            </w:r>
          </w:p>
        </w:tc>
        <w:tc>
          <w:tcPr>
            <w:tcW w:w="793"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指标权重</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指标值</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全年完成值</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得分系数（%）</w:t>
            </w: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指标得分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（分)</w:t>
            </w:r>
          </w:p>
        </w:tc>
      </w:tr>
      <w:tr>
        <w:tblPrEx>
          <w:tblLayout w:type="fixed"/>
          <w:tblCellMar>
            <w:top w:w="0" w:type="dxa"/>
            <w:left w:w="108" w:type="dxa"/>
            <w:bottom w:w="0" w:type="dxa"/>
            <w:right w:w="108" w:type="dxa"/>
          </w:tblCellMar>
        </w:tblPrEx>
        <w:trPr>
          <w:trHeight w:val="585" w:hRule="atLeast"/>
        </w:trPr>
        <w:tc>
          <w:tcPr>
            <w:tcW w:w="8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编制人数</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人</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r>
        <w:tblPrEx>
          <w:tblLayout w:type="fixed"/>
          <w:tblCellMar>
            <w:top w:w="0" w:type="dxa"/>
            <w:left w:w="108" w:type="dxa"/>
            <w:bottom w:w="0" w:type="dxa"/>
            <w:right w:w="108" w:type="dxa"/>
          </w:tblCellMar>
        </w:tblPrEx>
        <w:trPr>
          <w:trHeight w:val="645" w:hRule="atLeast"/>
        </w:trPr>
        <w:tc>
          <w:tcPr>
            <w:tcW w:w="8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单位正常运转率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93"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r>
        <w:tblPrEx>
          <w:tblLayout w:type="fixed"/>
          <w:tblCellMar>
            <w:top w:w="0" w:type="dxa"/>
            <w:left w:w="108" w:type="dxa"/>
            <w:bottom w:w="0" w:type="dxa"/>
            <w:right w:w="108" w:type="dxa"/>
          </w:tblCellMar>
        </w:tblPrEx>
        <w:trPr>
          <w:trHeight w:val="600" w:hRule="atLeast"/>
        </w:trPr>
        <w:tc>
          <w:tcPr>
            <w:tcW w:w="8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全面完成工作目标任务</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93"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r>
        <w:tblPrEx>
          <w:tblLayout w:type="fixed"/>
          <w:tblCellMar>
            <w:top w:w="0" w:type="dxa"/>
            <w:left w:w="108" w:type="dxa"/>
            <w:bottom w:w="0" w:type="dxa"/>
            <w:right w:w="108" w:type="dxa"/>
          </w:tblCellMar>
        </w:tblPrEx>
        <w:trPr>
          <w:trHeight w:val="615" w:hRule="atLeast"/>
        </w:trPr>
        <w:tc>
          <w:tcPr>
            <w:tcW w:w="8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文化旅游服务工作影响度</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93"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85%</w:t>
            </w: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17.5</w:t>
            </w:r>
          </w:p>
        </w:tc>
      </w:tr>
      <w:tr>
        <w:tblPrEx>
          <w:tblLayout w:type="fixed"/>
          <w:tblCellMar>
            <w:top w:w="0" w:type="dxa"/>
            <w:left w:w="108" w:type="dxa"/>
            <w:bottom w:w="0" w:type="dxa"/>
            <w:right w:w="108" w:type="dxa"/>
          </w:tblCellMar>
        </w:tblPrEx>
        <w:trPr>
          <w:trHeight w:val="615" w:hRule="atLeast"/>
        </w:trPr>
        <w:tc>
          <w:tcPr>
            <w:tcW w:w="8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服务对象满意度</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93"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85%</w:t>
            </w: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17.5</w:t>
            </w:r>
          </w:p>
        </w:tc>
      </w:tr>
      <w:tr>
        <w:tblPrEx>
          <w:tblLayout w:type="fixed"/>
          <w:tblCellMar>
            <w:top w:w="0" w:type="dxa"/>
            <w:left w:w="108" w:type="dxa"/>
            <w:bottom w:w="0" w:type="dxa"/>
            <w:right w:w="108" w:type="dxa"/>
          </w:tblCellMar>
        </w:tblPrEx>
        <w:trPr>
          <w:trHeight w:val="630" w:hRule="atLeast"/>
        </w:trPr>
        <w:tc>
          <w:tcPr>
            <w:tcW w:w="8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93"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995" w:hRule="atLeast"/>
        </w:trPr>
        <w:tc>
          <w:tcPr>
            <w:tcW w:w="8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未完成绩效目标或偏离较多的原因、改进措施及其他说明</w:t>
            </w:r>
          </w:p>
        </w:tc>
        <w:tc>
          <w:tcPr>
            <w:tcW w:w="7568"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trPr>
        <w:tc>
          <w:tcPr>
            <w:tcW w:w="812"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2010"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898"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793"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1078"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993"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928"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868"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0" w:hRule="atLeast"/>
        </w:trPr>
        <w:tc>
          <w:tcPr>
            <w:tcW w:w="8380" w:type="dxa"/>
            <w:gridSpan w:val="8"/>
            <w:tcBorders>
              <w:top w:val="nil"/>
              <w:left w:val="nil"/>
              <w:bottom w:val="nil"/>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kern w:val="0"/>
                <w:sz w:val="20"/>
                <w:szCs w:val="20"/>
              </w:rPr>
              <w:t xml:space="preserve"> 预算单位主要领导：廖治梅     绩效评价负责人：张绍里        经办人：罗舒婷</w:t>
            </w:r>
          </w:p>
        </w:tc>
      </w:tr>
    </w:tbl>
    <w:p>
      <w:pPr>
        <w:spacing w:line="600" w:lineRule="exact"/>
        <w:ind w:firstLine="640" w:firstLineChars="200"/>
        <w:rPr>
          <w:rFonts w:eastAsia="方正黑体_GBK" w:cs="宋体"/>
          <w:kern w:val="0"/>
          <w:sz w:val="32"/>
          <w:szCs w:val="32"/>
        </w:rPr>
      </w:pPr>
      <w:r>
        <w:rPr>
          <w:rFonts w:hint="eastAsia" w:eastAsia="方正黑体_GBK" w:cs="宋体"/>
          <w:kern w:val="0"/>
          <w:sz w:val="32"/>
          <w:szCs w:val="32"/>
        </w:rPr>
        <w:t>六、专业名词解释</w:t>
      </w:r>
    </w:p>
    <w:p>
      <w:pPr>
        <w:spacing w:line="600" w:lineRule="exact"/>
        <w:ind w:firstLine="640" w:firstLineChars="200"/>
        <w:rPr>
          <w:rFonts w:ascii="方正仿宋_GBK" w:eastAsia="方正仿宋_GBK" w:cs="宋体"/>
          <w:kern w:val="0"/>
          <w:sz w:val="32"/>
          <w:szCs w:val="32"/>
        </w:rPr>
      </w:pPr>
      <w:r>
        <w:rPr>
          <w:rFonts w:hint="eastAsia" w:ascii="方正楷体_GBK" w:eastAsia="方正楷体_GBK" w:cs="宋体"/>
          <w:kern w:val="0"/>
          <w:sz w:val="32"/>
          <w:szCs w:val="32"/>
        </w:rPr>
        <w:t>（一）财政拨款收入：</w:t>
      </w:r>
      <w:r>
        <w:rPr>
          <w:rFonts w:hint="eastAsia" w:ascii="方正仿宋_GBK" w:eastAsia="方正仿宋_GBK" w:cs="宋体"/>
          <w:kern w:val="0"/>
          <w:sz w:val="32"/>
          <w:szCs w:val="32"/>
        </w:rPr>
        <w:t>指本年度从本级财政部门取得的财政拨款，包括一般公共预算财政拨款和政府性基金预算财政拨款。</w:t>
      </w:r>
    </w:p>
    <w:p>
      <w:pPr>
        <w:spacing w:line="600" w:lineRule="exact"/>
        <w:ind w:firstLine="640" w:firstLineChars="200"/>
        <w:rPr>
          <w:rFonts w:ascii="方正仿宋_GBK" w:eastAsia="方正仿宋_GBK" w:cs="宋体"/>
          <w:kern w:val="0"/>
          <w:sz w:val="32"/>
          <w:szCs w:val="32"/>
        </w:rPr>
      </w:pPr>
      <w:r>
        <w:rPr>
          <w:rFonts w:hint="eastAsia" w:ascii="方正楷体_GBK" w:eastAsia="方正楷体_GBK" w:cs="宋体"/>
          <w:kern w:val="0"/>
          <w:sz w:val="32"/>
          <w:szCs w:val="32"/>
        </w:rPr>
        <w:t>（二）事业收入：</w:t>
      </w:r>
      <w:r>
        <w:rPr>
          <w:rFonts w:hint="eastAsia" w:ascii="方正仿宋_GBK" w:eastAsia="方正仿宋_GBK" w:cs="宋体"/>
          <w:kern w:val="0"/>
          <w:sz w:val="32"/>
          <w:szCs w:val="32"/>
        </w:rPr>
        <w:t>指事业单位开展专业业务活动及其辅助活动取得的现金流入；事业单位收到的财政专户实际核拨的教育收费等资金在此反映。</w:t>
      </w:r>
    </w:p>
    <w:p>
      <w:pPr>
        <w:spacing w:line="600" w:lineRule="exact"/>
        <w:ind w:firstLine="640" w:firstLineChars="200"/>
        <w:rPr>
          <w:rFonts w:ascii="方正仿宋_GBK" w:eastAsia="方正仿宋_GBK" w:cs="宋体"/>
          <w:kern w:val="0"/>
          <w:sz w:val="32"/>
          <w:szCs w:val="32"/>
        </w:rPr>
      </w:pPr>
      <w:r>
        <w:rPr>
          <w:rFonts w:hint="eastAsia" w:ascii="方正楷体_GBK" w:eastAsia="方正楷体_GBK" w:cs="宋体"/>
          <w:kern w:val="0"/>
          <w:sz w:val="32"/>
          <w:szCs w:val="32"/>
        </w:rPr>
        <w:t>（三）经营收入：</w:t>
      </w:r>
      <w:r>
        <w:rPr>
          <w:rFonts w:hint="eastAsia" w:ascii="方正仿宋_GBK" w:eastAsia="方正仿宋_GBK" w:cs="宋体"/>
          <w:kern w:val="0"/>
          <w:sz w:val="32"/>
          <w:szCs w:val="32"/>
        </w:rPr>
        <w:t>指事业单位在专业业务活动及其辅助活动之外开展非独立核算经营活动取得的现金流入。</w:t>
      </w:r>
    </w:p>
    <w:p>
      <w:pPr>
        <w:spacing w:line="600" w:lineRule="exact"/>
        <w:ind w:firstLine="640" w:firstLineChars="200"/>
        <w:rPr>
          <w:rFonts w:ascii="方正仿宋_GBK" w:eastAsia="方正仿宋_GBK" w:cs="宋体"/>
          <w:kern w:val="0"/>
          <w:sz w:val="32"/>
          <w:szCs w:val="32"/>
        </w:rPr>
      </w:pPr>
      <w:r>
        <w:rPr>
          <w:rFonts w:hint="eastAsia" w:ascii="方正楷体_GBK" w:eastAsia="方正楷体_GBK" w:cs="宋体"/>
          <w:kern w:val="0"/>
          <w:sz w:val="32"/>
          <w:szCs w:val="32"/>
        </w:rPr>
        <w:t>（四）其他收入：</w:t>
      </w:r>
      <w:r>
        <w:rPr>
          <w:rFonts w:hint="eastAsia" w:ascii="方正仿宋_GBK" w:eastAsia="方正仿宋_GBK" w:cs="宋体"/>
          <w:kern w:val="0"/>
          <w:sz w:val="32"/>
          <w:szCs w:val="32"/>
        </w:rPr>
        <w:t>指单位取得的除“财政拨款收入”、“事业收入”、“经营收入”等以外的收入，包括未纳入财政预算或财政专户管理的投资收益、银行存款利息收入、租金收入、捐赠收入，现金盘盈收入、 存货盘盈收入、收回已核销的应收及预付款项、无法偿付的应付及预收款项等。各单位从本级财政部门以外的同级单位取得的经费、从非本级财政部门取得的经费， 以及行政单位收到的财政专户管理资金反映在本项内。</w:t>
      </w:r>
    </w:p>
    <w:p>
      <w:pPr>
        <w:spacing w:line="600" w:lineRule="exact"/>
        <w:ind w:firstLine="640" w:firstLineChars="200"/>
        <w:rPr>
          <w:rFonts w:ascii="方正仿宋_GBK" w:eastAsia="方正仿宋_GBK" w:cs="宋体"/>
          <w:kern w:val="0"/>
          <w:sz w:val="32"/>
          <w:szCs w:val="32"/>
        </w:rPr>
      </w:pPr>
      <w:r>
        <w:rPr>
          <w:rFonts w:hint="eastAsia" w:ascii="方正楷体_GBK" w:eastAsia="方正楷体_GBK" w:cs="宋体"/>
          <w:kern w:val="0"/>
          <w:sz w:val="32"/>
          <w:szCs w:val="32"/>
        </w:rPr>
        <w:t>（五）</w:t>
      </w:r>
      <w:r>
        <w:rPr>
          <w:rFonts w:ascii="方正楷体_GBK" w:eastAsia="方正楷体_GBK" w:cs="宋体"/>
          <w:kern w:val="0"/>
          <w:sz w:val="32"/>
          <w:szCs w:val="32"/>
        </w:rPr>
        <w:t>使用非财政拨款结余：</w:t>
      </w:r>
      <w:r>
        <w:rPr>
          <w:rFonts w:ascii="方正仿宋_GBK" w:eastAsia="方正仿宋_GBK" w:cs="宋体"/>
          <w:kern w:val="0"/>
          <w:sz w:val="32"/>
          <w:szCs w:val="32"/>
        </w:rPr>
        <w:t>指单位在当年的“财政拨款收入”、“事业收入”、“经营收入”、“其他收入”等不足以安排当年支出的情况下，使用以前年度积累的非财政拨款结余弥补本年度收支缺口的资金。</w:t>
      </w:r>
    </w:p>
    <w:p>
      <w:pPr>
        <w:spacing w:line="600" w:lineRule="exact"/>
        <w:ind w:firstLine="640" w:firstLineChars="200"/>
        <w:rPr>
          <w:rFonts w:ascii="方正仿宋_GBK" w:eastAsia="方正仿宋_GBK" w:cs="宋体"/>
          <w:kern w:val="0"/>
          <w:sz w:val="32"/>
          <w:szCs w:val="32"/>
        </w:rPr>
      </w:pPr>
      <w:r>
        <w:rPr>
          <w:rFonts w:hint="eastAsia" w:ascii="方正楷体_GBK" w:eastAsia="方正楷体_GBK" w:cs="宋体"/>
          <w:kern w:val="0"/>
          <w:sz w:val="32"/>
          <w:szCs w:val="32"/>
        </w:rPr>
        <w:t>（六）年初结转和结余：</w:t>
      </w:r>
      <w:r>
        <w:rPr>
          <w:rFonts w:hint="eastAsia" w:ascii="方正仿宋_GBK" w:eastAsia="方正仿宋_GBK" w:cs="宋体"/>
          <w:kern w:val="0"/>
          <w:sz w:val="32"/>
          <w:szCs w:val="32"/>
        </w:rPr>
        <w:t>指单位上年结转本年使用的基本支出结转、项目支出结转和结余、经营结余。</w:t>
      </w:r>
    </w:p>
    <w:p>
      <w:pPr>
        <w:spacing w:line="600" w:lineRule="exact"/>
        <w:ind w:firstLine="640" w:firstLineChars="200"/>
        <w:rPr>
          <w:rFonts w:ascii="方正楷体_GBK" w:eastAsia="方正楷体_GBK" w:cs="宋体"/>
          <w:kern w:val="0"/>
          <w:sz w:val="32"/>
          <w:szCs w:val="32"/>
        </w:rPr>
      </w:pPr>
      <w:r>
        <w:rPr>
          <w:rFonts w:hint="eastAsia" w:ascii="方正楷体_GBK" w:eastAsia="方正楷体_GBK" w:cs="宋体"/>
          <w:kern w:val="0"/>
          <w:sz w:val="32"/>
          <w:szCs w:val="32"/>
        </w:rPr>
        <w:t>（七）结余分配：</w:t>
      </w:r>
      <w:r>
        <w:rPr>
          <w:rFonts w:hint="eastAsia" w:ascii="方正仿宋_GBK" w:eastAsia="方正仿宋_GBK" w:cs="宋体"/>
          <w:kern w:val="0"/>
          <w:sz w:val="32"/>
          <w:szCs w:val="32"/>
        </w:rPr>
        <w:t>指单位按照国家有关规定，缴纳所得税、提取专用基金、转入事业基金等当年结余的分配情况。</w:t>
      </w:r>
    </w:p>
    <w:p>
      <w:pPr>
        <w:spacing w:line="600" w:lineRule="exact"/>
        <w:ind w:firstLine="640" w:firstLineChars="200"/>
        <w:rPr>
          <w:rFonts w:ascii="方正仿宋_GBK" w:eastAsia="方正仿宋_GBK" w:cs="宋体"/>
          <w:kern w:val="0"/>
          <w:sz w:val="32"/>
          <w:szCs w:val="32"/>
        </w:rPr>
      </w:pPr>
      <w:r>
        <w:rPr>
          <w:rFonts w:hint="eastAsia" w:ascii="方正楷体_GBK" w:eastAsia="方正楷体_GBK" w:cs="宋体"/>
          <w:kern w:val="0"/>
          <w:sz w:val="32"/>
          <w:szCs w:val="32"/>
        </w:rPr>
        <w:t>（八）年末结转和结余：</w:t>
      </w:r>
      <w:r>
        <w:rPr>
          <w:rFonts w:hint="eastAsia" w:ascii="方正仿宋_GBK" w:eastAsia="方正仿宋_GBK" w:cs="宋体"/>
          <w:kern w:val="0"/>
          <w:sz w:val="32"/>
          <w:szCs w:val="32"/>
        </w:rPr>
        <w:t>指单位结转下年的基本支出结转、项目支出结转和结余、经营结余。</w:t>
      </w:r>
    </w:p>
    <w:p>
      <w:pPr>
        <w:spacing w:line="600" w:lineRule="exact"/>
        <w:ind w:firstLine="640" w:firstLineChars="200"/>
        <w:rPr>
          <w:rFonts w:ascii="方正仿宋_GBK" w:eastAsia="方正仿宋_GBK" w:cs="宋体"/>
          <w:kern w:val="0"/>
          <w:sz w:val="32"/>
          <w:szCs w:val="32"/>
        </w:rPr>
      </w:pPr>
      <w:r>
        <w:rPr>
          <w:rFonts w:hint="eastAsia" w:ascii="方正楷体_GBK" w:eastAsia="方正楷体_GBK" w:cs="宋体"/>
          <w:kern w:val="0"/>
          <w:sz w:val="32"/>
          <w:szCs w:val="32"/>
        </w:rPr>
        <w:t>（九）基本支出：</w:t>
      </w:r>
      <w:r>
        <w:rPr>
          <w:rFonts w:hint="eastAsia" w:ascii="方正仿宋_GBK" w:eastAsia="方正仿宋_GBK" w:cs="宋体"/>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600" w:lineRule="exact"/>
        <w:ind w:firstLine="640" w:firstLineChars="200"/>
        <w:rPr>
          <w:rFonts w:ascii="方正仿宋_GBK" w:eastAsia="方正仿宋_GBK" w:cs="宋体"/>
          <w:kern w:val="0"/>
          <w:sz w:val="32"/>
          <w:szCs w:val="32"/>
        </w:rPr>
      </w:pPr>
      <w:r>
        <w:rPr>
          <w:rFonts w:hint="eastAsia" w:ascii="方正楷体_GBK" w:eastAsia="方正楷体_GBK" w:cs="宋体"/>
          <w:kern w:val="0"/>
          <w:sz w:val="32"/>
          <w:szCs w:val="32"/>
        </w:rPr>
        <w:t>（十）项目支出：</w:t>
      </w:r>
      <w:r>
        <w:rPr>
          <w:rFonts w:hint="eastAsia" w:ascii="方正仿宋_GBK" w:eastAsia="方正仿宋_GBK" w:cs="宋体"/>
          <w:kern w:val="0"/>
          <w:sz w:val="32"/>
          <w:szCs w:val="32"/>
        </w:rPr>
        <w:t>指在基本支出之外为完成特定行政任务和事业发展目标所发生的支出。</w:t>
      </w:r>
    </w:p>
    <w:p>
      <w:pPr>
        <w:spacing w:line="600" w:lineRule="exact"/>
        <w:ind w:firstLine="640" w:firstLineChars="200"/>
        <w:rPr>
          <w:rFonts w:ascii="方正仿宋_GBK" w:eastAsia="方正仿宋_GBK" w:cs="宋体"/>
          <w:kern w:val="0"/>
          <w:sz w:val="32"/>
          <w:szCs w:val="32"/>
        </w:rPr>
      </w:pPr>
      <w:r>
        <w:rPr>
          <w:rFonts w:hint="eastAsia" w:ascii="方正楷体_GBK" w:eastAsia="方正楷体_GBK" w:cs="宋体"/>
          <w:kern w:val="0"/>
          <w:sz w:val="32"/>
          <w:szCs w:val="32"/>
        </w:rPr>
        <w:t>（十一）经营支出：</w:t>
      </w:r>
      <w:r>
        <w:rPr>
          <w:rFonts w:hint="eastAsia" w:ascii="方正仿宋_GBK" w:eastAsia="方正仿宋_GBK" w:cs="宋体"/>
          <w:kern w:val="0"/>
          <w:sz w:val="32"/>
          <w:szCs w:val="32"/>
        </w:rPr>
        <w:t>指事业单位在专业业务活动及其辅助活动之外开展非独立核算经营活动发生的支出。</w:t>
      </w:r>
    </w:p>
    <w:p>
      <w:pPr>
        <w:spacing w:line="600" w:lineRule="exact"/>
        <w:ind w:firstLine="640" w:firstLineChars="200"/>
        <w:rPr>
          <w:rFonts w:ascii="方正仿宋_GBK" w:eastAsia="方正仿宋_GBK" w:cs="宋体"/>
          <w:kern w:val="0"/>
          <w:sz w:val="32"/>
          <w:szCs w:val="32"/>
        </w:rPr>
      </w:pPr>
      <w:r>
        <w:rPr>
          <w:rFonts w:hint="eastAsia" w:ascii="方正楷体_GBK" w:eastAsia="方正楷体_GBK" w:cs="宋体"/>
          <w:kern w:val="0"/>
          <w:sz w:val="32"/>
          <w:szCs w:val="32"/>
        </w:rPr>
        <w:t>（十二）“三公”经费： </w:t>
      </w:r>
      <w:r>
        <w:rPr>
          <w:rFonts w:hint="eastAsia" w:ascii="方正仿宋_GBK" w:eastAsia="方正仿宋_GBK" w:cs="宋体"/>
          <w:kern w:val="0"/>
          <w:sz w:val="32"/>
          <w:szCs w:val="32"/>
        </w:rPr>
        <w:t>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spacing w:line="600" w:lineRule="exact"/>
        <w:ind w:firstLine="640" w:firstLineChars="200"/>
        <w:rPr>
          <w:rFonts w:ascii="方正仿宋_GBK" w:eastAsia="方正仿宋_GBK" w:cs="宋体"/>
          <w:kern w:val="0"/>
          <w:sz w:val="32"/>
          <w:szCs w:val="32"/>
        </w:rPr>
      </w:pPr>
      <w:r>
        <w:rPr>
          <w:rFonts w:hint="eastAsia" w:ascii="方正楷体_GBK" w:eastAsia="方正楷体_GBK" w:cs="宋体"/>
          <w:kern w:val="0"/>
          <w:sz w:val="32"/>
          <w:szCs w:val="32"/>
        </w:rPr>
        <w:t>（十三）机关运行经费：</w:t>
      </w:r>
      <w:r>
        <w:rPr>
          <w:rFonts w:hint="eastAsia" w:ascii="方正仿宋_GBK" w:eastAsia="方正仿宋_GBK" w:cs="宋体"/>
          <w:kern w:val="0"/>
          <w:sz w:val="32"/>
          <w:szCs w:val="32"/>
        </w:rPr>
        <w:t>为保障行政单位（含</w:t>
      </w:r>
      <w:bookmarkStart w:id="0" w:name="_GoBack"/>
      <w:bookmarkEnd w:id="0"/>
      <w:r>
        <w:rPr>
          <w:rFonts w:hint="eastAsia" w:ascii="方正仿宋_GBK" w:eastAsia="方正仿宋_GBK" w:cs="宋体"/>
          <w:kern w:val="0"/>
          <w:sz w:val="32"/>
          <w:szCs w:val="32"/>
        </w:rPr>
        <w:t>参照公务员法管理的事业单位）运行用于购买货物和服务等的各项公用经费，包括办公及印刷费、邮电费、差旅费、会议费、福利费、日常维护费、专用材料及一般 设备购置费、办公用房水电费、办公用房取暖费、办公用房物业管理费、公务用车运行维护费以及其他费用。</w:t>
      </w:r>
    </w:p>
    <w:p>
      <w:pPr>
        <w:spacing w:line="600" w:lineRule="exact"/>
        <w:ind w:firstLine="640" w:firstLineChars="200"/>
        <w:rPr>
          <w:rFonts w:ascii="方正仿宋_GBK" w:eastAsia="方正仿宋_GBK" w:cs="宋体"/>
          <w:kern w:val="0"/>
          <w:sz w:val="32"/>
          <w:szCs w:val="32"/>
        </w:rPr>
      </w:pPr>
      <w:r>
        <w:rPr>
          <w:rFonts w:hint="eastAsia" w:ascii="方正楷体_GBK" w:eastAsia="方正楷体_GBK" w:cs="宋体"/>
          <w:kern w:val="0"/>
          <w:sz w:val="32"/>
          <w:szCs w:val="32"/>
        </w:rPr>
        <w:t>（十四）工资福利支出（支出经济分类科目类级）：</w:t>
      </w:r>
      <w:r>
        <w:rPr>
          <w:rFonts w:hint="eastAsia" w:ascii="方正仿宋_GBK" w:eastAsia="方正仿宋_GBK" w:cs="宋体"/>
          <w:kern w:val="0"/>
          <w:sz w:val="32"/>
          <w:szCs w:val="32"/>
        </w:rPr>
        <w:t>反映单位开支的在职职工和编制外长期聘用人员的各类劳动报酬，以及为上述人员缴纳的各项社会保险费等。</w:t>
      </w:r>
    </w:p>
    <w:p>
      <w:pPr>
        <w:spacing w:line="600" w:lineRule="exact"/>
        <w:ind w:firstLine="640" w:firstLineChars="200"/>
        <w:rPr>
          <w:rFonts w:ascii="方正仿宋_GBK" w:eastAsia="方正仿宋_GBK" w:cs="宋体"/>
          <w:kern w:val="0"/>
          <w:sz w:val="32"/>
          <w:szCs w:val="32"/>
        </w:rPr>
      </w:pPr>
      <w:r>
        <w:rPr>
          <w:rFonts w:hint="eastAsia" w:ascii="方正楷体_GBK" w:eastAsia="方正楷体_GBK" w:cs="宋体"/>
          <w:kern w:val="0"/>
          <w:sz w:val="32"/>
          <w:szCs w:val="32"/>
        </w:rPr>
        <w:t>（十五）商品和服务支出（支出经济分类科目类级）：</w:t>
      </w:r>
      <w:r>
        <w:rPr>
          <w:rFonts w:hint="eastAsia" w:ascii="方正仿宋_GBK" w:eastAsia="方正仿宋_GBK" w:cs="宋体"/>
          <w:kern w:val="0"/>
          <w:sz w:val="32"/>
          <w:szCs w:val="32"/>
        </w:rPr>
        <w:t>反映单位购买商品和服务的支出（不包括用于购置固定资产的支出、战略性和应急储备支出）。</w:t>
      </w:r>
    </w:p>
    <w:p>
      <w:pPr>
        <w:spacing w:line="600" w:lineRule="exact"/>
        <w:ind w:firstLine="640" w:firstLineChars="200"/>
        <w:rPr>
          <w:rFonts w:ascii="方正仿宋_GBK" w:eastAsia="方正仿宋_GBK" w:cs="宋体"/>
          <w:kern w:val="0"/>
          <w:sz w:val="32"/>
          <w:szCs w:val="32"/>
        </w:rPr>
      </w:pPr>
      <w:r>
        <w:rPr>
          <w:rFonts w:hint="eastAsia" w:ascii="方正楷体_GBK" w:eastAsia="方正楷体_GBK" w:cs="宋体"/>
          <w:kern w:val="0"/>
          <w:sz w:val="32"/>
          <w:szCs w:val="32"/>
        </w:rPr>
        <w:t>（十六）对个人和家庭的补助（支出经济分类科目类级）：</w:t>
      </w:r>
      <w:r>
        <w:rPr>
          <w:rFonts w:hint="eastAsia" w:ascii="方正仿宋_GBK" w:eastAsia="方正仿宋_GBK" w:cs="宋体"/>
          <w:kern w:val="0"/>
          <w:sz w:val="32"/>
          <w:szCs w:val="32"/>
        </w:rPr>
        <w:t>反映用于对个人和家庭的补助支出。</w:t>
      </w:r>
    </w:p>
    <w:p>
      <w:pPr>
        <w:spacing w:line="600" w:lineRule="exact"/>
        <w:ind w:firstLine="640" w:firstLineChars="200"/>
        <w:rPr>
          <w:rFonts w:ascii="方正仿宋_GBK" w:eastAsia="方正仿宋_GBK" w:cs="宋体"/>
          <w:kern w:val="0"/>
          <w:sz w:val="32"/>
          <w:szCs w:val="32"/>
        </w:rPr>
      </w:pPr>
      <w:r>
        <w:rPr>
          <w:rFonts w:hint="eastAsia" w:ascii="方正楷体_GBK" w:eastAsia="方正楷体_GBK" w:cs="宋体"/>
          <w:kern w:val="0"/>
          <w:sz w:val="32"/>
          <w:szCs w:val="32"/>
        </w:rPr>
        <w:t>（十七）其他资本性支出（支出经济分类科目类级）：</w:t>
      </w:r>
      <w:r>
        <w:rPr>
          <w:rFonts w:hint="eastAsia" w:ascii="方正仿宋_GBK" w:eastAsia="方正仿宋_GBK" w:cs="宋体"/>
          <w:kern w:val="0"/>
          <w:sz w:val="32"/>
          <w:szCs w:val="32"/>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eastAsia="方正黑体_GBK"/>
          <w:sz w:val="32"/>
          <w:szCs w:val="32"/>
        </w:rPr>
      </w:pPr>
      <w:r>
        <w:rPr>
          <w:rFonts w:hint="eastAsia" w:eastAsia="方正黑体_GBK"/>
          <w:sz w:val="32"/>
          <w:szCs w:val="32"/>
        </w:rPr>
        <w:t>七、决算公开联系方式</w:t>
      </w:r>
      <w:r>
        <w:rPr>
          <w:rFonts w:eastAsia="方正黑体_GBK"/>
          <w:sz w:val="32"/>
          <w:szCs w:val="32"/>
        </w:rPr>
        <w:t>及信息反馈渠道</w:t>
      </w:r>
    </w:p>
    <w:p>
      <w:pPr>
        <w:widowControl/>
        <w:shd w:val="clear" w:color="auto" w:fill="FFFFFF"/>
        <w:spacing w:after="180" w:line="600" w:lineRule="atLeast"/>
        <w:ind w:firstLine="645"/>
        <w:jc w:val="left"/>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本单位决算公开信息反馈和联系方式：023-48678206</w:t>
      </w:r>
    </w:p>
    <w:p/>
    <w:sectPr>
      <w:footerReference r:id="rId3" w:type="default"/>
      <w:footerReference r:id="rId4" w:type="even"/>
      <w:pgSz w:w="11906" w:h="16838"/>
      <w:pgMar w:top="2098" w:right="1531" w:bottom="1985"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等线">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sz w:val="28"/>
        <w:szCs w:val="28"/>
        <w:lang w:val="zh-CN"/>
      </w:rPr>
      <w:t>6</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sz w:val="28"/>
        <w:szCs w:val="28"/>
        <w:lang w:val="zh-CN"/>
      </w:rPr>
      <w:t>6</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29A6"/>
    <w:rsid w:val="00002E42"/>
    <w:rsid w:val="00003992"/>
    <w:rsid w:val="0002144B"/>
    <w:rsid w:val="00022665"/>
    <w:rsid w:val="0002370C"/>
    <w:rsid w:val="00026542"/>
    <w:rsid w:val="00027C59"/>
    <w:rsid w:val="000316CD"/>
    <w:rsid w:val="00034B55"/>
    <w:rsid w:val="00035171"/>
    <w:rsid w:val="00045D55"/>
    <w:rsid w:val="00056D42"/>
    <w:rsid w:val="000617C7"/>
    <w:rsid w:val="00061809"/>
    <w:rsid w:val="00061AB4"/>
    <w:rsid w:val="000718A2"/>
    <w:rsid w:val="00075B1A"/>
    <w:rsid w:val="00080818"/>
    <w:rsid w:val="00095A78"/>
    <w:rsid w:val="000B1B3A"/>
    <w:rsid w:val="000B601E"/>
    <w:rsid w:val="000B73D6"/>
    <w:rsid w:val="000E180A"/>
    <w:rsid w:val="000E28AE"/>
    <w:rsid w:val="000E2F43"/>
    <w:rsid w:val="001132E8"/>
    <w:rsid w:val="001200EC"/>
    <w:rsid w:val="001204F5"/>
    <w:rsid w:val="00136BDA"/>
    <w:rsid w:val="00141295"/>
    <w:rsid w:val="001432CC"/>
    <w:rsid w:val="001544B3"/>
    <w:rsid w:val="001559B9"/>
    <w:rsid w:val="00162512"/>
    <w:rsid w:val="00163CC6"/>
    <w:rsid w:val="00164928"/>
    <w:rsid w:val="00172D1C"/>
    <w:rsid w:val="00176B55"/>
    <w:rsid w:val="001838AC"/>
    <w:rsid w:val="0018478B"/>
    <w:rsid w:val="00187DCD"/>
    <w:rsid w:val="00196376"/>
    <w:rsid w:val="001A3390"/>
    <w:rsid w:val="001C2B46"/>
    <w:rsid w:val="001D5485"/>
    <w:rsid w:val="001E283E"/>
    <w:rsid w:val="001E525C"/>
    <w:rsid w:val="001F6981"/>
    <w:rsid w:val="001F79A0"/>
    <w:rsid w:val="0021169F"/>
    <w:rsid w:val="00214E1E"/>
    <w:rsid w:val="002151FF"/>
    <w:rsid w:val="00231317"/>
    <w:rsid w:val="00241423"/>
    <w:rsid w:val="00241AA0"/>
    <w:rsid w:val="00247A34"/>
    <w:rsid w:val="00253041"/>
    <w:rsid w:val="00254906"/>
    <w:rsid w:val="002571F0"/>
    <w:rsid w:val="002600E3"/>
    <w:rsid w:val="0026204D"/>
    <w:rsid w:val="0026393D"/>
    <w:rsid w:val="002813BD"/>
    <w:rsid w:val="00291F3E"/>
    <w:rsid w:val="00291FD7"/>
    <w:rsid w:val="002A1E27"/>
    <w:rsid w:val="002B6100"/>
    <w:rsid w:val="002B7F4B"/>
    <w:rsid w:val="002C27DA"/>
    <w:rsid w:val="002C5AD0"/>
    <w:rsid w:val="002D0CC6"/>
    <w:rsid w:val="002E5E5C"/>
    <w:rsid w:val="002F3F58"/>
    <w:rsid w:val="00304423"/>
    <w:rsid w:val="0030783B"/>
    <w:rsid w:val="00311A02"/>
    <w:rsid w:val="0031648E"/>
    <w:rsid w:val="00331B9B"/>
    <w:rsid w:val="0033591D"/>
    <w:rsid w:val="00341A7E"/>
    <w:rsid w:val="00350289"/>
    <w:rsid w:val="00350599"/>
    <w:rsid w:val="00353986"/>
    <w:rsid w:val="0035555D"/>
    <w:rsid w:val="00362973"/>
    <w:rsid w:val="00364E0F"/>
    <w:rsid w:val="003656C9"/>
    <w:rsid w:val="00370608"/>
    <w:rsid w:val="0037218A"/>
    <w:rsid w:val="00372CD5"/>
    <w:rsid w:val="00373C6F"/>
    <w:rsid w:val="00377E3D"/>
    <w:rsid w:val="003807C7"/>
    <w:rsid w:val="003822EC"/>
    <w:rsid w:val="00387C3A"/>
    <w:rsid w:val="00392EA0"/>
    <w:rsid w:val="00394E14"/>
    <w:rsid w:val="003A1167"/>
    <w:rsid w:val="003B71F3"/>
    <w:rsid w:val="003D3937"/>
    <w:rsid w:val="003E065B"/>
    <w:rsid w:val="003E1DC4"/>
    <w:rsid w:val="003E5B1B"/>
    <w:rsid w:val="003F0ACA"/>
    <w:rsid w:val="003F4C00"/>
    <w:rsid w:val="003F53A5"/>
    <w:rsid w:val="003F6413"/>
    <w:rsid w:val="0041432B"/>
    <w:rsid w:val="0041637A"/>
    <w:rsid w:val="00425BCA"/>
    <w:rsid w:val="00427D48"/>
    <w:rsid w:val="004300A8"/>
    <w:rsid w:val="00430E65"/>
    <w:rsid w:val="00431232"/>
    <w:rsid w:val="00437D4B"/>
    <w:rsid w:val="00442881"/>
    <w:rsid w:val="00446EF5"/>
    <w:rsid w:val="00447E5D"/>
    <w:rsid w:val="0045276B"/>
    <w:rsid w:val="0045615C"/>
    <w:rsid w:val="004658C7"/>
    <w:rsid w:val="004768A4"/>
    <w:rsid w:val="00476DBF"/>
    <w:rsid w:val="0049044C"/>
    <w:rsid w:val="004A2576"/>
    <w:rsid w:val="004A67EE"/>
    <w:rsid w:val="004B14F6"/>
    <w:rsid w:val="004C6299"/>
    <w:rsid w:val="004E2BDA"/>
    <w:rsid w:val="004E6334"/>
    <w:rsid w:val="004F3350"/>
    <w:rsid w:val="004F3D19"/>
    <w:rsid w:val="0050458E"/>
    <w:rsid w:val="00517DFD"/>
    <w:rsid w:val="00521185"/>
    <w:rsid w:val="00524807"/>
    <w:rsid w:val="00534659"/>
    <w:rsid w:val="00543343"/>
    <w:rsid w:val="00553DC1"/>
    <w:rsid w:val="00570AF7"/>
    <w:rsid w:val="00584CA8"/>
    <w:rsid w:val="005C22CE"/>
    <w:rsid w:val="005D0A03"/>
    <w:rsid w:val="005E1A09"/>
    <w:rsid w:val="005E66AC"/>
    <w:rsid w:val="005F7111"/>
    <w:rsid w:val="00625599"/>
    <w:rsid w:val="00630665"/>
    <w:rsid w:val="00635E10"/>
    <w:rsid w:val="00636090"/>
    <w:rsid w:val="006379EF"/>
    <w:rsid w:val="006400A4"/>
    <w:rsid w:val="0064196E"/>
    <w:rsid w:val="006502B1"/>
    <w:rsid w:val="00650B95"/>
    <w:rsid w:val="006555E6"/>
    <w:rsid w:val="00657030"/>
    <w:rsid w:val="00663ACC"/>
    <w:rsid w:val="00664EF0"/>
    <w:rsid w:val="00665B91"/>
    <w:rsid w:val="006705C7"/>
    <w:rsid w:val="00670944"/>
    <w:rsid w:val="0068091D"/>
    <w:rsid w:val="006926ED"/>
    <w:rsid w:val="00694ED7"/>
    <w:rsid w:val="00695865"/>
    <w:rsid w:val="006B690B"/>
    <w:rsid w:val="006B7436"/>
    <w:rsid w:val="006D1CB0"/>
    <w:rsid w:val="006D3B48"/>
    <w:rsid w:val="006D3E9B"/>
    <w:rsid w:val="006E07E5"/>
    <w:rsid w:val="006E235E"/>
    <w:rsid w:val="006E45B0"/>
    <w:rsid w:val="006F02C6"/>
    <w:rsid w:val="007004A3"/>
    <w:rsid w:val="00702EA6"/>
    <w:rsid w:val="00703707"/>
    <w:rsid w:val="00710C75"/>
    <w:rsid w:val="00710F07"/>
    <w:rsid w:val="00711904"/>
    <w:rsid w:val="007137A5"/>
    <w:rsid w:val="0071383B"/>
    <w:rsid w:val="00727E04"/>
    <w:rsid w:val="00730D24"/>
    <w:rsid w:val="00735571"/>
    <w:rsid w:val="00742197"/>
    <w:rsid w:val="0074584C"/>
    <w:rsid w:val="00756643"/>
    <w:rsid w:val="00776600"/>
    <w:rsid w:val="00777919"/>
    <w:rsid w:val="00777CB5"/>
    <w:rsid w:val="00781F7F"/>
    <w:rsid w:val="0078781A"/>
    <w:rsid w:val="007935D8"/>
    <w:rsid w:val="00794B5E"/>
    <w:rsid w:val="007A1FDB"/>
    <w:rsid w:val="007A7D23"/>
    <w:rsid w:val="007B648F"/>
    <w:rsid w:val="007C26AB"/>
    <w:rsid w:val="007C4982"/>
    <w:rsid w:val="007D06FD"/>
    <w:rsid w:val="007D0E7C"/>
    <w:rsid w:val="007E1F09"/>
    <w:rsid w:val="007E2F59"/>
    <w:rsid w:val="007E32F4"/>
    <w:rsid w:val="007E5042"/>
    <w:rsid w:val="007E70AB"/>
    <w:rsid w:val="007F4D09"/>
    <w:rsid w:val="007F6AF5"/>
    <w:rsid w:val="00803B43"/>
    <w:rsid w:val="00805437"/>
    <w:rsid w:val="00811CAE"/>
    <w:rsid w:val="00817F90"/>
    <w:rsid w:val="00821666"/>
    <w:rsid w:val="00822488"/>
    <w:rsid w:val="008229A1"/>
    <w:rsid w:val="008230E0"/>
    <w:rsid w:val="0082773A"/>
    <w:rsid w:val="008332DC"/>
    <w:rsid w:val="008421A9"/>
    <w:rsid w:val="0085694F"/>
    <w:rsid w:val="008731FB"/>
    <w:rsid w:val="0087487B"/>
    <w:rsid w:val="00892BBB"/>
    <w:rsid w:val="008A2B71"/>
    <w:rsid w:val="008A2BA4"/>
    <w:rsid w:val="008B2800"/>
    <w:rsid w:val="008E572A"/>
    <w:rsid w:val="00903DEC"/>
    <w:rsid w:val="00921E07"/>
    <w:rsid w:val="00931507"/>
    <w:rsid w:val="00931DB1"/>
    <w:rsid w:val="00940A30"/>
    <w:rsid w:val="00940C49"/>
    <w:rsid w:val="0094136B"/>
    <w:rsid w:val="0095130E"/>
    <w:rsid w:val="00982AE4"/>
    <w:rsid w:val="00982C58"/>
    <w:rsid w:val="0098562A"/>
    <w:rsid w:val="00996857"/>
    <w:rsid w:val="009A6C4E"/>
    <w:rsid w:val="009B5C43"/>
    <w:rsid w:val="009C0911"/>
    <w:rsid w:val="009C410C"/>
    <w:rsid w:val="009C541D"/>
    <w:rsid w:val="009D369D"/>
    <w:rsid w:val="009D7F3E"/>
    <w:rsid w:val="009E47AB"/>
    <w:rsid w:val="009E7C90"/>
    <w:rsid w:val="009F19E8"/>
    <w:rsid w:val="00A037EF"/>
    <w:rsid w:val="00A0595A"/>
    <w:rsid w:val="00A259D4"/>
    <w:rsid w:val="00A368ED"/>
    <w:rsid w:val="00A40BDE"/>
    <w:rsid w:val="00A477B2"/>
    <w:rsid w:val="00A50385"/>
    <w:rsid w:val="00A5682B"/>
    <w:rsid w:val="00A56B20"/>
    <w:rsid w:val="00A70A27"/>
    <w:rsid w:val="00A718E9"/>
    <w:rsid w:val="00A75F87"/>
    <w:rsid w:val="00A832FE"/>
    <w:rsid w:val="00A85060"/>
    <w:rsid w:val="00A8610F"/>
    <w:rsid w:val="00AA2567"/>
    <w:rsid w:val="00AB3B24"/>
    <w:rsid w:val="00AB6144"/>
    <w:rsid w:val="00AB6786"/>
    <w:rsid w:val="00AC50FA"/>
    <w:rsid w:val="00AC7289"/>
    <w:rsid w:val="00AC77E3"/>
    <w:rsid w:val="00AE7F08"/>
    <w:rsid w:val="00AF5080"/>
    <w:rsid w:val="00B0598C"/>
    <w:rsid w:val="00B15985"/>
    <w:rsid w:val="00B16C30"/>
    <w:rsid w:val="00B177CF"/>
    <w:rsid w:val="00B26543"/>
    <w:rsid w:val="00B2680D"/>
    <w:rsid w:val="00B35170"/>
    <w:rsid w:val="00B429A6"/>
    <w:rsid w:val="00B532BE"/>
    <w:rsid w:val="00B56CFE"/>
    <w:rsid w:val="00B77D3D"/>
    <w:rsid w:val="00B91FD5"/>
    <w:rsid w:val="00B93B4B"/>
    <w:rsid w:val="00BA067C"/>
    <w:rsid w:val="00BA41B2"/>
    <w:rsid w:val="00BA4710"/>
    <w:rsid w:val="00BB3840"/>
    <w:rsid w:val="00BB4696"/>
    <w:rsid w:val="00BE0692"/>
    <w:rsid w:val="00BF2274"/>
    <w:rsid w:val="00BF37AE"/>
    <w:rsid w:val="00C07CFB"/>
    <w:rsid w:val="00C11658"/>
    <w:rsid w:val="00C140C0"/>
    <w:rsid w:val="00C37C54"/>
    <w:rsid w:val="00C41F82"/>
    <w:rsid w:val="00C65C6F"/>
    <w:rsid w:val="00C65D1D"/>
    <w:rsid w:val="00C73D2A"/>
    <w:rsid w:val="00C80D29"/>
    <w:rsid w:val="00C83D43"/>
    <w:rsid w:val="00C84ED3"/>
    <w:rsid w:val="00C927E5"/>
    <w:rsid w:val="00C92FFE"/>
    <w:rsid w:val="00CA017C"/>
    <w:rsid w:val="00CA0E79"/>
    <w:rsid w:val="00CB0F27"/>
    <w:rsid w:val="00CB73C7"/>
    <w:rsid w:val="00CB77AD"/>
    <w:rsid w:val="00CC401D"/>
    <w:rsid w:val="00CC5DCA"/>
    <w:rsid w:val="00CD0F78"/>
    <w:rsid w:val="00CD4BEE"/>
    <w:rsid w:val="00CD6F95"/>
    <w:rsid w:val="00CE4046"/>
    <w:rsid w:val="00CE65FA"/>
    <w:rsid w:val="00D0306B"/>
    <w:rsid w:val="00D13A99"/>
    <w:rsid w:val="00D2209C"/>
    <w:rsid w:val="00D236A0"/>
    <w:rsid w:val="00D324A8"/>
    <w:rsid w:val="00D33F8F"/>
    <w:rsid w:val="00D53936"/>
    <w:rsid w:val="00D55A4E"/>
    <w:rsid w:val="00D64AAB"/>
    <w:rsid w:val="00D650A2"/>
    <w:rsid w:val="00D65C9A"/>
    <w:rsid w:val="00D670A2"/>
    <w:rsid w:val="00D73976"/>
    <w:rsid w:val="00D7407E"/>
    <w:rsid w:val="00D77A9B"/>
    <w:rsid w:val="00D80A03"/>
    <w:rsid w:val="00D80BCF"/>
    <w:rsid w:val="00D842B5"/>
    <w:rsid w:val="00D95617"/>
    <w:rsid w:val="00DA0CAC"/>
    <w:rsid w:val="00DA44BD"/>
    <w:rsid w:val="00DA66D1"/>
    <w:rsid w:val="00DB087A"/>
    <w:rsid w:val="00DB2F65"/>
    <w:rsid w:val="00DC0612"/>
    <w:rsid w:val="00DC3936"/>
    <w:rsid w:val="00DD1ACA"/>
    <w:rsid w:val="00DD7306"/>
    <w:rsid w:val="00DD7917"/>
    <w:rsid w:val="00DF5898"/>
    <w:rsid w:val="00DF7E37"/>
    <w:rsid w:val="00E017CA"/>
    <w:rsid w:val="00E17014"/>
    <w:rsid w:val="00E27213"/>
    <w:rsid w:val="00E33A1B"/>
    <w:rsid w:val="00E43EC6"/>
    <w:rsid w:val="00E45379"/>
    <w:rsid w:val="00E47BC9"/>
    <w:rsid w:val="00E47DBF"/>
    <w:rsid w:val="00E52CCD"/>
    <w:rsid w:val="00E70349"/>
    <w:rsid w:val="00E7546B"/>
    <w:rsid w:val="00E75596"/>
    <w:rsid w:val="00E76305"/>
    <w:rsid w:val="00E8066D"/>
    <w:rsid w:val="00E816BC"/>
    <w:rsid w:val="00E827C6"/>
    <w:rsid w:val="00E828A4"/>
    <w:rsid w:val="00E85125"/>
    <w:rsid w:val="00E92FE7"/>
    <w:rsid w:val="00EA5920"/>
    <w:rsid w:val="00EA5FEE"/>
    <w:rsid w:val="00EB239E"/>
    <w:rsid w:val="00EB483A"/>
    <w:rsid w:val="00EB6DD2"/>
    <w:rsid w:val="00EC2F44"/>
    <w:rsid w:val="00EC6199"/>
    <w:rsid w:val="00ED12AE"/>
    <w:rsid w:val="00ED2C69"/>
    <w:rsid w:val="00ED3CBE"/>
    <w:rsid w:val="00ED6370"/>
    <w:rsid w:val="00EE6AD4"/>
    <w:rsid w:val="00EE6EE7"/>
    <w:rsid w:val="00EF126A"/>
    <w:rsid w:val="00EF2032"/>
    <w:rsid w:val="00EF21D4"/>
    <w:rsid w:val="00EF3314"/>
    <w:rsid w:val="00F02C32"/>
    <w:rsid w:val="00F03AE1"/>
    <w:rsid w:val="00F07D35"/>
    <w:rsid w:val="00F10E4A"/>
    <w:rsid w:val="00F148E3"/>
    <w:rsid w:val="00F15DF6"/>
    <w:rsid w:val="00F27D6D"/>
    <w:rsid w:val="00F43CAD"/>
    <w:rsid w:val="00F531E8"/>
    <w:rsid w:val="00F82223"/>
    <w:rsid w:val="00F9100A"/>
    <w:rsid w:val="00F9106B"/>
    <w:rsid w:val="00F9113F"/>
    <w:rsid w:val="00F9486E"/>
    <w:rsid w:val="00FB0ED2"/>
    <w:rsid w:val="00FB2FB0"/>
    <w:rsid w:val="00FC3AE3"/>
    <w:rsid w:val="00FD30C5"/>
    <w:rsid w:val="00FE2913"/>
    <w:rsid w:val="00FE2C14"/>
    <w:rsid w:val="00FF35A0"/>
    <w:rsid w:val="00FF42F5"/>
    <w:rsid w:val="00FF5238"/>
    <w:rsid w:val="28F842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6">
    <w:name w:val="Strong"/>
    <w:qFormat/>
    <w:uiPriority w:val="22"/>
    <w:rPr>
      <w:b/>
      <w:bCs/>
    </w:rPr>
  </w:style>
  <w:style w:type="character" w:styleId="7">
    <w:name w:val="Hyperlink"/>
    <w:basedOn w:val="5"/>
    <w:uiPriority w:val="0"/>
    <w:rPr>
      <w:color w:val="0000FF"/>
      <w:u w:val="single"/>
    </w:rPr>
  </w:style>
  <w:style w:type="character" w:customStyle="1" w:styleId="9">
    <w:name w:val="页脚 Char1"/>
    <w:link w:val="2"/>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页脚 Char"/>
    <w:basedOn w:val="5"/>
    <w:semiHidden/>
    <w:uiPriority w:val="99"/>
    <w:rPr>
      <w:rFonts w:ascii="Times New Roman" w:hAnsi="Times New Roman" w:eastAsia="宋体" w:cs="Times New Roman"/>
      <w:sz w:val="18"/>
      <w:szCs w:val="18"/>
    </w:rPr>
  </w:style>
  <w:style w:type="character" w:customStyle="1" w:styleId="12">
    <w:name w:val="页眉 Char"/>
    <w:basedOn w:val="5"/>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840</Words>
  <Characters>4789</Characters>
  <Lines>39</Lines>
  <Paragraphs>11</Paragraphs>
  <TotalTime>0</TotalTime>
  <ScaleCrop>false</ScaleCrop>
  <LinksUpToDate>false</LinksUpToDate>
  <CharactersWithSpaces>5618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2021-10-23T01:26:00Z</dcterms:created>
  <dc:creator>张天伟</dc:creator>
  <cp:lastModifiedBy>ACER</cp:lastModifiedBy>
  <dcterms:modified xsi:type="dcterms:W3CDTF">2022-11-02T02:35:23Z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