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0"/>
          <w:sz w:val="44"/>
          <w:szCs w:val="44"/>
          <w:shd w:val="clear" w:fill="FFFFFF"/>
        </w:rPr>
      </w:pPr>
      <w:bookmarkStart w:id="0" w:name="_GoBack"/>
      <w:bookmarkEnd w:id="0"/>
      <w:r>
        <w:rPr>
          <w:rFonts w:hint="eastAsia" w:ascii="方正小标宋_GBK" w:hAnsi="方正小标宋_GBK" w:eastAsia="方正小标宋_GBK" w:cs="方正小标宋_GBK"/>
          <w:kern w:val="0"/>
          <w:sz w:val="44"/>
          <w:szCs w:val="44"/>
          <w:shd w:val="clear" w:fill="FFFFFF"/>
        </w:rPr>
        <w:t>重庆市綦江区赶水镇中心卫生院</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0"/>
          <w:sz w:val="44"/>
          <w:szCs w:val="44"/>
          <w:shd w:val="clear" w:fill="FFFFFF"/>
        </w:rPr>
      </w:pPr>
      <w:r>
        <w:rPr>
          <w:rFonts w:hint="eastAsia" w:ascii="方正小标宋_GBK" w:hAnsi="方正小标宋_GBK" w:eastAsia="方正小标宋_GBK" w:cs="方正小标宋_GBK"/>
          <w:kern w:val="0"/>
          <w:sz w:val="44"/>
          <w:szCs w:val="44"/>
          <w:shd w:val="clear" w:fill="FFFFFF"/>
        </w:rPr>
        <w:t>2022年度部门决算情况说明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rPr>
          <w:rFonts w:hint="eastAsia" w:ascii="方正黑体_GBK" w:hAnsi="方正黑体_GBK" w:eastAsia="方正黑体_GBK" w:cs="方正黑体_GBK"/>
          <w:b w:val="0"/>
          <w:bCs w:val="0"/>
          <w:kern w:val="0"/>
          <w:sz w:val="32"/>
          <w:szCs w:val="32"/>
          <w:shd w:val="clear" w:fill="FFFFFF"/>
        </w:rPr>
      </w:pPr>
      <w:r>
        <w:rPr>
          <w:rStyle w:val="7"/>
          <w:rFonts w:hint="eastAsia" w:ascii="方正黑体_GBK" w:hAnsi="方正黑体_GBK" w:eastAsia="方正黑体_GBK" w:cs="方正黑体_GBK"/>
          <w:b w:val="0"/>
          <w:bCs w:val="0"/>
          <w:sz w:val="32"/>
          <w:szCs w:val="32"/>
          <w:shd w:val="clear" w:fill="FFFFFF"/>
        </w:rPr>
        <w:t>一、部门基本情况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重庆市綦江区赶水镇中心卫生院座落于重庆市綦江区赶水镇胜利路83号，建院于1951年，房屋建筑面积7049.49㎡；编制床位85张，开放床位134张；人员编制83人，实有在编人员76人，其中：高级职称10人，中级职称23人，劳务派遣42人。</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重庆市綦江区赶水镇中心卫生院属一级甲等乡镇卫生院，是一所集医疗、预防保健、公共卫生服务为一体的综合性卫生院，是基本医疗保险、工伤保险、商业医疗保险、生育保险、民政救助的定点医疗机构。</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（二）机构设置</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 重庆市綦江区赶水镇中心卫生院设置职能科室16个，临床科室4个，医技科室1个。  </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（三）单位构成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重庆市綦江区赶水镇中心卫生院为纳入綦江区卫生健康委员会2022年度决算编制的二级预算单位。</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rPr>
          <w:rFonts w:hint="eastAsia" w:ascii="方正黑体_GBK" w:hAnsi="方正黑体_GBK" w:eastAsia="方正黑体_GBK" w:cs="方正黑体_GBK"/>
          <w:b w:val="0"/>
          <w:bCs w:val="0"/>
          <w:sz w:val="32"/>
          <w:szCs w:val="32"/>
          <w:shd w:val="clear" w:fill="FFFFFF"/>
        </w:rPr>
      </w:pPr>
      <w:r>
        <w:rPr>
          <w:rStyle w:val="7"/>
          <w:rFonts w:hint="eastAsia" w:ascii="方正黑体_GBK" w:hAnsi="方正黑体_GBK" w:eastAsia="方正黑体_GBK" w:cs="方正黑体_GBK"/>
          <w:b w:val="0"/>
          <w:bCs w:val="0"/>
          <w:sz w:val="32"/>
          <w:szCs w:val="32"/>
          <w:shd w:val="clear" w:fill="FFFFFF"/>
        </w:rPr>
        <w:t>二、部门决算情况说明</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right="0" w:rightChars="0"/>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（一）收入支出决算总体情况说明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1.总体情况。2022年度收入总计2,315.46万元，支出总计2,315.46万元。收支较上年决算数增加36.03万元,增长1.6%，主要原因是事业收入较上年有所增长和调高了社保费用，社会保障和就业支出增加。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2.收入情况。2022年度收入合计2,315.46万元，较上年决算数增加90.89万元，增长4.1%，主要原因是事业收入的增长，其中：财政拨款收入1,017.02万元，占43.9%；事业收入1,298.44万元，占56.1%。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3.支出情况。2022年度支出合计2,315.46万元，较上年决算增加36.03万元，增长1.6%，主要原因是本年度调高了社保费用，增加了社会保障和就业支出。其中：基本支出1,856.83万元，占80.2%；项目支出458.63万元，占19.8%。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4.结转结余情况。2022年度年末结转和结余0.00万元，较上年决算数增加0.00万元。</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2022年度财政拨款收、支总计1,017.02万元。与2021年相比，财政拨款收、支总计各减少57.73万元，下降5.4%。主要原因是2021年有年初结转和结余54.85万元。 </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（三）一般公共预算财政拨款收入支出决算情况说明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收入情况。2022年度一般公共预算财政拨款收入1,017.02万元，较上年决算数减少2.88万元，下降0.3%。主要原因是公共卫生服务收入减少。较年初预算数增加526.20万元，增长107.2%。主要原因是基本公共卫生支出中医（民族医）药专项和死亡抚恤未纳入</w:t>
      </w:r>
      <w:r>
        <w:rPr>
          <w:rFonts w:hint="eastAsia" w:ascii="方正仿宋_GBK" w:hAnsi="方正仿宋_GBK" w:eastAsia="方正仿宋_GBK" w:cs="方正仿宋_GBK"/>
          <w:kern w:val="2"/>
          <w:sz w:val="32"/>
          <w:szCs w:val="32"/>
          <w:lang w:eastAsia="zh-CN"/>
        </w:rPr>
        <w:t>年初</w:t>
      </w:r>
      <w:r>
        <w:rPr>
          <w:rFonts w:hint="eastAsia" w:ascii="方正仿宋_GBK" w:hAnsi="方正仿宋_GBK" w:eastAsia="方正仿宋_GBK" w:cs="方正仿宋_GBK"/>
          <w:kern w:val="2"/>
          <w:sz w:val="32"/>
          <w:szCs w:val="32"/>
        </w:rPr>
        <w:t>预算。此外，年初财政拨款结转和结余0.00万元。</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支出情况。2022年度一般公共预算财政拨款支出1,017.02万元，较上年决算数减少57.73万元，下降5.4%。主要原因是2022年度一般公共预算财政拨款收入减少，2022年度无年初结转结余。较年初预算数增加526.20万元，增长107.2%。主要原因是基本公共卫生支出、中医（民族医）药专项未纳入</w:t>
      </w:r>
      <w:r>
        <w:rPr>
          <w:rFonts w:hint="eastAsia" w:ascii="方正仿宋_GBK" w:hAnsi="方正仿宋_GBK" w:eastAsia="方正仿宋_GBK" w:cs="方正仿宋_GBK"/>
          <w:kern w:val="2"/>
          <w:sz w:val="32"/>
          <w:szCs w:val="32"/>
          <w:lang w:eastAsia="zh-CN"/>
        </w:rPr>
        <w:t>年初</w:t>
      </w:r>
      <w:r>
        <w:rPr>
          <w:rFonts w:hint="eastAsia" w:ascii="方正仿宋_GBK" w:hAnsi="方正仿宋_GBK" w:eastAsia="方正仿宋_GBK" w:cs="方正仿宋_GBK"/>
          <w:kern w:val="2"/>
          <w:sz w:val="32"/>
          <w:szCs w:val="32"/>
        </w:rPr>
        <w:t>预算。</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3.结转结余情况。2022年度年末一般公共预算财政拨款结转和结余0.00万元，较上年决算数增加0.00万元。</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4.比较情况。本部门2022年度一般公共预算财政拨款支出主要用于以下几个方面：</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（1）社会保障与就业支出236.48万元，占23.3%，较年初预算数增加78.33万元，增长49.5%，主要原因是与2021年相比其他行政事业单位养老支出决算增加107</w:t>
      </w:r>
      <w:r>
        <w:rPr>
          <w:rFonts w:hint="eastAsia" w:ascii="方正仿宋_GBK" w:hAnsi="方正仿宋_GBK" w:eastAsia="方正仿宋_GBK" w:cs="方正仿宋_GBK"/>
          <w:kern w:val="2"/>
          <w:sz w:val="32"/>
          <w:szCs w:val="32"/>
          <w:lang w:val="en-US" w:eastAsia="zh-CN"/>
        </w:rPr>
        <w:t>.00</w:t>
      </w:r>
      <w:r>
        <w:rPr>
          <w:rFonts w:hint="eastAsia" w:ascii="方正仿宋_GBK" w:hAnsi="方正仿宋_GBK" w:eastAsia="方正仿宋_GBK" w:cs="方正仿宋_GBK"/>
          <w:kern w:val="2"/>
          <w:sz w:val="32"/>
          <w:szCs w:val="32"/>
        </w:rPr>
        <w:t>万元，死亡抚恤决算增加5.2</w:t>
      </w:r>
      <w:r>
        <w:rPr>
          <w:rFonts w:hint="eastAsia" w:ascii="方正仿宋_GBK" w:hAnsi="方正仿宋_GBK" w:eastAsia="方正仿宋_GBK" w:cs="方正仿宋_GBK"/>
          <w:kern w:val="2"/>
          <w:sz w:val="32"/>
          <w:szCs w:val="32"/>
          <w:lang w:val="en-US" w:eastAsia="zh-CN"/>
        </w:rPr>
        <w:t>0</w:t>
      </w:r>
      <w:r>
        <w:rPr>
          <w:rFonts w:hint="eastAsia" w:ascii="方正仿宋_GBK" w:hAnsi="方正仿宋_GBK" w:eastAsia="方正仿宋_GBK" w:cs="方正仿宋_GBK"/>
          <w:kern w:val="2"/>
          <w:sz w:val="32"/>
          <w:szCs w:val="32"/>
        </w:rPr>
        <w:t>万元，机关事业单位职业年金缴费支出决算减少34</w:t>
      </w:r>
      <w:r>
        <w:rPr>
          <w:rFonts w:hint="eastAsia" w:ascii="方正仿宋_GBK" w:hAnsi="方正仿宋_GBK" w:eastAsia="方正仿宋_GBK" w:cs="方正仿宋_GBK"/>
          <w:kern w:val="2"/>
          <w:sz w:val="32"/>
          <w:szCs w:val="32"/>
          <w:lang w:val="en-US" w:eastAsia="zh-CN"/>
        </w:rPr>
        <w:t>.00</w:t>
      </w:r>
      <w:r>
        <w:rPr>
          <w:rFonts w:hint="eastAsia" w:ascii="方正仿宋_GBK" w:hAnsi="方正仿宋_GBK" w:eastAsia="方正仿宋_GBK" w:cs="方正仿宋_GBK"/>
          <w:kern w:val="2"/>
          <w:sz w:val="32"/>
          <w:szCs w:val="32"/>
        </w:rPr>
        <w:t>万元。</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宋体" w:hAnsi="宋体" w:eastAsia="宋体" w:cs="宋体"/>
          <w:kern w:val="0"/>
          <w:sz w:val="24"/>
          <w:szCs w:val="24"/>
        </w:rPr>
      </w:pPr>
      <w:r>
        <w:rPr>
          <w:rFonts w:hint="eastAsia" w:ascii="方正仿宋_GBK" w:hAnsi="方正仿宋_GBK" w:eastAsia="方正仿宋_GBK" w:cs="方正仿宋_GBK"/>
          <w:kern w:val="2"/>
          <w:sz w:val="32"/>
          <w:szCs w:val="32"/>
        </w:rPr>
        <w:t>（2）卫生健康支出780.54万元，占76.7%，较年初预算数增加447.86万元，增长134.6%，主要原因是基本公共卫生支出和中医（民族医）药专项未纳入</w:t>
      </w:r>
      <w:r>
        <w:rPr>
          <w:rFonts w:hint="eastAsia" w:ascii="方正仿宋_GBK" w:hAnsi="方正仿宋_GBK" w:eastAsia="方正仿宋_GBK" w:cs="方正仿宋_GBK"/>
          <w:kern w:val="2"/>
          <w:sz w:val="32"/>
          <w:szCs w:val="32"/>
          <w:lang w:eastAsia="zh-CN"/>
        </w:rPr>
        <w:t>年初</w:t>
      </w:r>
      <w:r>
        <w:rPr>
          <w:rFonts w:hint="eastAsia" w:ascii="方正仿宋_GBK" w:hAnsi="方正仿宋_GBK" w:eastAsia="方正仿宋_GBK" w:cs="方正仿宋_GBK"/>
          <w:kern w:val="2"/>
          <w:sz w:val="32"/>
          <w:szCs w:val="32"/>
        </w:rPr>
        <w:t>预算。</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（四）一般公共预算财政拨款基本支出决算情况说明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一般公共预算财政拨款基本支出558.39万元。其中：人员经费558.39万元，较上年决算数增加36.58万元，增长7%，主要原因是2022年生活补助增加，财政拨付了一笔退休人员健康休养费。人员经费用途主要包括基本工资、津贴补贴、绩效工资、生活补助。</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（五）政府性基金预算收支决算情况说明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本单位2022年度无政府性基金预算财政拨款收支。</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（六）国有资本经营预算财政拨款支出决算情况说明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本单位2022年度无国有资本经营预算财政拨款支出。</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三、“三公”经费情况说明</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（一）“三公”经费支出总体情况说明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2022年度“三公”经费支出共计0.00万元，较年初预算数增加0.00万元，</w:t>
      </w:r>
      <w:r>
        <w:rPr>
          <w:rFonts w:hint="eastAsia" w:ascii="方正仿宋_GBK" w:hAnsi="方正仿宋_GBK" w:eastAsia="方正仿宋_GBK" w:cs="方正仿宋_GBK"/>
          <w:kern w:val="2"/>
          <w:sz w:val="32"/>
          <w:szCs w:val="32"/>
          <w:lang w:eastAsia="zh-CN"/>
        </w:rPr>
        <w:t>无变化</w:t>
      </w:r>
      <w:r>
        <w:rPr>
          <w:rFonts w:hint="eastAsia" w:ascii="方正仿宋_GBK" w:hAnsi="方正仿宋_GBK" w:eastAsia="方正仿宋_GBK" w:cs="方正仿宋_GBK"/>
          <w:kern w:val="2"/>
          <w:sz w:val="32"/>
          <w:szCs w:val="32"/>
        </w:rPr>
        <w:t>。较上年支出数增加0.00万元，</w:t>
      </w:r>
      <w:r>
        <w:rPr>
          <w:rFonts w:hint="eastAsia" w:ascii="方正仿宋_GBK" w:hAnsi="方正仿宋_GBK" w:eastAsia="方正仿宋_GBK" w:cs="方正仿宋_GBK"/>
          <w:kern w:val="2"/>
          <w:sz w:val="32"/>
          <w:szCs w:val="32"/>
          <w:lang w:eastAsia="zh-CN"/>
        </w:rPr>
        <w:t>无变化</w:t>
      </w:r>
      <w:r>
        <w:rPr>
          <w:rFonts w:hint="eastAsia" w:ascii="方正仿宋_GBK" w:hAnsi="方正仿宋_GBK" w:eastAsia="方正仿宋_GBK" w:cs="方正仿宋_GBK"/>
          <w:kern w:val="2"/>
          <w:sz w:val="32"/>
          <w:szCs w:val="32"/>
        </w:rPr>
        <w:t>。我单位属于公益二类差额拨款单位，财政未保障我单位“三公”经费。</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（二）“三公”经费分项支出情况</w:t>
      </w:r>
    </w:p>
    <w:p>
      <w:pPr>
        <w:pStyle w:val="6"/>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rPr>
        <w:t>1、</w:t>
      </w:r>
      <w:r>
        <w:rPr>
          <w:rFonts w:hint="eastAsia" w:ascii="方正仿宋_GBK" w:hAnsi="方正仿宋_GBK" w:eastAsia="方正仿宋_GBK" w:cs="方正仿宋_GBK"/>
          <w:kern w:val="2"/>
          <w:sz w:val="32"/>
          <w:szCs w:val="32"/>
        </w:rPr>
        <w:t>本单位2022年度因公出国（境）费用0.00万元，费用支出较年初预算数增加0.00万元，无变化。较上年支出数增加0.00万元，无变化。</w:t>
      </w:r>
    </w:p>
    <w:p>
      <w:pPr>
        <w:pStyle w:val="6"/>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本单位2022年度公务车购置费用0.00万元，费用支出较年初预算数增加0.00万元，无变化。较上年支出数增加0.00万元，无变化。</w:t>
      </w:r>
    </w:p>
    <w:p>
      <w:pPr>
        <w:pStyle w:val="6"/>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本单位2022年度公务车运行维护费0.00万元，费用支出较年初预算数增加0.00万元，无变化。较上年支出数增加0.00万元，无变化。</w:t>
      </w:r>
    </w:p>
    <w:p>
      <w:pPr>
        <w:pStyle w:val="6"/>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4、</w:t>
      </w:r>
      <w:r>
        <w:rPr>
          <w:rFonts w:hint="eastAsia" w:ascii="方正仿宋_GBK" w:hAnsi="方正仿宋_GBK" w:eastAsia="方正仿宋_GBK" w:cs="方正仿宋_GBK"/>
          <w:kern w:val="2"/>
          <w:sz w:val="32"/>
          <w:szCs w:val="32"/>
        </w:rPr>
        <w:t>本单位2022年度</w:t>
      </w:r>
      <w:r>
        <w:rPr>
          <w:rFonts w:hint="eastAsia" w:ascii="方正仿宋_GBK" w:hAnsi="方正仿宋_GBK" w:eastAsia="方正仿宋_GBK" w:cs="方正仿宋_GBK"/>
          <w:kern w:val="2"/>
          <w:sz w:val="32"/>
          <w:szCs w:val="32"/>
          <w:lang w:eastAsia="zh-CN"/>
        </w:rPr>
        <w:t>公务接待</w:t>
      </w:r>
      <w:r>
        <w:rPr>
          <w:rFonts w:hint="eastAsia" w:ascii="方正仿宋_GBK" w:hAnsi="方正仿宋_GBK" w:eastAsia="方正仿宋_GBK" w:cs="方正仿宋_GBK"/>
          <w:kern w:val="2"/>
          <w:sz w:val="32"/>
          <w:szCs w:val="32"/>
        </w:rPr>
        <w:t>费0.00万元，费用支出较年初预算数增加0.00万元，无变化。较上年支出数增加0.00万元，无变化。</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（三）“三公”经费实物量情况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sz w:val="32"/>
          <w:szCs w:val="32"/>
          <w:shd w:val="clear" w:fill="FFFFFF"/>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四、其他需要说明的事项</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（一）财政拨款会议费和培训费情况说明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本年度会议费支出0.00万元，较上年决算数增加0.00万元，</w:t>
      </w:r>
      <w:r>
        <w:rPr>
          <w:rFonts w:hint="eastAsia" w:ascii="方正仿宋_GBK" w:hAnsi="方正仿宋_GBK" w:eastAsia="方正仿宋_GBK" w:cs="方正仿宋_GBK"/>
          <w:kern w:val="2"/>
          <w:sz w:val="32"/>
          <w:szCs w:val="32"/>
          <w:lang w:eastAsia="zh-CN"/>
        </w:rPr>
        <w:t>无变化</w:t>
      </w:r>
      <w:r>
        <w:rPr>
          <w:rFonts w:hint="eastAsia" w:ascii="方正仿宋_GBK" w:hAnsi="方正仿宋_GBK" w:eastAsia="方正仿宋_GBK" w:cs="方正仿宋_GBK"/>
          <w:kern w:val="2"/>
          <w:sz w:val="32"/>
          <w:szCs w:val="32"/>
        </w:rPr>
        <w:t>。本年度培训费支出2.00万元，较上年决算数增加2.00万元，增长</w:t>
      </w:r>
      <w:r>
        <w:rPr>
          <w:rFonts w:hint="eastAsia" w:ascii="方正仿宋_GBK" w:hAnsi="方正仿宋_GBK" w:eastAsia="方正仿宋_GBK" w:cs="方正仿宋_GBK"/>
          <w:kern w:val="2"/>
          <w:sz w:val="32"/>
          <w:szCs w:val="32"/>
          <w:lang w:val="en-US" w:eastAsia="zh-CN"/>
        </w:rPr>
        <w:t>200</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eastAsia="zh-CN"/>
        </w:rPr>
        <w:t>年初未预算</w:t>
      </w:r>
      <w:r>
        <w:rPr>
          <w:rFonts w:hint="eastAsia" w:ascii="方正仿宋_GBK" w:hAnsi="方正仿宋_GBK" w:eastAsia="方正仿宋_GBK" w:cs="方正仿宋_GBK"/>
          <w:kern w:val="2"/>
          <w:sz w:val="32"/>
          <w:szCs w:val="32"/>
        </w:rPr>
        <w:t>。因我单位属于差额拨款单位，财政未保障我单位会议费和培训费。</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（二）机关运行经费支出情况说明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按照部门决算列报口径，我单位不在机关运行经费统计范围之内。</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（三）国有资产占用情况说明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截至2022年12月31日，本部门共有车辆1辆，其中，副部（省）级及以上领导用车0辆、主要领导干部用车0辆、机要通信用车0辆、应急保障用车0辆、执法执勤用车0辆，特种专业技术用车1辆，离退休干部用车0辆，其他用车0辆。单价100万元（含）以上设备（不含车辆）0台（套）。</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（四）政府采购支出说明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部门政府采购支出总额6.55万元，其中：政府采购货物支出6.55万元、政府采购工程支出0.00万元、政府采购服务支出0.00万元。授予中小企业合同金额6.55万元，占政府采购支出总额的100%，其中：授予小微企业合同金额6.55万元，占政府采购支出总额的100%。主要用于采购电子阴道镜和电脑</w:t>
      </w:r>
      <w:r>
        <w:rPr>
          <w:rFonts w:hint="eastAsia" w:ascii="方正仿宋_GBK" w:hAnsi="方正仿宋_GBK" w:eastAsia="方正仿宋_GBK" w:cs="方正仿宋_GBK"/>
          <w:kern w:val="2"/>
          <w:sz w:val="32"/>
          <w:szCs w:val="32"/>
          <w:lang w:eastAsia="zh-CN"/>
        </w:rPr>
        <w:t>。</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五、预算绩效管理情况说明</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lang w:eastAsia="zh-CN"/>
        </w:rPr>
      </w:pPr>
      <w:r>
        <w:rPr>
          <w:rFonts w:hint="eastAsia" w:ascii="方正楷体_GBK" w:hAnsi="方正楷体_GBK" w:eastAsia="方正楷体_GBK" w:cs="方正楷体_GBK"/>
          <w:kern w:val="2"/>
          <w:sz w:val="32"/>
          <w:szCs w:val="32"/>
        </w:rPr>
        <w:t>（一）预算绩效管理工作开展情况</w:t>
      </w:r>
      <w:r>
        <w:rPr>
          <w:rFonts w:hint="eastAsia" w:ascii="方正楷体_GBK" w:hAnsi="方正楷体_GBK" w:eastAsia="方正楷体_GBK" w:cs="方正楷体_GBK"/>
          <w:kern w:val="2"/>
          <w:sz w:val="32"/>
          <w:szCs w:val="32"/>
          <w:lang w:eastAsia="zh-CN"/>
        </w:rPr>
        <w:t>。</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根据预算绩效管理要求，我单位对3个项目开展了绩效自评，其中，以填报自评表形式开展自评3项，涉及资金708.87万元。</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lang w:eastAsia="zh-CN"/>
        </w:rPr>
      </w:pPr>
      <w:r>
        <w:rPr>
          <w:rFonts w:hint="eastAsia" w:ascii="方正楷体_GBK" w:hAnsi="方正楷体_GBK" w:eastAsia="方正楷体_GBK" w:cs="方正楷体_GBK"/>
          <w:kern w:val="2"/>
          <w:sz w:val="32"/>
          <w:szCs w:val="32"/>
        </w:rPr>
        <w:t>（二）绩效自评结果</w:t>
      </w:r>
      <w:r>
        <w:rPr>
          <w:rFonts w:hint="eastAsia" w:ascii="方正楷体_GBK" w:hAnsi="方正楷体_GBK" w:eastAsia="方正楷体_GBK" w:cs="方正楷体_GBK"/>
          <w:kern w:val="2"/>
          <w:sz w:val="32"/>
          <w:szCs w:val="32"/>
          <w:lang w:eastAsia="zh-CN"/>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600" w:lineRule="exact"/>
        <w:ind w:left="0"/>
        <w:jc w:val="left"/>
        <w:textAlignment w:val="auto"/>
        <w:rPr>
          <w:rStyle w:val="4"/>
          <w:rFonts w:hint="eastAsia" w:ascii="方正仿宋_GBK" w:hAnsi="方正仿宋_GBK" w:eastAsia="方正仿宋_GBK" w:cs="方正仿宋_GBK"/>
          <w:b w:val="0"/>
          <w:bCs/>
          <w:sz w:val="32"/>
          <w:szCs w:val="32"/>
          <w:shd w:val="clear" w:fill="FFFFFF"/>
          <w:lang w:eastAsia="zh-CN"/>
        </w:rPr>
      </w:pPr>
      <w:r>
        <w:rPr>
          <w:rStyle w:val="4"/>
          <w:rFonts w:hint="eastAsia" w:ascii="方正仿宋_GBK" w:hAnsi="方正仿宋_GBK" w:eastAsia="方正仿宋_GBK" w:cs="方正仿宋_GBK"/>
          <w:b w:val="0"/>
          <w:bCs/>
          <w:sz w:val="32"/>
          <w:szCs w:val="32"/>
          <w:shd w:val="clear" w:fill="FFFFFF"/>
        </w:rPr>
        <w:t>1.绩效目标自评表</w:t>
      </w:r>
      <w:r>
        <w:rPr>
          <w:rStyle w:val="4"/>
          <w:rFonts w:hint="eastAsia" w:ascii="方正仿宋_GBK" w:hAnsi="方正仿宋_GBK" w:eastAsia="方正仿宋_GBK" w:cs="方正仿宋_GBK"/>
          <w:b w:val="0"/>
          <w:bCs/>
          <w:sz w:val="32"/>
          <w:szCs w:val="32"/>
          <w:shd w:val="clear" w:fill="FFFFFF"/>
          <w:lang w:eastAsia="zh-CN"/>
        </w:rPr>
        <w:t>。</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lang w:eastAsia="zh-CN"/>
        </w:rPr>
        <w:t>详见公开表。</w:t>
      </w:r>
    </w:p>
    <w:p>
      <w:pPr>
        <w:pStyle w:val="2"/>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Autospacing="0" w:line="600" w:lineRule="exact"/>
        <w:ind w:left="0"/>
        <w:jc w:val="left"/>
        <w:textAlignment w:val="auto"/>
        <w:rPr>
          <w:rStyle w:val="4"/>
          <w:rFonts w:hint="eastAsia" w:ascii="方正仿宋_GBK" w:hAnsi="方正仿宋_GBK" w:eastAsia="方正仿宋_GBK" w:cs="方正仿宋_GBK"/>
          <w:b w:val="0"/>
          <w:bCs/>
          <w:sz w:val="32"/>
          <w:szCs w:val="32"/>
          <w:shd w:val="clear" w:fill="FFFFFF"/>
        </w:rPr>
      </w:pPr>
      <w:r>
        <w:rPr>
          <w:rStyle w:val="4"/>
          <w:rFonts w:hint="eastAsia" w:ascii="方正仿宋_GBK" w:hAnsi="方正仿宋_GBK" w:eastAsia="方正仿宋_GBK" w:cs="方正仿宋_GBK"/>
          <w:b w:val="0"/>
          <w:bCs/>
          <w:sz w:val="32"/>
          <w:szCs w:val="32"/>
          <w:shd w:val="clear" w:fill="FFFFFF"/>
        </w:rPr>
        <w:t>绩效自评报告或案例</w:t>
      </w:r>
      <w:r>
        <w:rPr>
          <w:rStyle w:val="4"/>
          <w:rFonts w:hint="eastAsia" w:ascii="方正仿宋_GBK" w:hAnsi="方正仿宋_GBK" w:eastAsia="方正仿宋_GBK" w:cs="方正仿宋_GBK"/>
          <w:b w:val="0"/>
          <w:bCs/>
          <w:sz w:val="32"/>
          <w:szCs w:val="32"/>
          <w:shd w:val="clear" w:fill="FFFFFF"/>
          <w:lang w:eastAsia="zh-CN"/>
        </w:rPr>
        <w:t>。</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lang w:eastAsia="zh-CN"/>
        </w:rPr>
        <w:t>无。</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600" w:lineRule="exact"/>
        <w:ind w:left="0"/>
        <w:jc w:val="left"/>
        <w:textAlignment w:val="auto"/>
        <w:rPr>
          <w:rFonts w:hint="eastAsia" w:ascii="方正仿宋_GBK" w:hAnsi="方正仿宋_GBK" w:eastAsia="方正仿宋_GBK" w:cs="方正仿宋_GBK"/>
          <w:b w:val="0"/>
          <w:bCs/>
          <w:sz w:val="32"/>
          <w:szCs w:val="32"/>
        </w:rPr>
      </w:pPr>
      <w:r>
        <w:rPr>
          <w:rStyle w:val="4"/>
          <w:rFonts w:hint="eastAsia" w:ascii="方正仿宋_GBK" w:hAnsi="方正仿宋_GBK" w:eastAsia="方正仿宋_GBK" w:cs="方正仿宋_GBK"/>
          <w:b w:val="0"/>
          <w:bCs/>
          <w:sz w:val="32"/>
          <w:szCs w:val="32"/>
          <w:shd w:val="clear" w:fill="FFFFFF"/>
        </w:rPr>
        <w:t>3.关于绩效自评结果的说明。</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lang w:eastAsia="zh-CN"/>
        </w:rPr>
        <w:t>本年度基本公共卫生、重大传染病防控等各项工作顺利完成，达成了年初工作计划，自评绩效目标完成度良好。</w:t>
      </w:r>
    </w:p>
    <w:p>
      <w:pPr>
        <w:pStyle w:val="8"/>
        <w:keepNext w:val="0"/>
        <w:keepLines w:val="0"/>
        <w:pageBreakBefore w:val="0"/>
        <w:widowControl/>
        <w:numPr>
          <w:ilvl w:val="0"/>
          <w:numId w:val="2"/>
        </w:numPr>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楷体_GBK" w:hAnsi="方正楷体_GBK" w:eastAsia="方正楷体_GBK" w:cs="方正楷体_GBK"/>
          <w:kern w:val="2"/>
          <w:sz w:val="32"/>
          <w:szCs w:val="32"/>
          <w:lang w:eastAsia="zh-CN"/>
        </w:rPr>
      </w:pPr>
      <w:r>
        <w:rPr>
          <w:rFonts w:hint="eastAsia" w:ascii="方正楷体_GBK" w:hAnsi="方正楷体_GBK" w:eastAsia="方正楷体_GBK" w:cs="方正楷体_GBK"/>
          <w:kern w:val="2"/>
          <w:sz w:val="32"/>
          <w:szCs w:val="32"/>
          <w:lang w:eastAsia="zh-CN"/>
        </w:rPr>
        <w:t>重点绩效评价结果。</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lang w:eastAsia="zh-CN"/>
        </w:rPr>
        <w:t>无。</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六、专业名词解释</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（一）财政拨款收入：</w:t>
      </w:r>
      <w:r>
        <w:rPr>
          <w:rFonts w:hint="eastAsia" w:ascii="方正仿宋_GBK" w:hAnsi="方正仿宋_GBK" w:eastAsia="方正仿宋_GBK" w:cs="方正仿宋_GBK"/>
          <w:kern w:val="2"/>
          <w:sz w:val="32"/>
          <w:szCs w:val="32"/>
        </w:rPr>
        <w:t>指本年度从本级财政部门取得的财政拨款，包括一般公共预算财政拨款和政府性基金预算财政拨款。</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（二）事业收入：</w:t>
      </w:r>
      <w:r>
        <w:rPr>
          <w:rFonts w:hint="eastAsia" w:ascii="方正仿宋_GBK" w:hAnsi="方正仿宋_GBK" w:eastAsia="方正仿宋_GBK" w:cs="方正仿宋_GBK"/>
          <w:kern w:val="2"/>
          <w:sz w:val="32"/>
          <w:szCs w:val="32"/>
        </w:rPr>
        <w:t>指事业单位开展专业业务活动及其辅助活动取得的现金流入；事业单位收到的财政专户实际核拨的教育收费等资金在此反映。</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（三）经营收入：</w:t>
      </w:r>
      <w:r>
        <w:rPr>
          <w:rFonts w:hint="eastAsia" w:ascii="方正仿宋_GBK" w:hAnsi="方正仿宋_GBK" w:eastAsia="方正仿宋_GBK" w:cs="方正仿宋_GBK"/>
          <w:kern w:val="2"/>
          <w:sz w:val="32"/>
          <w:szCs w:val="32"/>
        </w:rPr>
        <w:t>指事业单位在专业业务活动及其辅助活动之外开展非独立核算经营活动取得的现金流入。</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（四）其他收入：</w:t>
      </w:r>
      <w:r>
        <w:rPr>
          <w:rFonts w:hint="eastAsia" w:ascii="方正仿宋_GBK" w:hAnsi="方正仿宋_GBK" w:eastAsia="方正仿宋_GBK" w:cs="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（五）使用非财政拨款结余：</w:t>
      </w:r>
      <w:r>
        <w:rPr>
          <w:rFonts w:hint="eastAsia" w:ascii="方正仿宋_GBK" w:hAnsi="方正仿宋_GBK" w:eastAsia="方正仿宋_GBK" w:cs="方正仿宋_GBK"/>
          <w:kern w:val="2"/>
          <w:sz w:val="32"/>
          <w:szCs w:val="32"/>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（六）年初结转和结余：</w:t>
      </w:r>
      <w:r>
        <w:rPr>
          <w:rFonts w:hint="eastAsia" w:ascii="方正仿宋_GBK" w:hAnsi="方正仿宋_GBK" w:eastAsia="方正仿宋_GBK" w:cs="方正仿宋_GBK"/>
          <w:kern w:val="2"/>
          <w:sz w:val="32"/>
          <w:szCs w:val="32"/>
        </w:rPr>
        <w:t>指单位上年结转本年使用的基本支出结转、项目支出结转和结余、经营结余。</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（七）结余分配：</w:t>
      </w:r>
      <w:r>
        <w:rPr>
          <w:rFonts w:hint="eastAsia" w:ascii="方正仿宋_GBK" w:hAnsi="方正仿宋_GBK" w:eastAsia="方正仿宋_GBK" w:cs="方正仿宋_GBK"/>
          <w:kern w:val="2"/>
          <w:sz w:val="32"/>
          <w:szCs w:val="32"/>
        </w:rPr>
        <w:t>指单位按照国家有关规定，缴纳所得税、提取专用基金、转入非财政拨款结余等当年结余的分配情况。</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（八）年末结转和结余：</w:t>
      </w:r>
      <w:r>
        <w:rPr>
          <w:rFonts w:hint="eastAsia" w:ascii="方正仿宋_GBK" w:hAnsi="方正仿宋_GBK" w:eastAsia="方正仿宋_GBK" w:cs="方正仿宋_GBK"/>
          <w:kern w:val="2"/>
          <w:sz w:val="32"/>
          <w:szCs w:val="32"/>
        </w:rPr>
        <w:t>指单位结转下年的基本支出结转、项目支出结转和结余、经营结余。</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（九）基本支出：</w:t>
      </w:r>
      <w:r>
        <w:rPr>
          <w:rFonts w:hint="eastAsia" w:ascii="方正仿宋_GBK" w:hAnsi="方正仿宋_GBK" w:eastAsia="方正仿宋_GBK" w:cs="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（十）项目支出：</w:t>
      </w:r>
      <w:r>
        <w:rPr>
          <w:rFonts w:hint="eastAsia" w:ascii="方正仿宋_GBK" w:hAnsi="方正仿宋_GBK" w:eastAsia="方正仿宋_GBK" w:cs="方正仿宋_GBK"/>
          <w:kern w:val="2"/>
          <w:sz w:val="32"/>
          <w:szCs w:val="32"/>
        </w:rPr>
        <w:t>指在基本支出之外为完成特定行政任务和事业发展目标所发生的支出。</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（十一）经营支出：</w:t>
      </w:r>
      <w:r>
        <w:rPr>
          <w:rFonts w:hint="eastAsia" w:ascii="方正仿宋_GBK" w:hAnsi="方正仿宋_GBK" w:eastAsia="方正仿宋_GBK" w:cs="方正仿宋_GBK"/>
          <w:kern w:val="2"/>
          <w:sz w:val="32"/>
          <w:szCs w:val="32"/>
        </w:rPr>
        <w:t>指事业单位在专业业务活动及其辅助活动之外开展非独立核算经营活动发生的支出。</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（十二）“三公”经费：</w:t>
      </w:r>
      <w:r>
        <w:rPr>
          <w:rFonts w:hint="eastAsia" w:ascii="方正仿宋_GBK" w:hAnsi="方正仿宋_GBK" w:eastAsia="方正仿宋_GBK" w:cs="方正仿宋_GBK"/>
          <w:kern w:val="2"/>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（十三）机关运行经费：</w:t>
      </w:r>
      <w:r>
        <w:rPr>
          <w:rFonts w:hint="eastAsia" w:ascii="方正仿宋_GBK" w:hAnsi="方正仿宋_GBK" w:eastAsia="方正仿宋_GBK" w:cs="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（十四）工资福利支出（支出经济分类科目类级）：</w:t>
      </w:r>
      <w:r>
        <w:rPr>
          <w:rFonts w:hint="eastAsia" w:ascii="方正仿宋_GBK" w:hAnsi="方正仿宋_GBK" w:eastAsia="方正仿宋_GBK" w:cs="方正仿宋_GBK"/>
          <w:kern w:val="2"/>
          <w:sz w:val="32"/>
          <w:szCs w:val="32"/>
        </w:rPr>
        <w:t>反映单位开支的在职职工和编制外长期聘用人员的各类劳动报酬，以及为上述人员缴纳的各项社会保险费等。</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（十五）商品和服务支出（支出经济分类科目类级）：</w:t>
      </w:r>
      <w:r>
        <w:rPr>
          <w:rFonts w:hint="eastAsia" w:ascii="方正仿宋_GBK" w:hAnsi="方正仿宋_GBK" w:eastAsia="方正仿宋_GBK" w:cs="方正仿宋_GBK"/>
          <w:kern w:val="2"/>
          <w:sz w:val="32"/>
          <w:szCs w:val="32"/>
        </w:rPr>
        <w:t>反映单位购买商品和服务的支出（不包括用于购置固定资产的支出、战略性和应急储备支出）。</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（十六）对个人和家庭的补助（支出经济分类科目类级）：</w:t>
      </w:r>
      <w:r>
        <w:rPr>
          <w:rFonts w:hint="eastAsia" w:ascii="方正仿宋_GBK" w:hAnsi="方正仿宋_GBK" w:eastAsia="方正仿宋_GBK" w:cs="方正仿宋_GBK"/>
          <w:kern w:val="2"/>
          <w:sz w:val="32"/>
          <w:szCs w:val="32"/>
        </w:rPr>
        <w:t>反映用于对个人和家庭的补助支出。</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（十七）其他资本性支出（支出经济分类科目类级）：</w:t>
      </w:r>
      <w:r>
        <w:rPr>
          <w:rFonts w:hint="eastAsia" w:ascii="方正仿宋_GBK" w:hAnsi="方正仿宋_GBK" w:eastAsia="方正仿宋_GBK" w:cs="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七、决算公开联系方式及信息反馈渠道</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jc w:val="left"/>
        <w:textAlignment w:val="auto"/>
        <w:rPr>
          <w:rFonts w:hint="eastAsia" w:ascii="宋体" w:hAnsi="宋体" w:eastAsia="宋体" w:cs="宋体"/>
          <w:kern w:val="0"/>
          <w:sz w:val="24"/>
          <w:szCs w:val="24"/>
        </w:rPr>
      </w:pPr>
      <w:r>
        <w:rPr>
          <w:rFonts w:hint="eastAsia" w:ascii="方正仿宋_GBK" w:hAnsi="方正仿宋_GBK" w:eastAsia="方正仿宋_GBK" w:cs="方正仿宋_GBK"/>
          <w:kern w:val="2"/>
          <w:sz w:val="32"/>
          <w:szCs w:val="32"/>
        </w:rPr>
        <w:t>本单位决算公开信息反馈和联系方式：023-48772109</w:t>
      </w:r>
    </w:p>
    <w:p/>
    <w:sectPr>
      <w:pgSz w:w="11915" w:h="16851"/>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78292"/>
    <w:multiLevelType w:val="singleLevel"/>
    <w:tmpl w:val="FC678292"/>
    <w:lvl w:ilvl="0" w:tentative="0">
      <w:start w:val="2"/>
      <w:numFmt w:val="decimal"/>
      <w:lvlText w:val="%1."/>
      <w:lvlJc w:val="left"/>
      <w:pPr>
        <w:tabs>
          <w:tab w:val="left" w:pos="312"/>
        </w:tabs>
      </w:pPr>
    </w:lvl>
  </w:abstractNum>
  <w:abstractNum w:abstractNumId="1">
    <w:nsid w:val="5B56B509"/>
    <w:multiLevelType w:val="singleLevel"/>
    <w:tmpl w:val="5B56B50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70988"/>
    <w:rsid w:val="1BCD3062"/>
    <w:rsid w:val="1C130B76"/>
    <w:rsid w:val="1CA76EDA"/>
    <w:rsid w:val="1D493A7F"/>
    <w:rsid w:val="2C716781"/>
    <w:rsid w:val="30607CAC"/>
    <w:rsid w:val="37B25B23"/>
    <w:rsid w:val="3BA03301"/>
    <w:rsid w:val="3BB43781"/>
    <w:rsid w:val="3D064A1F"/>
    <w:rsid w:val="49AA6F62"/>
    <w:rsid w:val="4CD9522E"/>
    <w:rsid w:val="51451B2A"/>
    <w:rsid w:val="5F695198"/>
    <w:rsid w:val="60970988"/>
    <w:rsid w:val="62B81204"/>
    <w:rsid w:val="6FF26AF5"/>
    <w:rsid w:val="7561488D"/>
    <w:rsid w:val="7F13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7">
    <w:name w:val="21"/>
    <w:basedOn w:val="3"/>
    <w:qFormat/>
    <w:uiPriority w:val="0"/>
    <w:rPr>
      <w:rFonts w:hint="default" w:ascii="Times New Roman" w:hAnsi="Times New Roman" w:cs="Times New Roman"/>
    </w:rPr>
  </w:style>
  <w:style w:type="paragraph" w:customStyle="1" w:styleId="8">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4019</Words>
  <Characters>4482</Characters>
  <Lines>0</Lines>
  <Paragraphs>0</Paragraphs>
  <ScaleCrop>false</ScaleCrop>
  <LinksUpToDate>false</LinksUpToDate>
  <CharactersWithSpaces>4486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2023-10-24T03:52:00Z</dcterms:created>
  <dc:creator>Administrator</dc:creator>
  <cp:lastModifiedBy>Administrator</cp:lastModifiedBy>
  <dcterms:modified xsi:type="dcterms:W3CDTF">2023-11-07T07:42:33Z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