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sz w:val="44"/>
          <w:szCs w:val="44"/>
          <w:shd w:val="clear" w:fill="FFFFFF"/>
        </w:rPr>
      </w:pPr>
      <w:r>
        <w:rPr>
          <w:rStyle w:val="12"/>
          <w:rFonts w:hint="eastAsia" w:ascii="方正小标宋_GBK" w:hAnsi="方正小标宋_GBK" w:eastAsia="方正小标宋_GBK" w:cs="方正小标宋_GBK"/>
          <w:b w:val="0"/>
          <w:sz w:val="44"/>
          <w:szCs w:val="44"/>
          <w:shd w:val="clear" w:fill="FFFFFF"/>
        </w:rPr>
        <w:t>重庆市綦江区卫生健康委员会</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sz w:val="44"/>
          <w:szCs w:val="44"/>
          <w:shd w:val="clear" w:fill="FFFFFF"/>
          <w:lang w:eastAsia="zh-CN"/>
        </w:rPr>
      </w:pPr>
      <w:r>
        <w:rPr>
          <w:rStyle w:val="12"/>
          <w:rFonts w:hint="default" w:ascii="方正小标宋_GBK" w:hAnsi="方正小标宋_GBK" w:eastAsia="方正小标宋_GBK" w:cs="方正小标宋_GBK"/>
          <w:b w:val="0"/>
          <w:sz w:val="44"/>
          <w:szCs w:val="44"/>
          <w:shd w:val="clear" w:fill="FFFFFF"/>
        </w:rPr>
        <w:t>202</w:t>
      </w:r>
      <w:r>
        <w:rPr>
          <w:rStyle w:val="12"/>
          <w:rFonts w:hint="default" w:ascii="方正小标宋_GBK" w:hAnsi="方正小标宋_GBK" w:eastAsia="方正小标宋_GBK" w:cs="方正小标宋_GBK"/>
          <w:b w:val="0"/>
          <w:sz w:val="44"/>
          <w:szCs w:val="44"/>
          <w:shd w:val="clear" w:fill="FFFFFF"/>
          <w:lang w:val="en-US" w:eastAsia="zh-CN"/>
        </w:rPr>
        <w:t>4</w:t>
      </w:r>
      <w:r>
        <w:rPr>
          <w:rStyle w:val="12"/>
          <w:rFonts w:hint="eastAsia" w:ascii="方正小标宋_GBK" w:hAnsi="方正小标宋_GBK" w:eastAsia="方正小标宋_GBK" w:cs="方正小标宋_GBK"/>
          <w:b w:val="0"/>
          <w:sz w:val="44"/>
          <w:szCs w:val="44"/>
          <w:shd w:val="clear" w:fill="FFFFFF"/>
        </w:rPr>
        <w:t>年度决算说明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pPr>
        <w:spacing w:line="600" w:lineRule="exact"/>
        <w:ind w:firstLine="640" w:firstLineChars="200"/>
        <w:rPr>
          <w:rFonts w:hint="eastAsia" w:ascii="方正仿宋_GBK" w:hAnsi="方正仿宋_GBK" w:eastAsia="方正仿宋_GBK" w:cs="方正仿宋_GBK"/>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lang w:eastAsia="zh-CN"/>
        </w:rPr>
        <w:t>．</w:t>
      </w:r>
      <w:r>
        <w:rPr>
          <w:rFonts w:hint="eastAsia" w:ascii="方正仿宋_GBK" w:hAnsi="方正仿宋_GBK" w:eastAsia="方正仿宋_GBK" w:cs="方正仿宋_GBK"/>
          <w:sz w:val="32"/>
        </w:rPr>
        <w:t>贯彻执行卫生健康工作的法律法规和方针政策，落实国民健康地方性政策，落实卫生健康事业发展的地方性法规、政府规章和地方标准。统筹规划全区卫生健康资源配置，编制和实施全区卫生健康规划。组织实施推进卫生健康基本公共服务均等化、普惠化、便捷化和公共资源向基层延伸等的政策措施。负责全区卫生健康领域综合执法。</w:t>
      </w:r>
    </w:p>
    <w:p>
      <w:pPr>
        <w:pStyle w:val="6"/>
        <w:widowControl w:val="0"/>
        <w:spacing w:before="0" w:beforeAutospacing="0" w:after="0" w:afterAutospacing="0" w:line="600" w:lineRule="exact"/>
        <w:ind w:firstLine="640" w:firstLineChars="200"/>
        <w:jc w:val="both"/>
        <w:rPr>
          <w:rFonts w:hint="eastAsia" w:ascii="方正仿宋_GBK" w:hAnsi="方正仿宋_GBK" w:eastAsia="方正仿宋_GBK" w:cs="方正仿宋_GBK"/>
          <w:kern w:val="2"/>
          <w:sz w:val="32"/>
          <w:szCs w:val="22"/>
        </w:rPr>
      </w:pPr>
      <w:r>
        <w:rPr>
          <w:rFonts w:hint="default" w:ascii="Times New Roman" w:hAnsi="Times New Roman" w:eastAsia="方正仿宋_GBK" w:cs="Times New Roman"/>
          <w:kern w:val="2"/>
          <w:sz w:val="32"/>
          <w:szCs w:val="22"/>
          <w:lang w:val="en-US" w:eastAsia="zh-CN"/>
        </w:rPr>
        <w:t>2．</w:t>
      </w:r>
      <w:r>
        <w:rPr>
          <w:rFonts w:hint="eastAsia" w:ascii="方正仿宋_GBK" w:hAnsi="方正仿宋_GBK" w:eastAsia="方正仿宋_GBK" w:cs="方正仿宋_GBK"/>
          <w:kern w:val="2"/>
          <w:sz w:val="32"/>
          <w:szCs w:val="22"/>
        </w:rPr>
        <w:t>协调推进全区深化医药卫生体制改革，贯彻执行深化医药卫生体制改革重大政策、措施。组织深化公立医院综合改革，推进管办分离，健全现代医院管理制度，组织实施推动卫生健康公共服务提供主体多元化、提供方式多样化的政策措施，执行医疗服务和药品价格政策。</w:t>
      </w:r>
    </w:p>
    <w:p>
      <w:pPr>
        <w:pStyle w:val="6"/>
        <w:widowControl w:val="0"/>
        <w:spacing w:before="0" w:beforeAutospacing="0" w:after="0" w:afterAutospacing="0" w:line="600" w:lineRule="exact"/>
        <w:ind w:firstLine="640" w:firstLineChars="200"/>
        <w:jc w:val="both"/>
        <w:rPr>
          <w:rFonts w:hint="eastAsia" w:ascii="方正仿宋_GBK" w:hAnsi="方正仿宋_GBK" w:eastAsia="方正仿宋_GBK" w:cs="方正仿宋_GBK"/>
          <w:kern w:val="2"/>
          <w:sz w:val="32"/>
          <w:szCs w:val="22"/>
        </w:rPr>
      </w:pPr>
      <w:r>
        <w:rPr>
          <w:rFonts w:hint="default" w:ascii="Times New Roman" w:hAnsi="Times New Roman" w:eastAsia="方正仿宋_GBK" w:cs="Times New Roman"/>
          <w:kern w:val="2"/>
          <w:sz w:val="32"/>
          <w:szCs w:val="22"/>
        </w:rPr>
        <w:t>3</w:t>
      </w:r>
      <w:r>
        <w:rPr>
          <w:rFonts w:hint="default" w:ascii="Times New Roman" w:hAnsi="Times New Roman" w:eastAsia="方正仿宋_GBK" w:cs="Times New Roman"/>
          <w:kern w:val="2"/>
          <w:sz w:val="32"/>
          <w:szCs w:val="22"/>
          <w:lang w:eastAsia="zh-CN"/>
        </w:rPr>
        <w:t>．</w:t>
      </w:r>
      <w:r>
        <w:rPr>
          <w:rFonts w:hint="eastAsia" w:ascii="方正仿宋_GBK" w:hAnsi="方正仿宋_GBK" w:eastAsia="方正仿宋_GBK" w:cs="方正仿宋_GBK"/>
          <w:kern w:val="2"/>
          <w:sz w:val="32"/>
          <w:szCs w:val="22"/>
        </w:rPr>
        <w:t>制定并组织落实全区疾病预防控制规划、免疫规划以及严重危害人民健康的公共卫生问题的干预措施，根据国家检疫传染病和监测传染病目录开展相关工作。负责全区卫生应急工作，组织指导全区突发公共卫生事件预防控制和突发公共事件的医疗卫生救援，收集上报法定报告传染病疫情信息、突发公共卫生事件应急处置信息。</w:t>
      </w:r>
    </w:p>
    <w:p>
      <w:pPr>
        <w:pStyle w:val="6"/>
        <w:widowControl w:val="0"/>
        <w:spacing w:before="0" w:beforeAutospacing="0" w:after="0" w:afterAutospacing="0" w:line="600" w:lineRule="exact"/>
        <w:ind w:firstLine="640" w:firstLineChars="200"/>
        <w:jc w:val="both"/>
        <w:rPr>
          <w:rFonts w:hint="eastAsia" w:ascii="方正仿宋_GBK" w:hAnsi="方正仿宋_GBK" w:eastAsia="方正仿宋_GBK" w:cs="方正仿宋_GBK"/>
          <w:kern w:val="2"/>
          <w:sz w:val="32"/>
          <w:szCs w:val="22"/>
        </w:rPr>
      </w:pPr>
      <w:r>
        <w:rPr>
          <w:rFonts w:hint="default" w:ascii="Times New Roman" w:hAnsi="Times New Roman" w:eastAsia="方正仿宋_GBK" w:cs="Times New Roman"/>
          <w:kern w:val="2"/>
          <w:sz w:val="32"/>
          <w:szCs w:val="22"/>
          <w:lang w:val="en-US" w:eastAsia="zh-CN"/>
        </w:rPr>
        <w:t>4</w:t>
      </w:r>
      <w:r>
        <w:rPr>
          <w:rFonts w:hint="default" w:ascii="Times New Roman" w:hAnsi="Times New Roman" w:eastAsia="方正仿宋_GBK" w:cs="Times New Roman"/>
          <w:kern w:val="2"/>
          <w:sz w:val="32"/>
          <w:szCs w:val="22"/>
          <w:lang w:eastAsia="zh-CN"/>
        </w:rPr>
        <w:t>．</w:t>
      </w:r>
      <w:r>
        <w:rPr>
          <w:rFonts w:hint="eastAsia" w:ascii="方正仿宋_GBK" w:hAnsi="方正仿宋_GBK" w:eastAsia="方正仿宋_GBK" w:cs="方正仿宋_GBK"/>
          <w:kern w:val="2"/>
          <w:sz w:val="32"/>
          <w:szCs w:val="22"/>
        </w:rPr>
        <w:t>贯彻落实国家药物政策和国家基本药物制度，开展药品使用监测、临床综合评价和短缺药品预警，执行国家和市基本药物目录。组织实施食品安全风险监测评估，贯彻落实食品安全地方标准，负责食源性疾病及与食品安全事故有关的流行病学调查。</w:t>
      </w:r>
    </w:p>
    <w:p>
      <w:pPr>
        <w:pStyle w:val="6"/>
        <w:widowControl w:val="0"/>
        <w:spacing w:before="0" w:beforeAutospacing="0" w:after="0" w:afterAutospacing="0" w:line="600" w:lineRule="exact"/>
        <w:ind w:firstLine="640" w:firstLineChars="200"/>
        <w:jc w:val="both"/>
        <w:rPr>
          <w:rFonts w:hint="eastAsia" w:ascii="方正仿宋_GBK" w:hAnsi="方正仿宋_GBK" w:eastAsia="方正仿宋_GBK" w:cs="方正仿宋_GBK"/>
          <w:kern w:val="2"/>
          <w:sz w:val="32"/>
          <w:szCs w:val="22"/>
        </w:rPr>
      </w:pPr>
      <w:r>
        <w:rPr>
          <w:rFonts w:hint="default" w:ascii="Times New Roman" w:hAnsi="Times New Roman" w:eastAsia="方正仿宋_GBK" w:cs="Times New Roman"/>
          <w:kern w:val="2"/>
          <w:sz w:val="32"/>
          <w:szCs w:val="22"/>
          <w:lang w:val="en-US" w:eastAsia="zh-CN"/>
        </w:rPr>
        <w:t>5</w:t>
      </w:r>
      <w:r>
        <w:rPr>
          <w:rFonts w:hint="default" w:ascii="Times New Roman" w:hAnsi="Times New Roman" w:eastAsia="方正仿宋_GBK" w:cs="Times New Roman"/>
          <w:kern w:val="2"/>
          <w:sz w:val="32"/>
          <w:szCs w:val="22"/>
          <w:lang w:eastAsia="zh-CN"/>
        </w:rPr>
        <w:t>．</w:t>
      </w:r>
      <w:r>
        <w:rPr>
          <w:rFonts w:hint="eastAsia" w:ascii="方正仿宋_GBK" w:hAnsi="方正仿宋_GBK" w:eastAsia="方正仿宋_GBK" w:cs="方正仿宋_GBK"/>
          <w:kern w:val="2"/>
          <w:sz w:val="32"/>
          <w:szCs w:val="22"/>
        </w:rPr>
        <w:t>负责职责范围内的职业卫生、放射卫生、环境卫生、学校卫生、公共场所卫生、饮用水卫生等公共卫生的监督管理，负责医疗卫生监督，负责传染病防治监督，健全全区卫生健康综合监督体系。负责卫生健康机构安全监督管理。负责全区职业安全健康监督管理工作。根据《烟草控制框架公约》做好相关工作。</w:t>
      </w:r>
    </w:p>
    <w:p>
      <w:pPr>
        <w:pStyle w:val="6"/>
        <w:widowControl w:val="0"/>
        <w:spacing w:before="0" w:beforeAutospacing="0" w:after="0" w:afterAutospacing="0" w:line="600" w:lineRule="exact"/>
        <w:ind w:firstLine="640" w:firstLineChars="200"/>
        <w:jc w:val="both"/>
        <w:rPr>
          <w:rFonts w:hint="eastAsia" w:ascii="方正仿宋_GBK" w:hAnsi="方正仿宋_GBK" w:eastAsia="方正仿宋_GBK" w:cs="方正仿宋_GBK"/>
          <w:kern w:val="2"/>
          <w:sz w:val="32"/>
          <w:szCs w:val="22"/>
        </w:rPr>
      </w:pPr>
      <w:r>
        <w:rPr>
          <w:rFonts w:hint="default" w:ascii="Times New Roman" w:hAnsi="Times New Roman" w:eastAsia="方正仿宋_GBK" w:cs="Times New Roman"/>
          <w:kern w:val="2"/>
          <w:sz w:val="32"/>
          <w:szCs w:val="22"/>
          <w:lang w:val="en-US" w:eastAsia="zh-CN"/>
        </w:rPr>
        <w:t>6</w:t>
      </w:r>
      <w:r>
        <w:rPr>
          <w:rFonts w:hint="default" w:ascii="Times New Roman" w:hAnsi="Times New Roman" w:eastAsia="方正仿宋_GBK" w:cs="Times New Roman"/>
          <w:kern w:val="2"/>
          <w:sz w:val="32"/>
          <w:szCs w:val="22"/>
          <w:lang w:eastAsia="zh-CN"/>
        </w:rPr>
        <w:t>．</w:t>
      </w:r>
      <w:r>
        <w:rPr>
          <w:rFonts w:hint="eastAsia" w:ascii="方正仿宋_GBK" w:hAnsi="方正仿宋_GBK" w:eastAsia="方正仿宋_GBK" w:cs="方正仿宋_GBK"/>
          <w:kern w:val="2"/>
          <w:sz w:val="32"/>
          <w:szCs w:val="22"/>
        </w:rPr>
        <w:t>制定全区医疗机构、医疗服务行业管理办法并监督实施，建立医疗服务评价和监督管理体系。会同有关部门贯彻执行国家卫生健康专业技术人员资格标准。组织实施医疗服务规范和卫生健康专业技术人员执业规则、服务规范。</w:t>
      </w:r>
    </w:p>
    <w:p>
      <w:pPr>
        <w:pStyle w:val="6"/>
        <w:widowControl w:val="0"/>
        <w:spacing w:before="0" w:beforeAutospacing="0" w:after="0" w:afterAutospacing="0" w:line="600" w:lineRule="exact"/>
        <w:ind w:firstLine="640" w:firstLineChars="200"/>
        <w:jc w:val="both"/>
        <w:rPr>
          <w:rFonts w:hint="eastAsia" w:ascii="方正仿宋_GBK" w:hAnsi="方正仿宋_GBK" w:eastAsia="方正仿宋_GBK" w:cs="方正仿宋_GBK"/>
          <w:kern w:val="2"/>
          <w:sz w:val="32"/>
          <w:szCs w:val="22"/>
        </w:rPr>
      </w:pPr>
      <w:r>
        <w:rPr>
          <w:rFonts w:hint="default" w:ascii="Times New Roman" w:hAnsi="Times New Roman" w:eastAsia="方正仿宋_GBK" w:cs="Times New Roman"/>
          <w:kern w:val="2"/>
          <w:sz w:val="32"/>
          <w:szCs w:val="22"/>
          <w:lang w:val="en-US" w:eastAsia="zh-CN"/>
        </w:rPr>
        <w:t>7</w:t>
      </w:r>
      <w:r>
        <w:rPr>
          <w:rFonts w:hint="default" w:ascii="Times New Roman" w:hAnsi="Times New Roman" w:eastAsia="方正仿宋_GBK" w:cs="Times New Roman"/>
          <w:kern w:val="2"/>
          <w:sz w:val="32"/>
          <w:szCs w:val="22"/>
          <w:lang w:eastAsia="zh-CN"/>
        </w:rPr>
        <w:t>．</w:t>
      </w:r>
      <w:r>
        <w:rPr>
          <w:rFonts w:hint="eastAsia" w:ascii="方正仿宋_GBK" w:hAnsi="方正仿宋_GBK" w:eastAsia="方正仿宋_GBK" w:cs="方正仿宋_GBK"/>
          <w:kern w:val="2"/>
          <w:sz w:val="32"/>
          <w:szCs w:val="22"/>
        </w:rPr>
        <w:t>负责计划生育管理和服务工作，开展人口监测预警，贯彻落实人口与家庭发展相关政策，落实计划生育政策。</w:t>
      </w:r>
    </w:p>
    <w:p>
      <w:pPr>
        <w:pStyle w:val="6"/>
        <w:widowControl w:val="0"/>
        <w:spacing w:before="0" w:beforeAutospacing="0" w:after="0" w:afterAutospacing="0" w:line="600" w:lineRule="exact"/>
        <w:ind w:firstLine="640" w:firstLineChars="200"/>
        <w:jc w:val="both"/>
        <w:rPr>
          <w:rFonts w:hint="eastAsia" w:ascii="方正仿宋_GBK" w:hAnsi="方正仿宋_GBK" w:eastAsia="方正仿宋_GBK" w:cs="方正仿宋_GBK"/>
          <w:kern w:val="2"/>
          <w:sz w:val="32"/>
          <w:szCs w:val="22"/>
        </w:rPr>
      </w:pPr>
      <w:r>
        <w:rPr>
          <w:rFonts w:hint="default" w:ascii="Times New Roman" w:hAnsi="Times New Roman" w:eastAsia="方正仿宋_GBK" w:cs="Times New Roman"/>
          <w:kern w:val="2"/>
          <w:sz w:val="32"/>
          <w:szCs w:val="22"/>
          <w:lang w:val="en-US" w:eastAsia="zh-CN"/>
        </w:rPr>
        <w:t>8</w:t>
      </w:r>
      <w:r>
        <w:rPr>
          <w:rFonts w:hint="default" w:ascii="Times New Roman" w:hAnsi="Times New Roman" w:eastAsia="方正仿宋_GBK" w:cs="Times New Roman"/>
          <w:kern w:val="2"/>
          <w:sz w:val="32"/>
          <w:szCs w:val="22"/>
          <w:lang w:eastAsia="zh-CN"/>
        </w:rPr>
        <w:t>．</w:t>
      </w:r>
      <w:r>
        <w:rPr>
          <w:rFonts w:hint="eastAsia" w:ascii="方正仿宋_GBK" w:hAnsi="方正仿宋_GBK" w:eastAsia="方正仿宋_GBK" w:cs="方正仿宋_GBK"/>
          <w:kern w:val="2"/>
          <w:sz w:val="32"/>
          <w:szCs w:val="22"/>
        </w:rPr>
        <w:t>负责机关、直属单位党建工作。负责基层医疗卫生、妇幼健康服务体系和全科医生队伍建设。推进卫生健康科技创新发展，承担健康扶贫工程相关工作。</w:t>
      </w:r>
    </w:p>
    <w:p>
      <w:pPr>
        <w:pStyle w:val="6"/>
        <w:widowControl w:val="0"/>
        <w:spacing w:before="0" w:beforeAutospacing="0" w:after="0" w:afterAutospacing="0" w:line="600" w:lineRule="exact"/>
        <w:ind w:firstLine="640" w:firstLineChars="200"/>
        <w:jc w:val="both"/>
        <w:rPr>
          <w:rFonts w:hint="eastAsia" w:ascii="方正仿宋_GBK" w:hAnsi="方正仿宋_GBK" w:eastAsia="方正仿宋_GBK" w:cs="方正仿宋_GBK"/>
          <w:kern w:val="2"/>
          <w:sz w:val="32"/>
          <w:szCs w:val="22"/>
        </w:rPr>
      </w:pPr>
      <w:r>
        <w:rPr>
          <w:rFonts w:hint="default" w:ascii="Times New Roman" w:hAnsi="Times New Roman" w:eastAsia="方正仿宋_GBK" w:cs="Times New Roman"/>
          <w:kern w:val="2"/>
          <w:sz w:val="32"/>
          <w:szCs w:val="22"/>
          <w:lang w:val="en-US" w:eastAsia="zh-CN"/>
        </w:rPr>
        <w:t>9．</w:t>
      </w:r>
      <w:r>
        <w:rPr>
          <w:rFonts w:hint="eastAsia" w:ascii="方正仿宋_GBK" w:hAnsi="方正仿宋_GBK" w:eastAsia="方正仿宋_GBK" w:cs="方正仿宋_GBK"/>
          <w:kern w:val="2"/>
          <w:sz w:val="32"/>
          <w:szCs w:val="22"/>
        </w:rPr>
        <w:t>负责区级保健对象和高层次人才的医疗保健工作；负责在区内召开的重要会议、重大活动的卫生保障工作；承担区委、区政府委托或指定的有关保健医疗方面的工作任务及相关事项。</w:t>
      </w:r>
    </w:p>
    <w:p>
      <w:pPr>
        <w:pStyle w:val="6"/>
        <w:widowControl w:val="0"/>
        <w:spacing w:before="0" w:beforeAutospacing="0" w:after="0" w:afterAutospacing="0" w:line="600" w:lineRule="exact"/>
        <w:ind w:firstLine="640" w:firstLineChars="200"/>
        <w:jc w:val="both"/>
        <w:rPr>
          <w:rFonts w:hint="eastAsia" w:ascii="方正仿宋_GBK" w:hAnsi="方正仿宋_GBK" w:eastAsia="方正仿宋_GBK" w:cs="方正仿宋_GBK"/>
          <w:kern w:val="2"/>
          <w:sz w:val="32"/>
          <w:szCs w:val="22"/>
        </w:rPr>
      </w:pPr>
      <w:r>
        <w:rPr>
          <w:rFonts w:hint="default" w:ascii="Times New Roman" w:hAnsi="Times New Roman" w:eastAsia="方正仿宋_GBK" w:cs="Times New Roman"/>
          <w:kern w:val="2"/>
          <w:sz w:val="32"/>
          <w:szCs w:val="22"/>
        </w:rPr>
        <w:t>1</w:t>
      </w:r>
      <w:r>
        <w:rPr>
          <w:rFonts w:hint="default" w:ascii="Times New Roman" w:hAnsi="Times New Roman" w:eastAsia="方正仿宋_GBK" w:cs="Times New Roman"/>
          <w:kern w:val="2"/>
          <w:sz w:val="32"/>
          <w:szCs w:val="22"/>
          <w:lang w:val="en-US" w:eastAsia="zh-CN"/>
        </w:rPr>
        <w:t>0．</w:t>
      </w:r>
      <w:r>
        <w:rPr>
          <w:rFonts w:hint="eastAsia" w:ascii="方正仿宋_GBK" w:hAnsi="方正仿宋_GBK" w:eastAsia="方正仿宋_GBK" w:cs="方正仿宋_GBK"/>
          <w:kern w:val="2"/>
          <w:sz w:val="32"/>
          <w:szCs w:val="22"/>
        </w:rPr>
        <w:t>拟订全区中医药中长期发展规划，纳入全区卫生健康事业发展总体规划和战略目标。</w:t>
      </w:r>
    </w:p>
    <w:p>
      <w:pPr>
        <w:pStyle w:val="6"/>
        <w:widowControl w:val="0"/>
        <w:spacing w:before="0" w:beforeAutospacing="0" w:after="0" w:afterAutospacing="0" w:line="600" w:lineRule="exact"/>
        <w:ind w:firstLine="640" w:firstLineChars="200"/>
        <w:jc w:val="both"/>
        <w:rPr>
          <w:rFonts w:hint="eastAsia" w:ascii="方正仿宋_GBK" w:hAnsi="方正仿宋_GBK" w:eastAsia="方正仿宋_GBK" w:cs="方正仿宋_GBK"/>
          <w:kern w:val="2"/>
          <w:sz w:val="32"/>
          <w:szCs w:val="22"/>
        </w:rPr>
      </w:pPr>
      <w:r>
        <w:rPr>
          <w:rFonts w:hint="default" w:ascii="Times New Roman" w:hAnsi="Times New Roman" w:eastAsia="方正仿宋_GBK" w:cs="Times New Roman"/>
          <w:kern w:val="2"/>
          <w:sz w:val="32"/>
          <w:szCs w:val="22"/>
        </w:rPr>
        <w:t>1</w:t>
      </w:r>
      <w:r>
        <w:rPr>
          <w:rFonts w:hint="default" w:ascii="Times New Roman" w:hAnsi="Times New Roman" w:eastAsia="方正仿宋_GBK" w:cs="Times New Roman"/>
          <w:kern w:val="2"/>
          <w:sz w:val="32"/>
          <w:szCs w:val="22"/>
          <w:lang w:val="en-US" w:eastAsia="zh-CN"/>
        </w:rPr>
        <w:t>1．</w:t>
      </w:r>
      <w:r>
        <w:rPr>
          <w:rFonts w:hint="eastAsia" w:ascii="方正仿宋_GBK" w:hAnsi="方正仿宋_GBK" w:eastAsia="方正仿宋_GBK" w:cs="方正仿宋_GBK"/>
          <w:kern w:val="2"/>
          <w:sz w:val="32"/>
          <w:szCs w:val="22"/>
        </w:rPr>
        <w:t>重庆市綦江区红十字会挂靠重庆市綦江区卫生健康委员会，重庆市綦江区计划生育协会由重庆市綦江区卫生健康委员会代管。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lang w:val="en-US" w:eastAsia="zh-CN"/>
        </w:rPr>
        <w:t>2．</w:t>
      </w:r>
      <w:r>
        <w:rPr>
          <w:rFonts w:hint="eastAsia" w:ascii="方正仿宋_GBK" w:hAnsi="方正仿宋_GBK" w:eastAsia="方正仿宋_GBK" w:cs="方正仿宋_GBK"/>
          <w:sz w:val="32"/>
        </w:rPr>
        <w:t>完成区委、区政府交办的其他任务。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（二）机构设置</w:t>
      </w:r>
    </w:p>
    <w:p>
      <w:pPr>
        <w:pStyle w:val="13"/>
        <w:tabs>
          <w:tab w:val="center" w:pos="4153"/>
          <w:tab w:val="left" w:pos="7275"/>
        </w:tabs>
        <w:spacing w:line="600" w:lineRule="exact"/>
        <w:ind w:left="0" w:firstLine="640" w:firstLineChars="200"/>
        <w:jc w:val="both"/>
        <w:rPr>
          <w:rStyle w:val="12"/>
          <w:rFonts w:hint="eastAsia" w:ascii="方正楷体_GBK" w:hAnsi="方正楷体_GBK" w:eastAsia="方正楷体_GBK" w:cs="方正楷体_GBK"/>
          <w:b w:val="0"/>
          <w:sz w:val="32"/>
          <w:szCs w:val="32"/>
          <w:shd w:val="clear" w:fill="FFFFFF"/>
        </w:rPr>
      </w:pPr>
      <w:r>
        <w:rPr>
          <w:rFonts w:hint="eastAsia" w:ascii="方正仿宋_GBK" w:hAnsi="方正仿宋_GBK" w:eastAsia="方正仿宋_GBK" w:cs="方正仿宋_GBK"/>
          <w:b w:val="0"/>
          <w:bCs w:val="0"/>
          <w:color w:val="000000"/>
          <w:kern w:val="2"/>
          <w:sz w:val="32"/>
          <w:szCs w:val="22"/>
          <w:lang w:val="en-US" w:eastAsia="zh-CN" w:bidi="ar-SA"/>
        </w:rPr>
        <w:t>我委下设11个科室，分别是：办公室、党群科、人事科、财务科(审计科)、政策法规和宣传（信访安全稳定科、行政审批科）、规划发展科、医政科（中医管理科）、公共卫生科、人口监测与家庭发展科、爱国卫生科、疾病预防控制科(卫生应急办公室)。</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rPr>
          <w:rStyle w:val="9"/>
          <w:rFonts w:hint="eastAsia" w:ascii="方正楷体_GBK" w:hAnsi="方正楷体_GBK" w:eastAsia="方正楷体_GBK" w:cs="方正楷体_GBK"/>
          <w:b w:val="0"/>
          <w:bCs/>
          <w:kern w:val="0"/>
          <w:sz w:val="32"/>
          <w:szCs w:val="32"/>
          <w:shd w:val="clear" w:color="auto" w:fill="FFFFFF"/>
          <w:lang w:val="en-US" w:eastAsia="zh-CN" w:bidi="ar-SA"/>
        </w:rPr>
      </w:pPr>
      <w:r>
        <w:rPr>
          <w:rStyle w:val="9"/>
          <w:rFonts w:hint="eastAsia" w:ascii="方正楷体_GBK" w:hAnsi="方正楷体_GBK" w:eastAsia="方正楷体_GBK" w:cs="方正楷体_GBK"/>
          <w:b w:val="0"/>
          <w:bCs/>
          <w:kern w:val="0"/>
          <w:sz w:val="32"/>
          <w:szCs w:val="32"/>
          <w:shd w:val="clear" w:color="auto" w:fill="FFFFFF"/>
          <w:lang w:val="en-US" w:eastAsia="zh-CN" w:bidi="ar-SA"/>
        </w:rPr>
        <w:t>（三）单位构成</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5" w:firstLineChars="0"/>
        <w:jc w:val="both"/>
        <w:textAlignment w:val="auto"/>
        <w:rPr>
          <w:rFonts w:hint="eastAsia" w:ascii="方正仿宋_GBK" w:hAnsi="方正仿宋_GBK" w:eastAsia="方正仿宋_GBK" w:cs="方正仿宋_GBK"/>
          <w:b w:val="0"/>
          <w:color w:val="333333"/>
          <w:kern w:val="0"/>
          <w:sz w:val="32"/>
          <w:szCs w:val="32"/>
        </w:rPr>
      </w:pPr>
      <w:r>
        <w:rPr>
          <w:rFonts w:hint="eastAsia" w:ascii="宋体" w:hAnsi="宋体" w:eastAsia="宋体" w:cs="宋体"/>
          <w:kern w:val="0"/>
          <w:sz w:val="27"/>
          <w:szCs w:val="27"/>
          <w:shd w:val="clear" w:fill="FFFFFF"/>
        </w:rPr>
        <w:t xml:space="preserve"> </w:t>
      </w:r>
      <w:r>
        <w:rPr>
          <w:rFonts w:hint="eastAsia" w:ascii="方正仿宋_GBK" w:hAnsi="方正仿宋_GBK" w:eastAsia="方正仿宋_GBK" w:cs="方正仿宋_GBK"/>
          <w:b w:val="0"/>
          <w:color w:val="333333"/>
          <w:kern w:val="0"/>
          <w:sz w:val="32"/>
          <w:szCs w:val="32"/>
        </w:rPr>
        <w:t>纳入本部门</w:t>
      </w:r>
      <w:r>
        <w:rPr>
          <w:rFonts w:hint="default" w:ascii="Times New Roman" w:hAnsi="Times New Roman" w:eastAsia="方正仿宋_GBK" w:cs="Times New Roman"/>
          <w:b w:val="0"/>
          <w:color w:val="333333"/>
          <w:kern w:val="0"/>
          <w:sz w:val="32"/>
          <w:szCs w:val="32"/>
        </w:rPr>
        <w:t>202</w:t>
      </w:r>
      <w:r>
        <w:rPr>
          <w:rFonts w:hint="default" w:ascii="Times New Roman" w:hAnsi="Times New Roman" w:eastAsia="方正仿宋_GBK" w:cs="Times New Roman"/>
          <w:b w:val="0"/>
          <w:color w:val="333333"/>
          <w:kern w:val="0"/>
          <w:sz w:val="32"/>
          <w:szCs w:val="32"/>
          <w:lang w:val="en-US" w:eastAsia="zh-CN"/>
        </w:rPr>
        <w:t>4</w:t>
      </w:r>
      <w:r>
        <w:rPr>
          <w:rFonts w:hint="eastAsia" w:ascii="方正仿宋_GBK" w:hAnsi="方正仿宋_GBK" w:eastAsia="方正仿宋_GBK" w:cs="方正仿宋_GBK"/>
          <w:b w:val="0"/>
          <w:color w:val="333333"/>
          <w:kern w:val="0"/>
          <w:sz w:val="32"/>
          <w:szCs w:val="32"/>
        </w:rPr>
        <w:t>年部门决算的单位有</w:t>
      </w:r>
      <w:r>
        <w:rPr>
          <w:rFonts w:hint="default" w:ascii="Times New Roman" w:hAnsi="Times New Roman" w:eastAsia="方正仿宋_GBK" w:cs="Times New Roman"/>
          <w:b w:val="0"/>
          <w:color w:val="333333"/>
          <w:kern w:val="0"/>
          <w:sz w:val="32"/>
          <w:szCs w:val="32"/>
        </w:rPr>
        <w:t>3</w:t>
      </w:r>
      <w:r>
        <w:rPr>
          <w:rFonts w:hint="default" w:ascii="Times New Roman" w:hAnsi="Times New Roman" w:eastAsia="方正仿宋_GBK" w:cs="Times New Roman"/>
          <w:b w:val="0"/>
          <w:color w:val="333333"/>
          <w:kern w:val="0"/>
          <w:sz w:val="32"/>
          <w:szCs w:val="32"/>
          <w:lang w:val="en-US" w:eastAsia="zh-CN"/>
        </w:rPr>
        <w:t>6</w:t>
      </w:r>
      <w:r>
        <w:rPr>
          <w:rFonts w:hint="eastAsia" w:ascii="方正仿宋_GBK" w:hAnsi="方正仿宋_GBK" w:eastAsia="方正仿宋_GBK" w:cs="方正仿宋_GBK"/>
          <w:b w:val="0"/>
          <w:color w:val="333333"/>
          <w:kern w:val="0"/>
          <w:sz w:val="32"/>
          <w:szCs w:val="32"/>
        </w:rPr>
        <w:t>个，其中行政单位</w:t>
      </w:r>
      <w:r>
        <w:rPr>
          <w:rFonts w:hint="default" w:ascii="Times New Roman" w:hAnsi="Times New Roman" w:eastAsia="方正仿宋_GBK" w:cs="Times New Roman"/>
          <w:b w:val="0"/>
          <w:color w:val="333333"/>
          <w:kern w:val="0"/>
          <w:sz w:val="32"/>
          <w:szCs w:val="32"/>
        </w:rPr>
        <w:t>1</w:t>
      </w:r>
      <w:r>
        <w:rPr>
          <w:rFonts w:hint="eastAsia" w:ascii="方正仿宋_GBK" w:hAnsi="方正仿宋_GBK" w:eastAsia="方正仿宋_GBK" w:cs="方正仿宋_GBK"/>
          <w:b w:val="0"/>
          <w:color w:val="333333"/>
          <w:kern w:val="0"/>
          <w:sz w:val="32"/>
          <w:szCs w:val="32"/>
        </w:rPr>
        <w:t>个：重庆綦江区卫生健康委员会（本级），参公单位</w:t>
      </w:r>
      <w:r>
        <w:rPr>
          <w:rFonts w:hint="default" w:ascii="Times New Roman" w:hAnsi="Times New Roman" w:eastAsia="方正仿宋_GBK" w:cs="Times New Roman"/>
          <w:b w:val="0"/>
          <w:color w:val="333333"/>
          <w:kern w:val="0"/>
          <w:sz w:val="32"/>
          <w:szCs w:val="32"/>
          <w:lang w:val="en-US" w:eastAsia="zh-CN"/>
        </w:rPr>
        <w:t>2</w:t>
      </w:r>
      <w:r>
        <w:rPr>
          <w:rFonts w:hint="eastAsia" w:ascii="方正仿宋_GBK" w:hAnsi="方正仿宋_GBK" w:eastAsia="方正仿宋_GBK" w:cs="方正仿宋_GBK"/>
          <w:b w:val="0"/>
          <w:color w:val="333333"/>
          <w:kern w:val="0"/>
          <w:sz w:val="32"/>
          <w:szCs w:val="32"/>
        </w:rPr>
        <w:t>个，重庆市綦江区卫生健康综合行政执法支队、重庆市綦江区计划生育协会；全额拨款事业单位</w:t>
      </w:r>
      <w:r>
        <w:rPr>
          <w:rFonts w:hint="default" w:ascii="Times New Roman" w:hAnsi="Times New Roman" w:eastAsia="方正仿宋_GBK" w:cs="Times New Roman"/>
          <w:b w:val="0"/>
          <w:color w:val="333333"/>
          <w:kern w:val="0"/>
          <w:sz w:val="32"/>
          <w:szCs w:val="32"/>
          <w:lang w:val="en-US" w:eastAsia="zh-CN"/>
        </w:rPr>
        <w:t>7</w:t>
      </w:r>
      <w:r>
        <w:rPr>
          <w:rFonts w:hint="eastAsia" w:ascii="方正仿宋_GBK" w:hAnsi="方正仿宋_GBK" w:eastAsia="方正仿宋_GBK" w:cs="方正仿宋_GBK"/>
          <w:b w:val="0"/>
          <w:color w:val="333333"/>
          <w:kern w:val="0"/>
          <w:sz w:val="32"/>
          <w:szCs w:val="32"/>
        </w:rPr>
        <w:t>个，分别是重庆市綦江区疾病预防控制中心、重庆市綦江区结核病防治所、重庆市綦江区红十字会、重庆市綦江区</w:t>
      </w:r>
      <w:r>
        <w:rPr>
          <w:rFonts w:hint="eastAsia" w:ascii="方正仿宋_GBK" w:hAnsi="方正仿宋_GBK" w:eastAsia="方正仿宋_GBK" w:cs="方正仿宋_GBK"/>
          <w:b w:val="0"/>
          <w:color w:val="333333"/>
          <w:kern w:val="0"/>
          <w:sz w:val="32"/>
          <w:szCs w:val="32"/>
          <w:lang w:eastAsia="zh-CN"/>
        </w:rPr>
        <w:t>健康教育所</w:t>
      </w:r>
      <w:r>
        <w:rPr>
          <w:rFonts w:hint="eastAsia" w:ascii="方正仿宋_GBK" w:hAnsi="方正仿宋_GBK" w:eastAsia="方正仿宋_GBK" w:cs="方正仿宋_GBK"/>
          <w:b w:val="0"/>
          <w:color w:val="333333"/>
          <w:kern w:val="0"/>
          <w:sz w:val="32"/>
          <w:szCs w:val="32"/>
        </w:rPr>
        <w:t>、重庆市綦江区卫生健康系统信息统计和档案管理中心、重庆市綦江区妇幼保健院、重庆市綦江区中心血库；差额拨款事业单位</w:t>
      </w:r>
      <w:r>
        <w:rPr>
          <w:rFonts w:hint="default" w:ascii="Times New Roman" w:hAnsi="Times New Roman" w:eastAsia="方正仿宋_GBK" w:cs="Times New Roman"/>
          <w:b w:val="0"/>
          <w:color w:val="333333"/>
          <w:kern w:val="0"/>
          <w:sz w:val="32"/>
          <w:szCs w:val="32"/>
        </w:rPr>
        <w:t>26</w:t>
      </w:r>
      <w:r>
        <w:rPr>
          <w:rFonts w:hint="eastAsia" w:ascii="方正仿宋_GBK" w:hAnsi="方正仿宋_GBK" w:eastAsia="方正仿宋_GBK" w:cs="方正仿宋_GBK"/>
          <w:b w:val="0"/>
          <w:color w:val="333333"/>
          <w:kern w:val="0"/>
          <w:sz w:val="32"/>
          <w:szCs w:val="32"/>
        </w:rPr>
        <w:t>个，分别是綦江区人民医院、綦江区中医院、綦江区文龙街道社区卫生服务中心、綦江区古南街道社区卫生服务中心、綦江区三江街道社区卫生服务中心、綦江区新盛街道社区卫生服务中心、綦江区通惠街道社区卫生服务中心、綦江区东溪镇中心卫生院、綦江区赶水镇中心卫生院、綦江区石角镇中心卫生院、綦江区三角镇中心卫生院、綦江区永新镇中心卫生院、綦江区永新镇三会卫生院、綦江区郭扶镇中心卫生院、綦江区隆盛镇中心卫生院、綦江区石壕镇中心卫生院、綦江区精神卫生中心、綦江区打通镇卫生院、綦江区安稳镇卫生院、綦江区扶欢镇卫生院、綦江区丁山镇卫生院、綦江区永城镇卫生院、綦江区横山镇卫生院、綦江区中峰镇卫生院、綦江区石角镇蒲河卫生院、綦江区三角镇乐兴卫生院。</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二、部门决算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（一）收入支出决算总体情况说明</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b w:val="0"/>
          <w:kern w:val="0"/>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200</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763.82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995.12万元，增长1.5</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kern w:val="0"/>
          <w:sz w:val="32"/>
          <w:szCs w:val="32"/>
          <w:shd w:val="clear" w:fill="FFFFFF"/>
        </w:rPr>
        <w:t>事业收入增加、政府性基金预算财政拨款收入增加。</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cs="Times New Roman"/>
          <w:b w:val="0"/>
          <w:color w:val="333333"/>
          <w:kern w:val="0"/>
          <w:sz w:val="32"/>
          <w:szCs w:val="32"/>
        </w:rPr>
        <w:t>1</w:t>
      </w:r>
      <w:r>
        <w:rPr>
          <w:rFonts w:hint="default" w:ascii="Times New Roman" w:hAnsi="Times New Roman" w:eastAsia="方正仿宋_GBK" w:cs="Times New Roman"/>
          <w:b w:val="0"/>
          <w:color w:val="333333"/>
          <w:kern w:val="0"/>
          <w:sz w:val="32"/>
          <w:szCs w:val="32"/>
          <w:lang w:eastAsia="zh-CN"/>
        </w:rPr>
        <w:t>．</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198</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404.95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134.72万元，增长0.6%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kern w:val="0"/>
          <w:sz w:val="32"/>
          <w:szCs w:val="32"/>
          <w:shd w:val="clear" w:fill="FFFFFF"/>
        </w:rPr>
        <w:t>事业收入增加、政府性基金预算财政拨款收入增加。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45</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670.25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23.0</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152</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545.55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76.9</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189.14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2</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358.87</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default" w:ascii="Times New Roman" w:hAnsi="Times New Roman" w:eastAsia="方正仿宋_GBK" w:cs="Times New Roman"/>
          <w:sz w:val="32"/>
          <w:szCs w:val="32"/>
          <w:shd w:val="clear" w:color="auto" w:fill="FFFFFF"/>
          <w:lang w:val="en-US" w:eastAsia="zh-CN"/>
        </w:rPr>
        <w:t>2</w:t>
      </w:r>
      <w:r>
        <w:rPr>
          <w:rStyle w:val="9"/>
          <w:rFonts w:hint="default" w:ascii="Times New Roman" w:hAnsi="Times New Roman" w:eastAsia="方正仿宋_GBK" w:cs="Times New Roman"/>
          <w:sz w:val="32"/>
          <w:szCs w:val="32"/>
          <w:shd w:val="clear" w:color="auto" w:fill="FFFFFF"/>
          <w:lang w:eastAsia="zh-CN"/>
        </w:rPr>
        <w:t>．</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200</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736.24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529.51万元，增长1.8</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kern w:val="0"/>
          <w:sz w:val="32"/>
          <w:szCs w:val="32"/>
          <w:shd w:val="clear" w:fill="FFFFFF"/>
        </w:rPr>
        <w:t>社会保障和就业支出增加</w:t>
      </w:r>
      <w:r>
        <w:rPr>
          <w:rFonts w:hint="eastAsia" w:ascii="方正仿宋_GBK" w:hAnsi="方正仿宋_GBK" w:eastAsia="方正仿宋_GBK" w:cs="方正仿宋_GBK"/>
          <w:b w:val="0"/>
          <w:kern w:val="0"/>
          <w:sz w:val="32"/>
          <w:szCs w:val="32"/>
          <w:shd w:val="clear" w:fill="FFFFFF"/>
          <w:lang w:eastAsia="zh-CN"/>
        </w:rPr>
        <w:t>、住房保障支出</w:t>
      </w:r>
      <w:r>
        <w:rPr>
          <w:rFonts w:hint="eastAsia" w:ascii="方正仿宋_GBK" w:hAnsi="方正仿宋_GBK" w:eastAsia="方正仿宋_GBK" w:cs="方正仿宋_GBK"/>
          <w:b w:val="0"/>
          <w:kern w:val="0"/>
          <w:sz w:val="32"/>
          <w:szCs w:val="32"/>
          <w:shd w:val="clear" w:fill="FFFFFF"/>
        </w:rPr>
        <w:t>增加</w:t>
      </w:r>
      <w:r>
        <w:rPr>
          <w:rFonts w:hint="eastAsia" w:ascii="方正仿宋_GBK" w:hAnsi="方正仿宋_GBK" w:eastAsia="方正仿宋_GBK" w:cs="方正仿宋_GBK"/>
          <w:b w:val="0"/>
          <w:kern w:val="0"/>
          <w:sz w:val="32"/>
          <w:szCs w:val="32"/>
          <w:shd w:val="clear"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165</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467.62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82.4</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35</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268.62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17.6</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27.58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cs="Times New Roman"/>
          <w:sz w:val="32"/>
          <w:szCs w:val="32"/>
          <w:shd w:val="clear" w:color="auto" w:fill="FFFFFF"/>
          <w:lang w:val="en-US" w:eastAsia="zh-CN"/>
        </w:rPr>
        <w:t>3</w:t>
      </w:r>
      <w:r>
        <w:rPr>
          <w:rStyle w:val="9"/>
          <w:rFonts w:hint="default" w:ascii="Times New Roman" w:hAnsi="Times New Roman" w:eastAsia="方正仿宋_GBK" w:cs="Times New Roman"/>
          <w:sz w:val="32"/>
          <w:szCs w:val="32"/>
          <w:shd w:val="clear" w:color="auto" w:fill="FFFFFF"/>
          <w:lang w:eastAsia="zh-CN"/>
        </w:rPr>
        <w:t>．</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hint="eastAsia" w:ascii="方正仿宋_GBK" w:hAnsi="方正仿宋_GBK" w:eastAsia="方正仿宋_GBK" w:cs="方正仿宋_GBK"/>
          <w:b w:val="0"/>
          <w:kern w:val="0"/>
          <w:sz w:val="32"/>
          <w:szCs w:val="32"/>
          <w:shd w:val="clear" w:fill="FFFFFF"/>
          <w:lang w:val="en-US" w:eastAsia="zh-CN"/>
        </w:rPr>
        <w:t>与去年持平</w:t>
      </w:r>
      <w:r>
        <w:rPr>
          <w:rFonts w:hint="eastAsia" w:ascii="方正仿宋_GBK" w:hAnsi="方正仿宋_GBK" w:eastAsia="方正仿宋_GBK" w:cs="方正仿宋_GBK"/>
          <w:b w:val="0"/>
          <w:kern w:val="0"/>
          <w:sz w:val="32"/>
          <w:szCs w:val="32"/>
          <w:shd w:val="clear" w:fill="FFFFFF"/>
        </w:rPr>
        <w:t>。</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宋体" w:eastAsia="方正楷体_GBK" w:cs="宋体"/>
          <w:color w:val="auto"/>
          <w:kern w:val="0"/>
          <w:sz w:val="32"/>
          <w:szCs w:val="32"/>
          <w:lang w:val="en-US" w:eastAsia="zh-CN" w:bidi="ar-SA"/>
        </w:rPr>
      </w:pPr>
      <w:r>
        <w:rPr>
          <w:rFonts w:hint="eastAsia" w:ascii="方正楷体_GBK" w:hAnsi="宋体" w:eastAsia="方正楷体_GBK" w:cs="宋体"/>
          <w:color w:val="auto"/>
          <w:kern w:val="0"/>
          <w:sz w:val="32"/>
          <w:szCs w:val="32"/>
          <w:lang w:val="en-US" w:eastAsia="zh-CN" w:bidi="ar-SA"/>
        </w:rPr>
        <w:t>（二）财政拨款收入支出决算总体情况说明</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45</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670.25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财政拨款收、支总计各减少6</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431.02万元，下降12.3</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一般公共预算财政拨款</w:t>
      </w:r>
      <w:r>
        <w:rPr>
          <w:rFonts w:hint="default" w:ascii="Times New Roman" w:hAnsi="Times New Roman" w:eastAsia="方正仿宋_GBK"/>
          <w:color w:val="auto"/>
          <w:sz w:val="32"/>
          <w:szCs w:val="32"/>
          <w:shd w:val="clear" w:color="auto" w:fill="FFFFFF"/>
        </w:rPr>
        <w:t>减少</w:t>
      </w:r>
      <w:r>
        <w:rPr>
          <w:rFonts w:hint="eastAsia" w:ascii="Times New Roman" w:hAnsi="Times New Roman" w:eastAsia="方正仿宋_GBK"/>
          <w:color w:val="auto"/>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宋体" w:eastAsia="方正楷体_GBK" w:cs="宋体"/>
          <w:color w:val="auto"/>
          <w:kern w:val="0"/>
          <w:sz w:val="32"/>
          <w:szCs w:val="32"/>
          <w:lang w:val="en-US" w:eastAsia="zh-CN" w:bidi="ar-SA"/>
        </w:rPr>
      </w:pPr>
      <w:r>
        <w:rPr>
          <w:rFonts w:hint="eastAsia" w:ascii="方正楷体_GBK" w:hAnsi="宋体" w:eastAsia="方正楷体_GBK" w:cs="宋体"/>
          <w:color w:val="auto"/>
          <w:kern w:val="0"/>
          <w:sz w:val="32"/>
          <w:szCs w:val="32"/>
          <w:lang w:val="en-US" w:eastAsia="zh-CN" w:bidi="ar-SA"/>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b w:val="0"/>
          <w:color w:val="333333"/>
          <w:kern w:val="0"/>
          <w:sz w:val="32"/>
          <w:szCs w:val="32"/>
        </w:rPr>
        <w:t>1</w:t>
      </w:r>
      <w:r>
        <w:rPr>
          <w:rFonts w:hint="eastAsia" w:ascii="Times New Roman" w:hAnsi="Times New Roman" w:eastAsia="方正仿宋_GBK" w:cs="Times New Roman"/>
          <w:b w:val="0"/>
          <w:color w:val="333333"/>
          <w:kern w:val="0"/>
          <w:sz w:val="32"/>
          <w:szCs w:val="32"/>
          <w:lang w:eastAsia="zh-CN"/>
        </w:rPr>
        <w:t>．</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45</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562.80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340.96万元，下降12.2</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kern w:val="0"/>
          <w:sz w:val="32"/>
          <w:szCs w:val="32"/>
          <w:shd w:val="clear" w:fill="FFFFFF"/>
        </w:rPr>
        <w:t>部分项目预算</w:t>
      </w:r>
      <w:r>
        <w:rPr>
          <w:rFonts w:hint="default" w:ascii="Times New Roman" w:hAnsi="Times New Roman" w:eastAsia="方正仿宋_GBK"/>
          <w:sz w:val="32"/>
          <w:szCs w:val="32"/>
          <w:shd w:val="clear" w:color="auto" w:fill="FFFFFF"/>
        </w:rPr>
        <w:t>减少</w:t>
      </w:r>
      <w:r>
        <w:rPr>
          <w:rFonts w:hint="eastAsia" w:ascii="方正仿宋_GBK" w:hAnsi="方正仿宋_GBK" w:eastAsia="方正仿宋_GBK" w:cs="方正仿宋_GBK"/>
          <w:b w:val="0"/>
          <w:kern w:val="0"/>
          <w:sz w:val="32"/>
          <w:szCs w:val="32"/>
          <w:shd w:val="clear" w:fill="FFFFFF"/>
        </w:rPr>
        <w:t>等</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较年初预算数增加2</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336.68万元，增长5.4</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kern w:val="0"/>
          <w:sz w:val="32"/>
          <w:szCs w:val="32"/>
          <w:shd w:val="clear" w:fill="FFFFFF"/>
        </w:rPr>
        <w:t>部分资金年中下达、调整预算等原因。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hint="eastAsia" w:ascii="Times New Roman" w:hAnsi="Times New Roman" w:eastAsia="方正仿宋_GBK"/>
          <w:sz w:val="32"/>
          <w:szCs w:val="32"/>
          <w:shd w:val="clear" w:color="auto" w:fill="FFFFFF"/>
          <w:lang w:eastAsia="zh-CN"/>
        </w:rPr>
        <w:t>．</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45</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562.8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与2023年度相比，减少6538.47万元，下降12.6</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kern w:val="0"/>
          <w:sz w:val="32"/>
          <w:szCs w:val="32"/>
          <w:shd w:val="clear" w:fill="FFFFFF"/>
          <w:lang w:eastAsia="zh-CN"/>
        </w:rPr>
        <w:t>项目</w:t>
      </w:r>
      <w:r>
        <w:rPr>
          <w:rFonts w:hint="eastAsia" w:ascii="方正仿宋_GBK" w:hAnsi="方正仿宋_GBK" w:eastAsia="方正仿宋_GBK" w:cs="方正仿宋_GBK"/>
          <w:b w:val="0"/>
          <w:kern w:val="0"/>
          <w:sz w:val="32"/>
          <w:szCs w:val="32"/>
          <w:shd w:val="clear" w:fill="FFFFFF"/>
        </w:rPr>
        <w:t>支出</w:t>
      </w:r>
      <w:r>
        <w:rPr>
          <w:rFonts w:hint="default" w:ascii="Times New Roman" w:hAnsi="Times New Roman" w:eastAsia="方正仿宋_GBK"/>
          <w:sz w:val="32"/>
          <w:szCs w:val="32"/>
          <w:shd w:val="clear" w:color="auto" w:fill="FFFFFF"/>
        </w:rPr>
        <w:t>减少</w:t>
      </w:r>
      <w:r>
        <w:rPr>
          <w:rFonts w:hint="eastAsia" w:ascii="方正仿宋_GBK" w:hAnsi="方正仿宋_GBK" w:eastAsia="方正仿宋_GBK" w:cs="方正仿宋_GBK"/>
          <w:b w:val="0"/>
          <w:kern w:val="0"/>
          <w:sz w:val="32"/>
          <w:szCs w:val="32"/>
          <w:shd w:val="clear" w:fill="FFFFFF"/>
          <w:lang w:eastAsia="zh-CN"/>
        </w:rPr>
        <w:t>。</w:t>
      </w:r>
      <w:r>
        <w:rPr>
          <w:rFonts w:hint="default" w:ascii="Times New Roman" w:hAnsi="Times New Roman" w:eastAsia="方正仿宋_GBK"/>
          <w:sz w:val="32"/>
          <w:szCs w:val="32"/>
          <w:shd w:val="clear" w:color="auto" w:fill="FFFFFF"/>
        </w:rPr>
        <w:t>较年初预算数增加2</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336.68万元，增长5.4</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kern w:val="0"/>
          <w:sz w:val="32"/>
          <w:szCs w:val="32"/>
          <w:shd w:val="clear" w:fill="FFFFFF"/>
        </w:rPr>
        <w:t>部分资金年中下达等。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23.00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8</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923.12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19.6</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较年初预算数增加362.70万元，增长4.2</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kern w:val="0"/>
          <w:sz w:val="32"/>
          <w:szCs w:val="32"/>
          <w:shd w:val="clear" w:fill="FFFFFF"/>
        </w:rPr>
        <w:t>年中调整预算</w:t>
      </w:r>
      <w:r>
        <w:rPr>
          <w:rFonts w:hint="eastAsia" w:ascii="方正仿宋_GBK" w:hAnsi="方正仿宋_GBK" w:eastAsia="方正仿宋_GBK" w:cs="方正仿宋_GBK"/>
          <w:b w:val="0"/>
          <w:kern w:val="0"/>
          <w:sz w:val="32"/>
          <w:szCs w:val="32"/>
          <w:shd w:val="clear" w:fill="FFFFFF"/>
          <w:lang w:eastAsia="zh-CN"/>
        </w:rPr>
        <w:t>等</w:t>
      </w:r>
      <w:r>
        <w:rPr>
          <w:rFonts w:hint="eastAsia" w:ascii="方正仿宋_GBK" w:hAnsi="方正仿宋_GBK" w:eastAsia="方正仿宋_GBK" w:cs="方正仿宋_GBK"/>
          <w:b w:val="0"/>
          <w:kern w:val="0"/>
          <w:sz w:val="32"/>
          <w:szCs w:val="32"/>
          <w:shd w:val="clear" w:fill="FFFFFF"/>
        </w:rPr>
        <w:t>。</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36</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093.17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79.2</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990.03万元，增长5.8</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kern w:val="0"/>
          <w:sz w:val="32"/>
          <w:szCs w:val="32"/>
          <w:shd w:val="clear" w:fill="FFFFFF"/>
        </w:rPr>
        <w:t>年中下达上级资金指标。</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523.51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较年初预算数减少16.05万元，下降3.0%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kern w:val="0"/>
          <w:sz w:val="32"/>
          <w:szCs w:val="32"/>
          <w:shd w:val="clear" w:fill="FFFFFF"/>
          <w:lang w:eastAsia="zh-CN"/>
        </w:rPr>
        <w:t>年中</w:t>
      </w:r>
      <w:r>
        <w:rPr>
          <w:rFonts w:hint="eastAsia" w:ascii="方正仿宋_GBK" w:hAnsi="方正仿宋_GBK" w:eastAsia="方正仿宋_GBK" w:cs="方正仿宋_GBK"/>
          <w:b w:val="0"/>
          <w:kern w:val="0"/>
          <w:sz w:val="32"/>
          <w:szCs w:val="32"/>
          <w:shd w:val="clear" w:fill="FFFFFF"/>
        </w:rPr>
        <w:t>住房公积金调整。</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3</w:t>
      </w:r>
      <w:r>
        <w:rPr>
          <w:rStyle w:val="9"/>
          <w:rFonts w:hint="eastAsia" w:ascii="方正仿宋_GBK" w:hAnsi="方正仿宋_GBK" w:eastAsia="方正仿宋_GBK" w:cs="方正仿宋_GBK"/>
          <w:sz w:val="32"/>
          <w:szCs w:val="32"/>
          <w:shd w:val="clear" w:color="auto" w:fill="FFFFFF"/>
          <w:lang w:eastAsia="zh-CN"/>
        </w:rPr>
        <w:t>．</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olor w:val="auto"/>
          <w:sz w:val="32"/>
          <w:szCs w:val="32"/>
          <w:shd w:val="clear" w:color="auto" w:fill="FFFFFF"/>
        </w:rPr>
        <w:t>减</w:t>
      </w:r>
      <w:r>
        <w:rPr>
          <w:rFonts w:ascii="方正仿宋_GBK" w:hAnsi="方正仿宋_GBK" w:eastAsia="方正仿宋_GBK" w:cs="方正仿宋_GBK"/>
          <w:color w:val="auto"/>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宋体" w:eastAsia="方正楷体_GBK" w:cs="宋体"/>
          <w:color w:val="auto"/>
          <w:kern w:val="0"/>
          <w:sz w:val="32"/>
          <w:szCs w:val="32"/>
          <w:lang w:val="en-US" w:eastAsia="zh-CN" w:bidi="ar-SA"/>
        </w:rPr>
      </w:pPr>
      <w:r>
        <w:rPr>
          <w:rFonts w:hint="eastAsia" w:ascii="方正楷体_GBK" w:hAnsi="宋体" w:eastAsia="方正楷体_GBK" w:cs="宋体"/>
          <w:color w:val="auto"/>
          <w:kern w:val="0"/>
          <w:sz w:val="32"/>
          <w:szCs w:val="32"/>
          <w:lang w:val="en-US" w:eastAsia="zh-CN" w:bidi="ar-SA"/>
        </w:rPr>
        <w:t>（四）一般公共预算财政拨款基本支出决算情况说明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19</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674.09</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0" w:firstLineChars="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18</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901.16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716.41万元，增长10.0%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工资福利支出</w:t>
      </w:r>
      <w:r>
        <w:rPr>
          <w:rFonts w:hint="eastAsia" w:ascii="方正仿宋_GBK" w:hAnsi="方正仿宋_GBK" w:eastAsia="方正仿宋_GBK" w:cs="方正仿宋_GBK"/>
          <w:sz w:val="32"/>
          <w:szCs w:val="32"/>
          <w:shd w:val="clear" w:color="auto" w:fill="FFFFFF"/>
          <w:lang w:eastAsia="zh-CN"/>
        </w:rPr>
        <w:t>和对个人和家庭的补助调整</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rPr>
        <w:t>基本工资、津贴补贴、奖金、绩效工资等。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772.93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与2023年度相比，增加85.95万元，增长12.5</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办公费、</w:t>
      </w:r>
      <w:r>
        <w:rPr>
          <w:rFonts w:hint="eastAsia" w:ascii="方正仿宋_GBK" w:hAnsi="方正仿宋_GBK" w:eastAsia="方正仿宋_GBK" w:cs="方正仿宋_GBK"/>
          <w:kern w:val="0"/>
          <w:sz w:val="32"/>
          <w:szCs w:val="32"/>
          <w:shd w:val="clear" w:fill="FFFFFF"/>
          <w:lang w:eastAsia="zh-CN"/>
        </w:rPr>
        <w:t>劳务</w:t>
      </w:r>
      <w:r>
        <w:rPr>
          <w:rFonts w:hint="eastAsia" w:ascii="方正仿宋_GBK" w:hAnsi="方正仿宋_GBK" w:eastAsia="方正仿宋_GBK" w:cs="方正仿宋_GBK"/>
          <w:kern w:val="0"/>
          <w:sz w:val="32"/>
          <w:szCs w:val="32"/>
          <w:shd w:val="clear" w:fill="FFFFFF"/>
        </w:rPr>
        <w:t>费等增加。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rPr>
        <w:t>办公费、邮电费、劳务费等。</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宋体" w:eastAsia="方正楷体_GBK" w:cs="宋体"/>
          <w:color w:val="auto"/>
          <w:kern w:val="0"/>
          <w:sz w:val="32"/>
          <w:szCs w:val="32"/>
          <w:lang w:val="en-US" w:eastAsia="zh-CN" w:bidi="ar-SA"/>
        </w:rPr>
      </w:pPr>
      <w:r>
        <w:rPr>
          <w:rFonts w:hint="eastAsia" w:ascii="方正楷体_GBK" w:hAnsi="宋体" w:eastAsia="方正楷体_GBK" w:cs="宋体"/>
          <w:color w:val="auto"/>
          <w:kern w:val="0"/>
          <w:sz w:val="32"/>
          <w:szCs w:val="32"/>
          <w:lang w:val="en-US" w:eastAsia="zh-CN" w:bidi="ar-SA"/>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107.45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与2023年度相比，增加107.45万元，增长100.0%</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增加</w:t>
      </w:r>
      <w:r>
        <w:rPr>
          <w:rFonts w:hint="eastAsia" w:ascii="方正仿宋_GBK" w:hAnsi="方正仿宋_GBK" w:eastAsia="方正仿宋_GBK" w:cs="方正仿宋_GBK"/>
          <w:color w:val="auto"/>
          <w:sz w:val="32"/>
          <w:szCs w:val="32"/>
          <w:shd w:val="clear" w:color="auto" w:fill="FFFFFF"/>
        </w:rPr>
        <w:t>疾控中心迁建二期工程</w:t>
      </w:r>
      <w:r>
        <w:rPr>
          <w:rFonts w:hint="eastAsia" w:ascii="方正仿宋_GBK" w:hAnsi="方正仿宋_GBK" w:eastAsia="方正仿宋_GBK" w:cs="方正仿宋_GBK"/>
          <w:color w:val="auto"/>
          <w:sz w:val="32"/>
          <w:szCs w:val="32"/>
          <w:shd w:val="clear" w:color="auto" w:fill="FFFFFF"/>
          <w:lang w:eastAsia="zh-CN"/>
        </w:rPr>
        <w:t>项目预算</w:t>
      </w:r>
      <w:r>
        <w:rPr>
          <w:rFonts w:hint="default" w:ascii="Times New Roman" w:hAnsi="Times New Roman" w:eastAsia="方正仿宋_GBK"/>
          <w:color w:val="auto"/>
          <w:sz w:val="32"/>
          <w:szCs w:val="32"/>
          <w:shd w:val="clear" w:color="auto" w:fill="FFFFFF"/>
        </w:rPr>
        <w:t>107.45万元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107.45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与2023年度相比，增加107.45万元，增长100.0%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增加</w:t>
      </w:r>
      <w:r>
        <w:rPr>
          <w:rFonts w:hint="eastAsia" w:ascii="方正仿宋_GBK" w:hAnsi="方正仿宋_GBK" w:eastAsia="方正仿宋_GBK" w:cs="方正仿宋_GBK"/>
          <w:color w:val="auto"/>
          <w:sz w:val="32"/>
          <w:szCs w:val="32"/>
          <w:shd w:val="clear" w:color="auto" w:fill="FFFFFF"/>
        </w:rPr>
        <w:t>疾控中心迁建二期工程</w:t>
      </w:r>
      <w:r>
        <w:rPr>
          <w:rFonts w:hint="eastAsia" w:ascii="方正仿宋_GBK" w:hAnsi="方正仿宋_GBK" w:eastAsia="方正仿宋_GBK" w:cs="方正仿宋_GBK"/>
          <w:color w:val="auto"/>
          <w:sz w:val="32"/>
          <w:szCs w:val="32"/>
          <w:shd w:val="clear" w:color="auto" w:fill="FFFFFF"/>
          <w:lang w:eastAsia="zh-CN"/>
        </w:rPr>
        <w:t>项目支出</w:t>
      </w:r>
      <w:r>
        <w:rPr>
          <w:rFonts w:hint="default" w:ascii="Times New Roman" w:hAnsi="Times New Roman" w:eastAsia="方正仿宋_GBK"/>
          <w:color w:val="auto"/>
          <w:sz w:val="32"/>
          <w:szCs w:val="32"/>
          <w:shd w:val="clear" w:color="auto" w:fill="FFFFFF"/>
        </w:rPr>
        <w:t>107.45万元</w:t>
      </w:r>
      <w:r>
        <w:rPr>
          <w:rFonts w:ascii="方正仿宋_GBK" w:hAnsi="方正仿宋_GBK" w:eastAsia="方正仿宋_GBK" w:cs="方正仿宋_GBK"/>
          <w:color w:val="auto"/>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宋体" w:eastAsia="方正楷体_GBK" w:cs="宋体"/>
          <w:color w:val="auto"/>
          <w:kern w:val="0"/>
          <w:sz w:val="32"/>
          <w:szCs w:val="32"/>
          <w:lang w:val="en-US" w:eastAsia="zh-CN" w:bidi="ar-SA"/>
        </w:rPr>
      </w:pPr>
      <w:r>
        <w:rPr>
          <w:rFonts w:hint="eastAsia" w:ascii="方正楷体_GBK" w:hAnsi="宋体" w:eastAsia="方正楷体_GBK" w:cs="宋体"/>
          <w:color w:val="auto"/>
          <w:kern w:val="0"/>
          <w:sz w:val="32"/>
          <w:szCs w:val="32"/>
          <w:lang w:val="en-US" w:eastAsia="zh-CN" w:bidi="ar-SA"/>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宋体" w:eastAsia="方正楷体_GBK" w:cs="宋体"/>
          <w:color w:val="auto"/>
          <w:kern w:val="0"/>
          <w:sz w:val="32"/>
          <w:szCs w:val="32"/>
          <w:lang w:val="en-US" w:eastAsia="zh-CN" w:bidi="ar-SA"/>
        </w:rPr>
      </w:pPr>
      <w:r>
        <w:rPr>
          <w:rFonts w:hint="eastAsia" w:ascii="方正楷体_GBK" w:hAnsi="宋体" w:eastAsia="方正楷体_GBK" w:cs="宋体"/>
          <w:color w:val="auto"/>
          <w:kern w:val="0"/>
          <w:sz w:val="32"/>
          <w:szCs w:val="32"/>
          <w:lang w:val="en-US" w:eastAsia="zh-CN" w:bidi="ar-SA"/>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114.06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较年初预算数增加53.06万元，增长87.0%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增加公务用车购置费预算。</w:t>
      </w:r>
      <w:r>
        <w:rPr>
          <w:rFonts w:hint="default" w:ascii="Times New Roman" w:hAnsi="Times New Roman" w:eastAsia="方正仿宋_GBK"/>
          <w:sz w:val="32"/>
          <w:szCs w:val="32"/>
          <w:shd w:val="clear" w:color="auto" w:fill="FFFFFF"/>
        </w:rPr>
        <w:t>较上年支出数增加53.14万元，增长87.2</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增加公务用车购置支出。</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宋体" w:eastAsia="方正楷体_GBK" w:cs="宋体"/>
          <w:color w:val="auto"/>
          <w:kern w:val="0"/>
          <w:sz w:val="32"/>
          <w:szCs w:val="32"/>
          <w:lang w:val="en-US" w:eastAsia="zh-CN" w:bidi="ar-SA"/>
        </w:rPr>
      </w:pPr>
      <w:r>
        <w:rPr>
          <w:rFonts w:hint="eastAsia" w:ascii="方正楷体_GBK" w:hAnsi="宋体" w:eastAsia="方正楷体_GBK" w:cs="宋体"/>
          <w:color w:val="auto"/>
          <w:kern w:val="0"/>
          <w:sz w:val="32"/>
          <w:szCs w:val="32"/>
          <w:lang w:val="en-US" w:eastAsia="zh-CN" w:bidi="ar-SA"/>
        </w:rPr>
        <w:t>（二）“三公”经费分项支出情况</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我部门无因公出国（境）费用。</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我部门无因公出国（境）费用。</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67.84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公务用车购置支出</w:t>
      </w:r>
      <w:r>
        <w:rPr>
          <w:rFonts w:ascii="方正仿宋_GBK" w:hAnsi="方正仿宋_GBK" w:eastAsia="方正仿宋_GBK" w:cs="方正仿宋_GBK"/>
          <w:color w:val="auto"/>
          <w:sz w:val="32"/>
          <w:szCs w:val="32"/>
          <w:shd w:val="clear" w:color="auto" w:fill="FFFFFF"/>
        </w:rPr>
        <w:t>。费</w:t>
      </w:r>
      <w:r>
        <w:rPr>
          <w:rFonts w:ascii="方正仿宋_GBK" w:hAnsi="方正仿宋_GBK" w:eastAsia="方正仿宋_GBK" w:cs="方正仿宋_GBK"/>
          <w:sz w:val="32"/>
          <w:szCs w:val="32"/>
          <w:shd w:val="clear" w:color="auto" w:fill="FFFFFF"/>
        </w:rPr>
        <w:t>用支出</w:t>
      </w:r>
      <w:r>
        <w:rPr>
          <w:rFonts w:hint="default" w:ascii="Times New Roman" w:hAnsi="Times New Roman" w:eastAsia="方正仿宋_GBK"/>
          <w:sz w:val="32"/>
          <w:szCs w:val="32"/>
          <w:shd w:val="clear" w:color="auto" w:fill="FFFFFF"/>
        </w:rPr>
        <w:t>较年初预算数增加67.84万元，增长100.0%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公务用车购置支出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较上年支出数增加67.84万元，增长100.0%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公务用车购置支出。</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43.60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公务车油费、维修费、高速公路通行费、保险费等。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较年初预算数减少7.40万元，下降14.5</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，主要原因是厉行节约，</w:t>
      </w:r>
      <w:r>
        <w:rPr>
          <w:rFonts w:hint="eastAsia" w:ascii="方正仿宋_GBK" w:hAnsi="方正仿宋_GBK" w:eastAsia="方正仿宋_GBK" w:cs="方正仿宋_GBK"/>
          <w:kern w:val="0"/>
          <w:sz w:val="32"/>
          <w:szCs w:val="32"/>
          <w:shd w:val="clear" w:fill="FFFFFF"/>
        </w:rPr>
        <w:t>严格公务用车管理</w:t>
      </w:r>
      <w:bookmarkStart w:id="0" w:name="_GoBack"/>
      <w:bookmarkEnd w:id="0"/>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sz w:val="32"/>
          <w:szCs w:val="32"/>
          <w:shd w:val="clear" w:color="auto" w:fill="FFFFFF"/>
        </w:rPr>
        <w:t>较上年支出数减少14.30万元，下降24.7</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，主要原因是厉行节约，</w:t>
      </w:r>
      <w:r>
        <w:rPr>
          <w:rFonts w:hint="eastAsia" w:ascii="方正仿宋_GBK" w:hAnsi="方正仿宋_GBK" w:eastAsia="方正仿宋_GBK" w:cs="方正仿宋_GBK"/>
          <w:kern w:val="0"/>
          <w:sz w:val="32"/>
          <w:szCs w:val="32"/>
          <w:shd w:val="clear" w:fill="FFFFFF"/>
        </w:rPr>
        <w:t>严格公务用车管理。</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2.62</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kern w:val="0"/>
          <w:sz w:val="32"/>
          <w:szCs w:val="32"/>
          <w:shd w:val="clear" w:fill="FFFFFF"/>
        </w:rPr>
        <w:t>市内各级领导来宾来访、调研我委各项业务工作，接受相关部门检查指导工作发生的接待支出等费用支出。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较年初预算数减少7.38万元，下降73.8</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严格接待管理，控制公务接待支出。</w:t>
      </w:r>
      <w:r>
        <w:rPr>
          <w:rFonts w:hint="default" w:ascii="Times New Roman" w:hAnsi="Times New Roman" w:eastAsia="方正仿宋_GBK"/>
          <w:sz w:val="32"/>
          <w:szCs w:val="32"/>
          <w:shd w:val="clear" w:color="auto" w:fill="FFFFFF"/>
        </w:rPr>
        <w:t>较上年支出数减少0.40万元，下降13.3</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严格接待管理，控制公务接待支出。</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宋体" w:eastAsia="方正楷体_GBK" w:cs="宋体"/>
          <w:color w:val="auto"/>
          <w:kern w:val="0"/>
          <w:sz w:val="32"/>
          <w:szCs w:val="32"/>
          <w:lang w:val="en-US" w:eastAsia="zh-CN" w:bidi="ar-SA"/>
        </w:rPr>
      </w:pPr>
      <w:r>
        <w:rPr>
          <w:rFonts w:hint="eastAsia" w:ascii="方正楷体_GBK" w:hAnsi="宋体" w:eastAsia="方正楷体_GBK" w:cs="宋体"/>
          <w:color w:val="auto"/>
          <w:kern w:val="0"/>
          <w:sz w:val="32"/>
          <w:szCs w:val="32"/>
          <w:lang w:val="en-US" w:eastAsia="zh-CN" w:bidi="ar-SA"/>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338</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77.49</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67.84</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2.56</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方正楷体_GBK" w:hAnsi="宋体" w:eastAsia="方正楷体_GBK" w:cs="宋体"/>
          <w:color w:val="auto"/>
          <w:kern w:val="0"/>
          <w:sz w:val="32"/>
          <w:szCs w:val="32"/>
          <w:lang w:val="en-US" w:eastAsia="zh-CN" w:bidi="ar-SA"/>
        </w:rPr>
      </w:pPr>
      <w:r>
        <w:rPr>
          <w:rFonts w:hint="eastAsia" w:ascii="方正楷体_GBK" w:hAnsi="宋体" w:eastAsia="方正楷体_GBK" w:cs="宋体"/>
          <w:color w:val="auto"/>
          <w:kern w:val="0"/>
          <w:sz w:val="32"/>
          <w:szCs w:val="32"/>
          <w:lang w:val="en-US" w:eastAsia="zh-CN" w:bidi="ar-SA"/>
        </w:rPr>
        <w:t>（一）财政拨款会议费、培训费和差旅费情况说明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与2023年度相比，增加5.82万元，增长112.8</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业务会议开支有所增加。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900.34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与2023年度相比，增加178.79万元，增长24.8</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eastAsia="zh-CN"/>
        </w:rPr>
        <w:t>业务知识更新较快，参加有关部门组织的</w:t>
      </w:r>
      <w:r>
        <w:rPr>
          <w:rFonts w:hint="eastAsia" w:ascii="方正仿宋_GBK" w:hAnsi="方正仿宋_GBK" w:eastAsia="方正仿宋_GBK" w:cs="方正仿宋_GBK"/>
          <w:kern w:val="0"/>
          <w:sz w:val="32"/>
          <w:szCs w:val="32"/>
          <w:shd w:val="clear" w:fill="FFFFFF"/>
        </w:rPr>
        <w:t>各类业务培训较多。</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13.99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与2023年度相比，减少16.93万元，下降54.8</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严控非必要出差，严格执行出差标准，统筹合并行程，压缩差旅开支。</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宋体" w:eastAsia="方正楷体_GBK" w:cs="宋体"/>
          <w:color w:val="auto"/>
          <w:kern w:val="0"/>
          <w:sz w:val="32"/>
          <w:szCs w:val="32"/>
          <w:lang w:val="en-US" w:eastAsia="zh-CN" w:bidi="ar-SA"/>
        </w:rPr>
      </w:pPr>
      <w:r>
        <w:rPr>
          <w:rFonts w:hint="eastAsia" w:ascii="方正楷体_GBK" w:hAnsi="宋体" w:eastAsia="方正楷体_GBK" w:cs="宋体"/>
          <w:color w:val="auto"/>
          <w:kern w:val="0"/>
          <w:sz w:val="32"/>
          <w:szCs w:val="32"/>
          <w:lang w:val="en-US" w:eastAsia="zh-CN" w:bidi="ar-SA"/>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290.39</w:t>
      </w:r>
      <w:r>
        <w:rPr>
          <w:rFonts w:ascii="方正仿宋_GBK" w:hAnsi="方正仿宋_GBK" w:eastAsia="方正仿宋_GBK" w:cs="方正仿宋_GBK"/>
          <w:sz w:val="32"/>
          <w:szCs w:val="32"/>
          <w:shd w:val="clear" w:color="auto" w:fill="FFFFFF"/>
        </w:rPr>
        <w:t>万元，机关运行经费主要用于</w:t>
      </w:r>
      <w:r>
        <w:rPr>
          <w:rFonts w:hint="eastAsia" w:ascii="方正仿宋_GBK" w:hAnsi="方正仿宋_GBK" w:eastAsia="方正仿宋_GBK" w:cs="方正仿宋_GBK"/>
          <w:kern w:val="0"/>
          <w:sz w:val="32"/>
          <w:szCs w:val="32"/>
          <w:shd w:val="clear" w:fill="FFFFFF"/>
        </w:rPr>
        <w:t>开支办公费、邮电费、劳务费、工会经费等。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较上年支出数减少3.13万元，下降1.1</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是严格落实过紧日子要求，大力压缩办公用品、耗材等一般性开支，减少非必要支出。</w:t>
      </w:r>
    </w:p>
    <w:p>
      <w:pPr>
        <w:pStyle w:val="10"/>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w:t>
      </w:r>
      <w:r>
        <w:rPr>
          <w:rFonts w:hint="eastAsia" w:ascii="方正楷体_GBK" w:hAnsi="宋体" w:eastAsia="方正楷体_GBK" w:cs="宋体"/>
          <w:color w:val="auto"/>
          <w:kern w:val="0"/>
          <w:sz w:val="32"/>
          <w:szCs w:val="32"/>
          <w:lang w:val="en-US" w:eastAsia="zh-CN" w:bidi="ar-SA"/>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64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52</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台（套）。</w:t>
      </w:r>
    </w:p>
    <w:p>
      <w:pPr>
        <w:pStyle w:val="13"/>
        <w:tabs>
          <w:tab w:val="center" w:pos="4153"/>
          <w:tab w:val="left" w:pos="7275"/>
        </w:tabs>
        <w:spacing w:line="600" w:lineRule="exact"/>
        <w:ind w:firstLine="640"/>
        <w:rPr>
          <w:rFonts w:hint="eastAsia" w:ascii="方正楷体_GBK" w:hAnsi="宋体" w:eastAsia="方正楷体_GBK" w:cs="宋体"/>
          <w:color w:val="auto"/>
          <w:kern w:val="0"/>
          <w:sz w:val="32"/>
          <w:szCs w:val="32"/>
        </w:rPr>
      </w:pPr>
      <w:r>
        <w:rPr>
          <w:rFonts w:hint="eastAsia" w:ascii="方正楷体_GBK" w:hAnsi="宋体" w:eastAsia="方正楷体_GBK" w:cs="宋体"/>
          <w:color w:val="auto"/>
          <w:kern w:val="0"/>
          <w:sz w:val="32"/>
          <w:szCs w:val="32"/>
        </w:rPr>
        <w:t>（四）政府采购支出情况说明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9</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382.46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778.61</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6</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555.32</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2</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048.53</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8</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792.84</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93.7</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6</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217.12</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66.3</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 xml:space="preserve">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kern w:val="0"/>
          <w:sz w:val="32"/>
          <w:szCs w:val="32"/>
          <w:shd w:val="clear" w:fill="FFFFFF"/>
        </w:rPr>
        <w:t>医疗设备、办公设备等。</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五、预算绩效管理情况说明</w:t>
      </w:r>
    </w:p>
    <w:p>
      <w:pPr>
        <w:pStyle w:val="13"/>
        <w:tabs>
          <w:tab w:val="center" w:pos="4153"/>
          <w:tab w:val="left" w:pos="7275"/>
        </w:tabs>
        <w:spacing w:line="600" w:lineRule="exact"/>
        <w:ind w:firstLine="640"/>
        <w:rPr>
          <w:rFonts w:hint="eastAsia" w:ascii="方正楷体_GBK" w:hAnsi="宋体" w:eastAsia="方正楷体_GBK" w:cs="宋体"/>
          <w:color w:val="auto"/>
          <w:kern w:val="0"/>
          <w:sz w:val="32"/>
          <w:szCs w:val="32"/>
        </w:rPr>
      </w:pPr>
      <w:r>
        <w:rPr>
          <w:rFonts w:hint="eastAsia" w:ascii="方正楷体_GBK" w:hAnsi="宋体" w:eastAsia="方正楷体_GBK" w:cs="宋体"/>
          <w:color w:val="auto"/>
          <w:kern w:val="0"/>
          <w:sz w:val="32"/>
          <w:szCs w:val="32"/>
        </w:rPr>
        <w:t>（一）预算绩效管理工作开展情况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宋体" w:hAnsi="宋体" w:eastAsia="宋体" w:cs="宋体"/>
          <w:color w:val="0070C0"/>
          <w:kern w:val="0"/>
          <w:sz w:val="24"/>
          <w:szCs w:val="24"/>
        </w:rPr>
      </w:pPr>
      <w:r>
        <w:rPr>
          <w:rFonts w:hint="eastAsia" w:ascii="方正仿宋_GBK" w:hAnsi="方正仿宋_GBK" w:eastAsia="方正仿宋_GBK" w:cs="方正仿宋_GBK"/>
          <w:color w:val="auto"/>
          <w:kern w:val="0"/>
          <w:sz w:val="32"/>
          <w:szCs w:val="32"/>
          <w:shd w:val="clear" w:fill="FFFFFF"/>
        </w:rPr>
        <w:t>根据预算绩效管理要求，我委对部门整体和</w:t>
      </w:r>
      <w:r>
        <w:rPr>
          <w:rFonts w:hint="default" w:ascii="Times New Roman" w:hAnsi="Times New Roman" w:eastAsia="方正仿宋_GBK" w:cs="Times New Roman"/>
          <w:color w:val="auto"/>
          <w:kern w:val="0"/>
          <w:sz w:val="32"/>
          <w:szCs w:val="32"/>
          <w:shd w:val="clear" w:fill="FFFFFF"/>
          <w:lang w:val="en-US" w:eastAsia="zh-CN"/>
        </w:rPr>
        <w:t>3</w:t>
      </w:r>
      <w:r>
        <w:rPr>
          <w:rFonts w:hint="eastAsia" w:ascii="Times New Roman" w:hAnsi="Times New Roman" w:eastAsia="方正仿宋_GBK" w:cs="Times New Roman"/>
          <w:color w:val="auto"/>
          <w:kern w:val="0"/>
          <w:sz w:val="32"/>
          <w:szCs w:val="32"/>
          <w:shd w:val="clear" w:fill="FFFFFF"/>
          <w:lang w:val="en-US" w:eastAsia="zh-CN"/>
        </w:rPr>
        <w:t>20</w:t>
      </w:r>
      <w:r>
        <w:rPr>
          <w:rFonts w:hint="eastAsia" w:ascii="方正仿宋_GBK" w:hAnsi="方正仿宋_GBK" w:eastAsia="方正仿宋_GBK" w:cs="方正仿宋_GBK"/>
          <w:color w:val="auto"/>
          <w:kern w:val="0"/>
          <w:sz w:val="32"/>
          <w:szCs w:val="32"/>
          <w:shd w:val="clear" w:fill="FFFFFF"/>
        </w:rPr>
        <w:t>个项目开展了绩效自评，其中，以填报自评表形式开展自评</w:t>
      </w:r>
      <w:r>
        <w:rPr>
          <w:rFonts w:hint="default" w:ascii="Times New Roman" w:hAnsi="Times New Roman" w:eastAsia="方正仿宋_GBK" w:cs="Times New Roman"/>
          <w:color w:val="auto"/>
          <w:kern w:val="0"/>
          <w:sz w:val="32"/>
          <w:szCs w:val="32"/>
          <w:shd w:val="clear" w:fill="FFFFFF"/>
          <w:lang w:val="en-US" w:eastAsia="zh-CN"/>
        </w:rPr>
        <w:t>3</w:t>
      </w:r>
      <w:r>
        <w:rPr>
          <w:rFonts w:hint="eastAsia" w:ascii="Times New Roman" w:hAnsi="Times New Roman" w:eastAsia="方正仿宋_GBK" w:cs="Times New Roman"/>
          <w:color w:val="auto"/>
          <w:kern w:val="0"/>
          <w:sz w:val="32"/>
          <w:szCs w:val="32"/>
          <w:shd w:val="clear" w:fill="FFFFFF"/>
          <w:lang w:val="en-US" w:eastAsia="zh-CN"/>
        </w:rPr>
        <w:t>20</w:t>
      </w:r>
      <w:r>
        <w:rPr>
          <w:rFonts w:hint="eastAsia" w:ascii="方正仿宋_GBK" w:hAnsi="方正仿宋_GBK" w:eastAsia="方正仿宋_GBK" w:cs="方正仿宋_GBK"/>
          <w:color w:val="auto"/>
          <w:kern w:val="0"/>
          <w:sz w:val="32"/>
          <w:szCs w:val="32"/>
          <w:shd w:val="clear" w:fill="FFFFFF"/>
        </w:rPr>
        <w:t>项，涉及资金</w:t>
      </w:r>
      <w:r>
        <w:rPr>
          <w:rFonts w:hint="default" w:ascii="Times New Roman" w:hAnsi="Times New Roman" w:eastAsia="方正仿宋_GBK" w:cs="Times New Roman"/>
          <w:color w:val="auto"/>
          <w:kern w:val="0"/>
          <w:sz w:val="32"/>
          <w:szCs w:val="32"/>
          <w:shd w:val="clear" w:fill="FFFFFF"/>
          <w:lang w:val="en-US" w:eastAsia="zh-CN"/>
        </w:rPr>
        <w:t>35,268.62</w:t>
      </w:r>
      <w:r>
        <w:rPr>
          <w:rFonts w:hint="eastAsia" w:ascii="方正仿宋_GBK" w:hAnsi="方正仿宋_GBK" w:eastAsia="方正仿宋_GBK" w:cs="方正仿宋_GBK"/>
          <w:color w:val="auto"/>
          <w:kern w:val="0"/>
          <w:sz w:val="32"/>
          <w:szCs w:val="32"/>
          <w:shd w:val="clear" w:fill="FFFFFF"/>
        </w:rPr>
        <w:t>万元；以委托第三方出具报告的方式开展绩效评价</w:t>
      </w:r>
      <w:r>
        <w:rPr>
          <w:rFonts w:hint="default" w:ascii="Times New Roman" w:hAnsi="Times New Roman" w:eastAsia="方正仿宋_GBK" w:cs="Times New Roman"/>
          <w:color w:val="auto"/>
          <w:kern w:val="0"/>
          <w:sz w:val="32"/>
          <w:szCs w:val="32"/>
          <w:shd w:val="clear" w:fill="FFFFFF"/>
          <w:lang w:val="en-US" w:eastAsia="zh-CN"/>
        </w:rPr>
        <w:t>1</w:t>
      </w:r>
      <w:r>
        <w:rPr>
          <w:rFonts w:hint="eastAsia" w:ascii="方正仿宋_GBK" w:hAnsi="方正仿宋_GBK" w:eastAsia="方正仿宋_GBK" w:cs="方正仿宋_GBK"/>
          <w:color w:val="auto"/>
          <w:kern w:val="0"/>
          <w:sz w:val="32"/>
          <w:szCs w:val="32"/>
          <w:shd w:val="clear" w:fill="FFFFFF"/>
        </w:rPr>
        <w:t>项，涉及资金</w:t>
      </w:r>
      <w:r>
        <w:rPr>
          <w:rFonts w:hint="default" w:ascii="Times New Roman" w:hAnsi="Times New Roman" w:eastAsia="方正仿宋_GBK" w:cs="Times New Roman"/>
          <w:color w:val="auto"/>
          <w:kern w:val="0"/>
          <w:sz w:val="32"/>
          <w:szCs w:val="32"/>
          <w:shd w:val="clear" w:fill="FFFFFF"/>
          <w:lang w:val="en-US" w:eastAsia="zh-CN"/>
        </w:rPr>
        <w:t>2,634.5</w:t>
      </w:r>
      <w:r>
        <w:rPr>
          <w:rFonts w:hint="eastAsia" w:ascii="Times New Roman" w:hAnsi="Times New Roman" w:eastAsia="方正仿宋_GBK" w:cs="Times New Roman"/>
          <w:color w:val="auto"/>
          <w:kern w:val="0"/>
          <w:sz w:val="32"/>
          <w:szCs w:val="32"/>
          <w:shd w:val="clear" w:fill="FFFFFF"/>
          <w:lang w:val="en-US" w:eastAsia="zh-CN"/>
        </w:rPr>
        <w:t>1</w:t>
      </w:r>
      <w:r>
        <w:rPr>
          <w:rFonts w:hint="eastAsia" w:ascii="方正仿宋_GBK" w:hAnsi="方正仿宋_GBK" w:eastAsia="方正仿宋_GBK" w:cs="方正仿宋_GBK"/>
          <w:color w:val="auto"/>
          <w:kern w:val="0"/>
          <w:sz w:val="32"/>
          <w:szCs w:val="32"/>
          <w:shd w:val="clear" w:fill="FFFFFF"/>
        </w:rPr>
        <w:t>万元。</w:t>
      </w:r>
    </w:p>
    <w:p>
      <w:pPr>
        <w:pStyle w:val="13"/>
        <w:tabs>
          <w:tab w:val="center" w:pos="4153"/>
          <w:tab w:val="left" w:pos="7275"/>
        </w:tabs>
        <w:spacing w:line="600" w:lineRule="exact"/>
        <w:ind w:firstLine="640"/>
        <w:rPr>
          <w:rFonts w:hint="eastAsia" w:ascii="方正楷体_GBK" w:hAnsi="宋体" w:eastAsia="方正楷体_GBK" w:cs="宋体"/>
          <w:kern w:val="0"/>
          <w:sz w:val="32"/>
          <w:szCs w:val="32"/>
        </w:rPr>
      </w:pPr>
      <w:r>
        <w:rPr>
          <w:rFonts w:hint="eastAsia" w:ascii="方正楷体_GBK" w:hAnsi="宋体" w:eastAsia="方正楷体_GBK" w:cs="宋体"/>
          <w:kern w:val="0"/>
          <w:sz w:val="32"/>
          <w:szCs w:val="32"/>
        </w:rPr>
        <w:t>（二）绩效自评结果</w:t>
      </w:r>
    </w:p>
    <w:p>
      <w:pPr>
        <w:pStyle w:val="13"/>
        <w:tabs>
          <w:tab w:val="center" w:pos="4153"/>
          <w:tab w:val="left" w:pos="7275"/>
        </w:tabs>
        <w:spacing w:line="600" w:lineRule="exact"/>
        <w:ind w:firstLine="640"/>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1.绩效目标自评表</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shd w:val="clear" w:fill="FFFFFF"/>
        </w:rPr>
      </w:pPr>
      <w:r>
        <w:rPr>
          <w:rStyle w:val="12"/>
          <w:rFonts w:hint="eastAsia" w:ascii="方正仿宋_GBK" w:hAnsi="方正仿宋_GBK" w:eastAsia="方正仿宋_GBK" w:cs="方正仿宋_GBK"/>
          <w:b w:val="0"/>
          <w:sz w:val="32"/>
          <w:szCs w:val="32"/>
          <w:shd w:val="clear" w:fill="FFFFFF"/>
        </w:rPr>
        <w:t>详见</w:t>
      </w:r>
      <w:r>
        <w:rPr>
          <w:rStyle w:val="12"/>
          <w:rFonts w:hint="eastAsia" w:ascii="方正仿宋_GBK" w:hAnsi="方正仿宋_GBK" w:eastAsia="方正仿宋_GBK" w:cs="方正仿宋_GBK"/>
          <w:b w:val="0"/>
          <w:sz w:val="32"/>
          <w:szCs w:val="32"/>
          <w:shd w:val="clear" w:fill="FFFFFF"/>
          <w:lang w:eastAsia="zh-CN"/>
        </w:rPr>
        <w:t>公开报</w:t>
      </w:r>
      <w:r>
        <w:rPr>
          <w:rStyle w:val="12"/>
          <w:rFonts w:hint="eastAsia" w:ascii="方正仿宋_GBK" w:hAnsi="方正仿宋_GBK" w:eastAsia="方正仿宋_GBK" w:cs="方正仿宋_GBK"/>
          <w:b w:val="0"/>
          <w:sz w:val="32"/>
          <w:szCs w:val="32"/>
          <w:shd w:val="clear" w:fill="FFFFFF"/>
        </w:rPr>
        <w:t>表。</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shd w:val="clear" w:fill="FFFFFF"/>
        </w:rPr>
      </w:pPr>
      <w:r>
        <w:rPr>
          <w:rFonts w:hint="eastAsia" w:ascii="Times New Roman" w:hAnsi="Times New Roman" w:eastAsia="方正仿宋_GBK" w:cs="宋体"/>
          <w:color w:val="000000"/>
          <w:kern w:val="0"/>
          <w:sz w:val="32"/>
          <w:szCs w:val="32"/>
          <w:lang w:val="en-US" w:eastAsia="zh-CN" w:bidi="ar-SA"/>
        </w:rPr>
        <w:t>2.</w:t>
      </w:r>
      <w:r>
        <w:rPr>
          <w:rStyle w:val="12"/>
          <w:rFonts w:hint="eastAsia" w:ascii="方正仿宋_GBK" w:hAnsi="方正仿宋_GBK" w:eastAsia="方正仿宋_GBK" w:cs="方正仿宋_GBK"/>
          <w:b w:val="0"/>
          <w:sz w:val="32"/>
          <w:szCs w:val="32"/>
          <w:shd w:val="clear" w:fill="FFFFFF"/>
        </w:rPr>
        <w:t>绩效自评报告或案例</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方正仿宋_GBK" w:hAnsi="方正仿宋_GBK" w:eastAsia="方正仿宋_GBK" w:cs="方正仿宋_GBK"/>
          <w:b w:val="0"/>
          <w:kern w:val="0"/>
          <w:sz w:val="32"/>
          <w:szCs w:val="32"/>
          <w:shd w:val="clear" w:fill="FFFFFF"/>
          <w:lang w:val="en-US" w:eastAsia="zh-CN"/>
        </w:rPr>
      </w:pPr>
      <w:r>
        <w:rPr>
          <w:rStyle w:val="12"/>
          <w:rFonts w:hint="eastAsia" w:ascii="方正仿宋_GBK" w:hAnsi="方正仿宋_GBK" w:eastAsia="方正仿宋_GBK" w:cs="方正仿宋_GBK"/>
          <w:b w:val="0"/>
          <w:sz w:val="32"/>
          <w:szCs w:val="32"/>
          <w:shd w:val="clear" w:fill="FFFFFF"/>
        </w:rPr>
        <w:t>无</w:t>
      </w:r>
      <w:r>
        <w:rPr>
          <w:rStyle w:val="12"/>
          <w:rFonts w:hint="eastAsia" w:ascii="方正仿宋_GBK" w:hAnsi="方正仿宋_GBK" w:eastAsia="方正仿宋_GBK" w:cs="方正仿宋_GBK"/>
          <w:b w:val="0"/>
          <w:sz w:val="32"/>
          <w:szCs w:val="32"/>
          <w:shd w:val="clear" w:fill="FFFFFF"/>
          <w:lang w:eastAsia="zh-CN"/>
        </w:rPr>
        <w:t>。</w:t>
      </w:r>
    </w:p>
    <w:p>
      <w:pPr>
        <w:pStyle w:val="11"/>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outlineLvl w:val="9"/>
        <w:rPr>
          <w:rStyle w:val="12"/>
          <w:rFonts w:hint="eastAsia" w:ascii="方正仿宋_GBK" w:hAnsi="方正仿宋_GBK" w:eastAsia="方正仿宋_GBK" w:cs="方正仿宋_GBK"/>
          <w:b w:val="0"/>
          <w:sz w:val="32"/>
          <w:szCs w:val="32"/>
          <w:shd w:val="clear" w:fill="FFFFFF"/>
        </w:rPr>
      </w:pPr>
      <w:r>
        <w:rPr>
          <w:rFonts w:hint="eastAsia" w:ascii="Times New Roman" w:hAnsi="Times New Roman" w:eastAsia="方正仿宋_GBK" w:cs="宋体"/>
          <w:color w:val="000000"/>
          <w:kern w:val="0"/>
          <w:sz w:val="32"/>
          <w:szCs w:val="32"/>
          <w:lang w:val="en-US" w:eastAsia="zh-CN" w:bidi="ar-SA"/>
        </w:rPr>
        <w:t>3.</w:t>
      </w:r>
      <w:r>
        <w:rPr>
          <w:rStyle w:val="12"/>
          <w:rFonts w:hint="eastAsia" w:ascii="方正仿宋_GBK" w:hAnsi="方正仿宋_GBK" w:eastAsia="方正仿宋_GBK" w:cs="方正仿宋_GBK"/>
          <w:b w:val="0"/>
          <w:sz w:val="32"/>
          <w:szCs w:val="32"/>
          <w:shd w:val="clear" w:fill="FFFFFF"/>
        </w:rPr>
        <w:t>关于绩效自评结果的说明</w:t>
      </w:r>
    </w:p>
    <w:p>
      <w:pPr>
        <w:pStyle w:val="11"/>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方正仿宋_GBK" w:hAnsi="方正仿宋_GBK" w:eastAsia="方正仿宋_GBK" w:cs="方正仿宋_GBK"/>
          <w:b w:val="0"/>
          <w:kern w:val="0"/>
          <w:sz w:val="32"/>
          <w:szCs w:val="32"/>
          <w:shd w:val="clear" w:fill="FFFFFF"/>
          <w:lang w:eastAsia="zh-CN"/>
        </w:rPr>
      </w:pPr>
      <w:r>
        <w:rPr>
          <w:rFonts w:hint="eastAsia" w:ascii="方正仿宋_GBK" w:hAnsi="方正仿宋_GBK" w:eastAsia="方正仿宋_GBK" w:cs="方正仿宋_GBK"/>
          <w:b w:val="0"/>
          <w:kern w:val="0"/>
          <w:sz w:val="32"/>
          <w:szCs w:val="32"/>
          <w:shd w:val="clear" w:fill="FFFFFF"/>
          <w:lang w:val="en-US" w:eastAsia="zh-CN"/>
        </w:rPr>
        <w:t>本年度基本公共卫生、落实计划生育政策等各项工作顺利完成，达到了年初工作计划，自评绩效目标完成度较好。</w:t>
      </w:r>
    </w:p>
    <w:p>
      <w:pPr>
        <w:pStyle w:val="13"/>
        <w:numPr>
          <w:ilvl w:val="0"/>
          <w:numId w:val="1"/>
        </w:numPr>
        <w:tabs>
          <w:tab w:val="center" w:pos="4153"/>
          <w:tab w:val="left" w:pos="7275"/>
        </w:tabs>
        <w:spacing w:line="600" w:lineRule="exact"/>
        <w:ind w:firstLine="640"/>
        <w:rPr>
          <w:rFonts w:hint="eastAsia" w:ascii="方正楷体_GBK" w:hAnsi="宋体" w:eastAsia="方正楷体_GBK" w:cs="宋体"/>
          <w:color w:val="auto"/>
          <w:kern w:val="0"/>
          <w:sz w:val="32"/>
          <w:szCs w:val="32"/>
        </w:rPr>
      </w:pPr>
      <w:r>
        <w:rPr>
          <w:rFonts w:hint="eastAsia" w:ascii="方正楷体_GBK" w:hAnsi="宋体" w:eastAsia="方正楷体_GBK" w:cs="宋体"/>
          <w:color w:val="auto"/>
          <w:kern w:val="0"/>
          <w:sz w:val="32"/>
          <w:szCs w:val="32"/>
        </w:rPr>
        <w:t>重点绩效评价结果</w:t>
      </w:r>
    </w:p>
    <w:p>
      <w:pPr>
        <w:pStyle w:val="13"/>
        <w:numPr>
          <w:ilvl w:val="0"/>
          <w:numId w:val="0"/>
        </w:numPr>
        <w:tabs>
          <w:tab w:val="center" w:pos="4153"/>
          <w:tab w:val="left" w:pos="7275"/>
        </w:tabs>
        <w:spacing w:line="600" w:lineRule="exact"/>
        <w:ind w:firstLine="640" w:firstLineChars="200"/>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区财政局委托第三方对我委2024年卫生基药补助（含村卫生室）项目开展重点绩效评价，通过查阅资料、现场检查、座谈等方式，綦江区2024年卫生基药补助（含村卫生室）重点绩效评价得分8</w:t>
      </w:r>
      <w:r>
        <w:rPr>
          <w:rFonts w:hint="default" w:ascii="Times New Roman" w:hAnsi="Times New Roman" w:eastAsia="方正仿宋_GBK" w:cs="宋体"/>
          <w:color w:val="auto"/>
          <w:kern w:val="0"/>
          <w:sz w:val="32"/>
          <w:szCs w:val="32"/>
        </w:rPr>
        <w:t>6</w:t>
      </w:r>
      <w:r>
        <w:rPr>
          <w:rFonts w:hint="eastAsia" w:ascii="Times New Roman" w:hAnsi="Times New Roman" w:eastAsia="方正仿宋_GBK" w:cs="宋体"/>
          <w:color w:val="auto"/>
          <w:kern w:val="0"/>
          <w:sz w:val="32"/>
          <w:szCs w:val="32"/>
        </w:rPr>
        <w:t>.00分，评价等级为“良”。</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六、专业名词解释</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（一）财政拨款收入</w:t>
      </w:r>
      <w:r>
        <w:rPr>
          <w:rFonts w:hint="eastAsia" w:ascii="方正仿宋_GBK" w:hAnsi="方正仿宋_GBK" w:eastAsia="方正仿宋_GBK" w:cs="方正仿宋_GBK"/>
          <w:b w:val="0"/>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（二）事业收入</w:t>
      </w:r>
      <w:r>
        <w:rPr>
          <w:rFonts w:hint="eastAsia" w:ascii="方正仿宋_GBK" w:hAnsi="方正仿宋_GBK" w:eastAsia="方正仿宋_GBK" w:cs="方正仿宋_GBK"/>
          <w:b w:val="0"/>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（三）经营收入</w:t>
      </w:r>
      <w:r>
        <w:rPr>
          <w:rFonts w:hint="eastAsia" w:ascii="方正仿宋_GBK" w:hAnsi="方正仿宋_GBK" w:eastAsia="方正仿宋_GBK" w:cs="方正仿宋_GBK"/>
          <w:b w:val="0"/>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（四）其他收入</w:t>
      </w:r>
      <w:r>
        <w:rPr>
          <w:rFonts w:hint="eastAsia" w:ascii="方正仿宋_GBK" w:hAnsi="方正仿宋_GBK" w:eastAsia="方正仿宋_GBK" w:cs="方正仿宋_GBK"/>
          <w:b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（五）使用非财政拨款结余</w:t>
      </w:r>
      <w:r>
        <w:rPr>
          <w:rFonts w:hint="eastAsia" w:ascii="方正仿宋_GBK" w:hAnsi="方正仿宋_GBK" w:eastAsia="方正仿宋_GBK" w:cs="方正仿宋_GBK"/>
          <w:b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（六）年初结转和结余</w:t>
      </w:r>
      <w:r>
        <w:rPr>
          <w:rFonts w:hint="eastAsia" w:ascii="方正仿宋_GBK" w:hAnsi="方正仿宋_GBK" w:eastAsia="方正仿宋_GBK" w:cs="方正仿宋_GBK"/>
          <w:b w:val="0"/>
          <w:kern w:val="0"/>
          <w:sz w:val="32"/>
          <w:szCs w:val="32"/>
          <w:shd w:val="clear" w:fill="FFFFFF"/>
        </w:rPr>
        <w:t>：指单位上年结转本年使用的基本支出结转、项目支出结转和结余、经营结余。</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（七）结余分配</w:t>
      </w:r>
      <w:r>
        <w:rPr>
          <w:rFonts w:hint="eastAsia" w:ascii="方正仿宋_GBK" w:hAnsi="方正仿宋_GBK" w:eastAsia="方正仿宋_GBK" w:cs="方正仿宋_GBK"/>
          <w:b w:val="0"/>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（八）年末结转和结余</w:t>
      </w:r>
      <w:r>
        <w:rPr>
          <w:rFonts w:hint="eastAsia" w:ascii="方正仿宋_GBK" w:hAnsi="方正仿宋_GBK" w:eastAsia="方正仿宋_GBK" w:cs="方正仿宋_GBK"/>
          <w:b w:val="0"/>
          <w:kern w:val="0"/>
          <w:sz w:val="32"/>
          <w:szCs w:val="32"/>
          <w:shd w:val="clear" w:fill="FFFFFF"/>
        </w:rPr>
        <w:t>：指单位结转下年的基本支出结转、项目支出结转和结余、经营结余。</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（九）基本支出</w:t>
      </w:r>
      <w:r>
        <w:rPr>
          <w:rFonts w:hint="eastAsia" w:ascii="方正仿宋_GBK" w:hAnsi="方正仿宋_GBK" w:eastAsia="方正仿宋_GBK" w:cs="方正仿宋_GBK"/>
          <w:b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（十）项目支出</w:t>
      </w:r>
      <w:r>
        <w:rPr>
          <w:rFonts w:hint="eastAsia" w:ascii="方正仿宋_GBK" w:hAnsi="方正仿宋_GBK" w:eastAsia="方正仿宋_GBK" w:cs="方正仿宋_GBK"/>
          <w:b w:val="0"/>
          <w:kern w:val="0"/>
          <w:sz w:val="32"/>
          <w:szCs w:val="32"/>
          <w:shd w:val="clear" w:fill="FFFFFF"/>
        </w:rPr>
        <w:t>：指在基本支出之外为完成特定行政任务和事业发展目标所发生的支出。</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（十一）经营支出</w:t>
      </w:r>
      <w:r>
        <w:rPr>
          <w:rFonts w:hint="eastAsia" w:ascii="方正仿宋_GBK" w:hAnsi="方正仿宋_GBK" w:eastAsia="方正仿宋_GBK" w:cs="方正仿宋_GBK"/>
          <w:b w:val="0"/>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（十二）“三公”经费</w:t>
      </w:r>
      <w:r>
        <w:rPr>
          <w:rFonts w:hint="eastAsia" w:ascii="方正仿宋_GBK" w:hAnsi="方正仿宋_GBK" w:eastAsia="方正仿宋_GBK" w:cs="方正仿宋_GBK"/>
          <w:b w:val="0"/>
          <w:kern w:val="0"/>
          <w:sz w:val="32"/>
          <w:szCs w:val="32"/>
          <w:shd w:val="clear"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（十三）机关运行经费</w:t>
      </w:r>
      <w:r>
        <w:rPr>
          <w:rFonts w:hint="eastAsia" w:ascii="方正仿宋_GBK" w:hAnsi="方正仿宋_GBK" w:eastAsia="方正仿宋_GBK" w:cs="方正仿宋_GBK"/>
          <w:b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（十四）工资福利支出（支出经济分类科目类级）</w:t>
      </w:r>
      <w:r>
        <w:rPr>
          <w:rFonts w:hint="eastAsia" w:ascii="方正仿宋_GBK" w:hAnsi="方正仿宋_GBK" w:eastAsia="方正仿宋_GBK" w:cs="方正仿宋_GBK"/>
          <w:b w:val="0"/>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（十五）商品和服务支出（支出经济分类科目类级）</w:t>
      </w:r>
      <w:r>
        <w:rPr>
          <w:rFonts w:hint="eastAsia" w:ascii="方正仿宋_GBK" w:hAnsi="方正仿宋_GBK" w:eastAsia="方正仿宋_GBK" w:cs="方正仿宋_GBK"/>
          <w:b w:val="0"/>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（十六）对个人和家庭的补助（支出经济分类科目类级）</w:t>
      </w:r>
      <w:r>
        <w:rPr>
          <w:rFonts w:hint="eastAsia" w:ascii="方正仿宋_GBK" w:hAnsi="方正仿宋_GBK" w:eastAsia="方正仿宋_GBK" w:cs="方正仿宋_GBK"/>
          <w:b w:val="0"/>
          <w:kern w:val="0"/>
          <w:sz w:val="32"/>
          <w:szCs w:val="32"/>
          <w:shd w:val="clear" w:fill="FFFFFF"/>
        </w:rPr>
        <w:t>：反映用于对个人和家庭的补助支出。</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kern w:val="0"/>
          <w:sz w:val="32"/>
          <w:szCs w:val="32"/>
        </w:rPr>
      </w:pPr>
      <w:r>
        <w:rPr>
          <w:rStyle w:val="12"/>
          <w:rFonts w:hint="eastAsia" w:ascii="方正仿宋_GBK" w:hAnsi="方正仿宋_GBK" w:eastAsia="方正仿宋_GBK" w:cs="方正仿宋_GBK"/>
          <w:b w:val="0"/>
          <w:sz w:val="32"/>
          <w:szCs w:val="32"/>
          <w:shd w:val="clear" w:fill="FFFFFF"/>
        </w:rPr>
        <w:t>（十七）其他资本性支出（支出经济分类科目类级）</w:t>
      </w:r>
      <w:r>
        <w:rPr>
          <w:rFonts w:hint="eastAsia" w:ascii="方正仿宋_GBK" w:hAnsi="方正仿宋_GBK" w:eastAsia="方正仿宋_GBK" w:cs="方正仿宋_GBK"/>
          <w:b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黑体_GBK" w:hAnsi="方正黑体_GBK" w:eastAsia="方正黑体_GBK" w:cs="方正黑体_GBK"/>
          <w:b w:val="0"/>
          <w:kern w:val="0"/>
          <w:sz w:val="32"/>
          <w:szCs w:val="32"/>
        </w:rPr>
      </w:pPr>
      <w:r>
        <w:rPr>
          <w:rStyle w:val="12"/>
          <w:rFonts w:hint="eastAsia" w:ascii="方正黑体_GBK" w:hAnsi="方正黑体_GBK" w:eastAsia="方正黑体_GBK" w:cs="方正黑体_GBK"/>
          <w:b w:val="0"/>
          <w:sz w:val="32"/>
          <w:szCs w:val="32"/>
          <w:shd w:val="clear" w:fill="FFFFFF"/>
        </w:rPr>
        <w:t>七、决算公开联系方式及信息反馈渠道</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宋体" w:hAnsi="宋体" w:eastAsia="宋体" w:cs="宋体"/>
          <w:sz w:val="21"/>
          <w:szCs w:val="21"/>
          <w:lang w:val="en-US" w:eastAsia="zh-CN"/>
        </w:rPr>
      </w:pPr>
      <w:r>
        <w:rPr>
          <w:rFonts w:hint="eastAsia" w:ascii="方正仿宋_GBK" w:hAnsi="方正仿宋_GBK" w:eastAsia="方正仿宋_GBK" w:cs="方正仿宋_GBK"/>
          <w:b w:val="0"/>
          <w:kern w:val="0"/>
          <w:sz w:val="32"/>
          <w:szCs w:val="32"/>
          <w:shd w:val="clear" w:fill="FFFFFF"/>
        </w:rPr>
        <w:t>本单位决算公开信息反馈和联系方式：</w:t>
      </w:r>
      <w:r>
        <w:rPr>
          <w:rFonts w:hint="default" w:ascii="Times New Roman" w:hAnsi="Times New Roman" w:eastAsia="方正仿宋_GBK" w:cs="Times New Roman"/>
          <w:b w:val="0"/>
          <w:kern w:val="0"/>
          <w:sz w:val="32"/>
          <w:szCs w:val="32"/>
          <w:shd w:val="clear" w:fill="FFFFFF"/>
        </w:rPr>
        <w:t>023-858950</w:t>
      </w:r>
      <w:r>
        <w:rPr>
          <w:rFonts w:hint="default" w:ascii="Times New Roman" w:hAnsi="Times New Roman" w:eastAsia="方正仿宋_GBK" w:cs="Times New Roman"/>
          <w:b w:val="0"/>
          <w:kern w:val="0"/>
          <w:sz w:val="32"/>
          <w:szCs w:val="32"/>
          <w:shd w:val="clear" w:fill="FFFFFF"/>
          <w:lang w:val="en-US" w:eastAsia="zh-CN"/>
        </w:rPr>
        <w:t>30</w:t>
      </w:r>
    </w:p>
    <w:sectPr>
      <w:headerReference r:id="rId3" w:type="default"/>
      <w:footerReference r:id="rId4" w:type="default"/>
      <w:pgSz w:w="11905" w:h="16838"/>
      <w:pgMar w:top="2098" w:right="1474" w:bottom="1984" w:left="1587" w:header="850" w:footer="1474" w:gutter="0"/>
      <w:pgNumType w:fmt="numberInDash"/>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07B86E"/>
    <w:multiLevelType w:val="singleLevel"/>
    <w:tmpl w:val="9D07B86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3373D2"/>
    <w:rsid w:val="01474EBF"/>
    <w:rsid w:val="01F3521E"/>
    <w:rsid w:val="02A13D6F"/>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009D"/>
    <w:rsid w:val="0DDA54E4"/>
    <w:rsid w:val="0E3A5F83"/>
    <w:rsid w:val="0E9478E1"/>
    <w:rsid w:val="0F4D7576"/>
    <w:rsid w:val="0F836721"/>
    <w:rsid w:val="103645A3"/>
    <w:rsid w:val="107B59E5"/>
    <w:rsid w:val="10AA219D"/>
    <w:rsid w:val="11003CB0"/>
    <w:rsid w:val="11124E18"/>
    <w:rsid w:val="111445C7"/>
    <w:rsid w:val="1158083A"/>
    <w:rsid w:val="11C14B23"/>
    <w:rsid w:val="11F03528"/>
    <w:rsid w:val="12C20AEA"/>
    <w:rsid w:val="12C921C4"/>
    <w:rsid w:val="12DA353E"/>
    <w:rsid w:val="13427650"/>
    <w:rsid w:val="13850DCB"/>
    <w:rsid w:val="13871C70"/>
    <w:rsid w:val="13A71CB4"/>
    <w:rsid w:val="13AF1D43"/>
    <w:rsid w:val="13CE1647"/>
    <w:rsid w:val="14200702"/>
    <w:rsid w:val="144F3F11"/>
    <w:rsid w:val="14B7244B"/>
    <w:rsid w:val="1580711B"/>
    <w:rsid w:val="15F25AED"/>
    <w:rsid w:val="16D80EBF"/>
    <w:rsid w:val="189B0D0B"/>
    <w:rsid w:val="18E03A42"/>
    <w:rsid w:val="19313430"/>
    <w:rsid w:val="194A1770"/>
    <w:rsid w:val="19B906A4"/>
    <w:rsid w:val="19BC4734"/>
    <w:rsid w:val="1A1F744B"/>
    <w:rsid w:val="1AB10093"/>
    <w:rsid w:val="1B501DE7"/>
    <w:rsid w:val="1B6F15B6"/>
    <w:rsid w:val="1BAA2EDC"/>
    <w:rsid w:val="1C8E0EA1"/>
    <w:rsid w:val="1CE157EE"/>
    <w:rsid w:val="1D014A01"/>
    <w:rsid w:val="1D022362"/>
    <w:rsid w:val="1D091B60"/>
    <w:rsid w:val="1D186165"/>
    <w:rsid w:val="1D35532F"/>
    <w:rsid w:val="1D794AE5"/>
    <w:rsid w:val="1DD26311"/>
    <w:rsid w:val="1DE57DAF"/>
    <w:rsid w:val="1EF67CA4"/>
    <w:rsid w:val="1F0852BC"/>
    <w:rsid w:val="1F213FD9"/>
    <w:rsid w:val="1F9A22B8"/>
    <w:rsid w:val="1FCD26AF"/>
    <w:rsid w:val="20642787"/>
    <w:rsid w:val="20C77B1F"/>
    <w:rsid w:val="20C83310"/>
    <w:rsid w:val="20EC77A3"/>
    <w:rsid w:val="21556F04"/>
    <w:rsid w:val="22403BD3"/>
    <w:rsid w:val="244D66E1"/>
    <w:rsid w:val="24B92327"/>
    <w:rsid w:val="2533755C"/>
    <w:rsid w:val="261D60A0"/>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316058"/>
    <w:rsid w:val="2B8209DE"/>
    <w:rsid w:val="2C6762A3"/>
    <w:rsid w:val="2D5F4C37"/>
    <w:rsid w:val="2FE029D7"/>
    <w:rsid w:val="2FF06E00"/>
    <w:rsid w:val="313208C1"/>
    <w:rsid w:val="315F0B22"/>
    <w:rsid w:val="31BE24D6"/>
    <w:rsid w:val="31D84415"/>
    <w:rsid w:val="32285F6F"/>
    <w:rsid w:val="32770556"/>
    <w:rsid w:val="329C0913"/>
    <w:rsid w:val="32A978B1"/>
    <w:rsid w:val="3337290D"/>
    <w:rsid w:val="33A256A0"/>
    <w:rsid w:val="33D10F4A"/>
    <w:rsid w:val="352930DB"/>
    <w:rsid w:val="35573069"/>
    <w:rsid w:val="358C217E"/>
    <w:rsid w:val="359E7284"/>
    <w:rsid w:val="359F188C"/>
    <w:rsid w:val="36C9128A"/>
    <w:rsid w:val="37127F42"/>
    <w:rsid w:val="37841E99"/>
    <w:rsid w:val="379C594F"/>
    <w:rsid w:val="37BF1123"/>
    <w:rsid w:val="37C85E36"/>
    <w:rsid w:val="38BE4696"/>
    <w:rsid w:val="39B82A39"/>
    <w:rsid w:val="39F33306"/>
    <w:rsid w:val="3B1705E5"/>
    <w:rsid w:val="3B18334B"/>
    <w:rsid w:val="3B36794F"/>
    <w:rsid w:val="3B544954"/>
    <w:rsid w:val="3B793FF0"/>
    <w:rsid w:val="3B8E2668"/>
    <w:rsid w:val="3B97076E"/>
    <w:rsid w:val="3C5A5928"/>
    <w:rsid w:val="3C6A5B02"/>
    <w:rsid w:val="3D2757A1"/>
    <w:rsid w:val="3D3D4FC4"/>
    <w:rsid w:val="3D5E0A59"/>
    <w:rsid w:val="3DDF3AB1"/>
    <w:rsid w:val="3DE60B7E"/>
    <w:rsid w:val="3E1D0952"/>
    <w:rsid w:val="3E42660A"/>
    <w:rsid w:val="3E7555B1"/>
    <w:rsid w:val="3EA72472"/>
    <w:rsid w:val="3EDE1208"/>
    <w:rsid w:val="3EEC1A09"/>
    <w:rsid w:val="3F0527E5"/>
    <w:rsid w:val="3F16459E"/>
    <w:rsid w:val="4004000C"/>
    <w:rsid w:val="411B6CE5"/>
    <w:rsid w:val="412070D7"/>
    <w:rsid w:val="41314E40"/>
    <w:rsid w:val="415C674B"/>
    <w:rsid w:val="42603207"/>
    <w:rsid w:val="426C1EA8"/>
    <w:rsid w:val="42E86A87"/>
    <w:rsid w:val="43136432"/>
    <w:rsid w:val="438440A6"/>
    <w:rsid w:val="443A3B12"/>
    <w:rsid w:val="44487B36"/>
    <w:rsid w:val="44EF6BE8"/>
    <w:rsid w:val="45307DAA"/>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205362"/>
    <w:rsid w:val="4DAC4ACA"/>
    <w:rsid w:val="4DD06F63"/>
    <w:rsid w:val="4E043596"/>
    <w:rsid w:val="4EA8523F"/>
    <w:rsid w:val="4F051459"/>
    <w:rsid w:val="4F186D58"/>
    <w:rsid w:val="4F224836"/>
    <w:rsid w:val="5024304D"/>
    <w:rsid w:val="51760217"/>
    <w:rsid w:val="51E36677"/>
    <w:rsid w:val="522F6E0C"/>
    <w:rsid w:val="52463BA1"/>
    <w:rsid w:val="529F078E"/>
    <w:rsid w:val="52CF6DED"/>
    <w:rsid w:val="53716054"/>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5FDE4151"/>
    <w:rsid w:val="5FEB1551"/>
    <w:rsid w:val="601C34ED"/>
    <w:rsid w:val="60A511FB"/>
    <w:rsid w:val="61025A59"/>
    <w:rsid w:val="613D5BBC"/>
    <w:rsid w:val="61536C39"/>
    <w:rsid w:val="616D60F9"/>
    <w:rsid w:val="620B0A5C"/>
    <w:rsid w:val="62944DD7"/>
    <w:rsid w:val="6301298C"/>
    <w:rsid w:val="63497036"/>
    <w:rsid w:val="63C1619B"/>
    <w:rsid w:val="63C25DC5"/>
    <w:rsid w:val="63C62057"/>
    <w:rsid w:val="63C73832"/>
    <w:rsid w:val="64192A39"/>
    <w:rsid w:val="64FB113D"/>
    <w:rsid w:val="6544377C"/>
    <w:rsid w:val="655F5939"/>
    <w:rsid w:val="656152C6"/>
    <w:rsid w:val="6584099E"/>
    <w:rsid w:val="6587477F"/>
    <w:rsid w:val="658C3A08"/>
    <w:rsid w:val="65C031CA"/>
    <w:rsid w:val="65CE6852"/>
    <w:rsid w:val="65F004F9"/>
    <w:rsid w:val="66267C04"/>
    <w:rsid w:val="663F505A"/>
    <w:rsid w:val="667F2393"/>
    <w:rsid w:val="66EE5541"/>
    <w:rsid w:val="67086152"/>
    <w:rsid w:val="687E45FE"/>
    <w:rsid w:val="68F64474"/>
    <w:rsid w:val="692172FD"/>
    <w:rsid w:val="6A3829EE"/>
    <w:rsid w:val="6A924CB7"/>
    <w:rsid w:val="6AE0292E"/>
    <w:rsid w:val="6B2F2F63"/>
    <w:rsid w:val="6B474EF5"/>
    <w:rsid w:val="6B5E1E91"/>
    <w:rsid w:val="6BC27679"/>
    <w:rsid w:val="6BC54EFE"/>
    <w:rsid w:val="6C560CAE"/>
    <w:rsid w:val="6CC3103F"/>
    <w:rsid w:val="6CD15296"/>
    <w:rsid w:val="6D903FF5"/>
    <w:rsid w:val="6DA955B8"/>
    <w:rsid w:val="6DE346AB"/>
    <w:rsid w:val="6E850280"/>
    <w:rsid w:val="6F4545A6"/>
    <w:rsid w:val="6F706F63"/>
    <w:rsid w:val="6FFB2E76"/>
    <w:rsid w:val="70AB70D6"/>
    <w:rsid w:val="70DE5507"/>
    <w:rsid w:val="70EE6DEC"/>
    <w:rsid w:val="71C34D91"/>
    <w:rsid w:val="71ED38AA"/>
    <w:rsid w:val="72DB435C"/>
    <w:rsid w:val="74520254"/>
    <w:rsid w:val="747444CD"/>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BFA438"/>
    <w:rsid w:val="7CE56AF6"/>
    <w:rsid w:val="7CF02E5B"/>
    <w:rsid w:val="7D213FB2"/>
    <w:rsid w:val="7D344D69"/>
    <w:rsid w:val="7E1B415C"/>
    <w:rsid w:val="7FF723E4"/>
    <w:rsid w:val="BDFE15FC"/>
    <w:rsid w:val="FD779B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2">
    <w:name w:val="15"/>
    <w:basedOn w:val="8"/>
    <w:qFormat/>
    <w:uiPriority w:val="0"/>
    <w:rPr>
      <w:rFonts w:hint="default" w:ascii="Times New Roman" w:hAnsi="Times New Roman" w:cs="Times New Roman"/>
      <w:b/>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7711</Words>
  <Characters>21008</Characters>
  <Lines>161</Lines>
  <Paragraphs>45</Paragraphs>
  <TotalTime>1</TotalTime>
  <ScaleCrop>false</ScaleCrop>
  <LinksUpToDate>false</LinksUpToDate>
  <CharactersWithSpaces>21460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Administrator</cp:lastModifiedBy>
  <dcterms:modified xsi:type="dcterms:W3CDTF">2025-10-20T09:40:43Z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