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重庆市綦江区东溪镇中心卫生院</w:t>
      </w:r>
    </w:p>
    <w:p>
      <w:pPr>
        <w:pStyle w:val="4"/>
        <w:keepNext w:val="0"/>
        <w:keepLines w:val="0"/>
        <w:pageBreakBefore w:val="0"/>
        <w:kinsoku/>
        <w:wordWrap/>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w:t>
      </w:r>
      <w:r>
        <w:rPr>
          <w:rFonts w:hint="default" w:ascii="方正小标宋_GBK" w:hAnsi="方正小标宋_GBK" w:eastAsia="方正小标宋_GBK" w:cs="方正小标宋_GBK"/>
          <w:sz w:val="44"/>
          <w:szCs w:val="44"/>
          <w:shd w:val="clear" w:color="auto" w:fill="FFFFFF"/>
        </w:rPr>
        <w:t>4</w:t>
      </w:r>
      <w:r>
        <w:rPr>
          <w:rFonts w:ascii="方正小标宋_GBK" w:hAnsi="方正小标宋_GBK" w:eastAsia="方正小标宋_GBK" w:cs="方正小标宋_GBK"/>
          <w:sz w:val="44"/>
          <w:szCs w:val="44"/>
          <w:shd w:val="clear" w:color="auto" w:fill="FFFFFF"/>
        </w:rPr>
        <w:t>年度决算情况说明</w:t>
      </w:r>
    </w:p>
    <w:p>
      <w:pPr>
        <w:pStyle w:val="4"/>
        <w:keepNext w:val="0"/>
        <w:keepLines w:val="0"/>
        <w:pageBreakBefore w:val="0"/>
        <w:shd w:val="clear" w:color="auto" w:fill="FFFFFF"/>
        <w:kinsoku/>
        <w:wordWrap/>
        <w:topLinePunct w:val="0"/>
        <w:autoSpaceDN/>
        <w:bidi w:val="0"/>
        <w:adjustRightInd/>
        <w:spacing w:before="0" w:beforeAutospacing="0" w:after="0" w:afterAutospacing="0" w:line="560" w:lineRule="exact"/>
        <w:textAlignment w:val="auto"/>
        <w:rPr>
          <w:rFonts w:hint="default" w:ascii="方正黑体_GBK" w:hAnsi="方正黑体_GBK" w:eastAsia="方正黑体_GBK" w:cs="方正黑体_GBK"/>
          <w:bCs/>
          <w:sz w:val="32"/>
          <w:szCs w:val="32"/>
        </w:rPr>
      </w:pPr>
      <w:r>
        <w:rPr>
          <w:rStyle w:val="7"/>
          <w:rFonts w:ascii="方正黑体_GBK" w:hAnsi="方正黑体_GBK" w:eastAsia="方正黑体_GBK" w:cs="方正黑体_GBK"/>
          <w:bCs/>
          <w:sz w:val="32"/>
          <w:szCs w:val="32"/>
          <w:shd w:val="clear" w:color="auto" w:fill="FFFFFF"/>
        </w:rPr>
        <w:t>一、单位基本情况</w:t>
      </w:r>
    </w:p>
    <w:p>
      <w:pPr>
        <w:pStyle w:val="4"/>
        <w:keepNext w:val="0"/>
        <w:keepLines w:val="0"/>
        <w:pageBreakBefore w:val="0"/>
        <w:shd w:val="clear" w:color="auto" w:fill="FFFFFF"/>
        <w:kinsoku/>
        <w:wordWrap/>
        <w:topLinePunct w:val="0"/>
        <w:autoSpaceDN/>
        <w:bidi w:val="0"/>
        <w:adjustRightInd/>
        <w:spacing w:before="0" w:beforeAutospacing="0" w:after="0" w:afterAutospacing="0" w:line="560" w:lineRule="exact"/>
        <w:ind w:firstLine="420"/>
        <w:textAlignment w:val="auto"/>
        <w:rPr>
          <w:rFonts w:hint="default" w:ascii="方正楷体_GBK" w:hAnsi="方正楷体_GBK" w:eastAsia="方正楷体_GBK" w:cs="方正楷体_GBK"/>
          <w:bCs/>
          <w:sz w:val="32"/>
          <w:szCs w:val="32"/>
        </w:rPr>
      </w:pPr>
      <w:r>
        <w:rPr>
          <w:rStyle w:val="7"/>
          <w:rFonts w:ascii="方正楷体_GBK" w:hAnsi="方正楷体_GBK" w:eastAsia="方正楷体_GBK" w:cs="方正楷体_GBK"/>
          <w:bCs/>
          <w:sz w:val="32"/>
          <w:szCs w:val="32"/>
          <w:shd w:val="clear" w:color="auto" w:fill="FFFFFF"/>
        </w:rPr>
        <w:t>（一）职能职责</w:t>
      </w:r>
    </w:p>
    <w:p>
      <w:pPr>
        <w:keepNext w:val="0"/>
        <w:keepLines w:val="0"/>
        <w:pageBreakBefore w:val="0"/>
        <w:widowControl w:val="0"/>
        <w:shd w:val="clear" w:color="auto" w:fill="FFFFFF"/>
        <w:kinsoku/>
        <w:wordWrap/>
        <w:overflowPunct w:val="0"/>
        <w:topLinePunct w:val="0"/>
        <w:autoSpaceDE w:val="0"/>
        <w:autoSpaceDN/>
        <w:bidi w:val="0"/>
        <w:adjustRightInd/>
        <w:spacing w:line="560" w:lineRule="exact"/>
        <w:ind w:firstLine="640" w:firstLineChars="200"/>
        <w:textAlignment w:val="auto"/>
        <w:rPr>
          <w:rFonts w:hint="default" w:ascii="方正仿宋_GBK" w:eastAsia="方正仿宋_GBK" w:cs="宋体"/>
          <w:color w:val="000000"/>
          <w:sz w:val="32"/>
          <w:szCs w:val="32"/>
          <w:shd w:val="clear" w:color="auto" w:fill="FFFFFF"/>
        </w:rPr>
      </w:pPr>
      <w:r>
        <w:rPr>
          <w:rFonts w:ascii="方正仿宋_GBK" w:hAnsi="方正仿宋_GBK" w:eastAsia="方正仿宋_GBK" w:cs="方正仿宋_GBK"/>
          <w:sz w:val="32"/>
          <w:szCs w:val="32"/>
          <w:shd w:val="clear" w:color="auto" w:fill="FFFFFF"/>
        </w:rPr>
        <w:t>1.</w:t>
      </w:r>
      <w:r>
        <w:rPr>
          <w:rFonts w:ascii="方正仿宋_GBK" w:hAnsi="方正仿宋_GBK" w:eastAsia="方正仿宋_GBK" w:cs="方正仿宋_GBK"/>
          <w:color w:val="000000"/>
          <w:sz w:val="32"/>
          <w:szCs w:val="32"/>
          <w:shd w:val="clear" w:color="auto" w:fill="FFFFFF"/>
        </w:rPr>
        <w:t>以维护居民健康为中心，承担区卫生行政主管部门依法委托的卫生管理职责。中心卫生院是辐射一定区域的医疗服务中心，并承担对区域内其他乡镇卫生院的技术指导工作，其规模、设备、床位、人员等配置应与其承担的任务相一致。</w:t>
      </w:r>
    </w:p>
    <w:p>
      <w:pPr>
        <w:keepNext w:val="0"/>
        <w:keepLines w:val="0"/>
        <w:pageBreakBefore w:val="0"/>
        <w:shd w:val="clear" w:color="auto" w:fill="FFFFFF"/>
        <w:kinsoku/>
        <w:wordWrap/>
        <w:overflowPunct w:val="0"/>
        <w:topLinePunct w:val="0"/>
        <w:autoSpaceDE w:val="0"/>
        <w:autoSpaceDN/>
        <w:bidi w:val="0"/>
        <w:adjustRightInd/>
        <w:spacing w:line="560" w:lineRule="exact"/>
        <w:ind w:firstLine="640" w:firstLineChars="200"/>
        <w:textAlignment w:val="auto"/>
        <w:rPr>
          <w:rFonts w:hint="default" w:ascii="方正仿宋_GBK" w:eastAsia="方正仿宋_GBK" w:cs="宋体"/>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2.应当提供包括疾病控制、妇幼保健、健康教育、残疾人康复、计划生育指导等基本公共卫生服务，协助或独立完成重大公共卫生服务项目、卫生应急等任务。</w:t>
      </w:r>
    </w:p>
    <w:p>
      <w:pPr>
        <w:keepNext w:val="0"/>
        <w:keepLines w:val="0"/>
        <w:pageBreakBefore w:val="0"/>
        <w:shd w:val="clear" w:color="auto" w:fill="FFFFFF"/>
        <w:kinsoku/>
        <w:wordWrap/>
        <w:overflowPunct w:val="0"/>
        <w:topLinePunct w:val="0"/>
        <w:autoSpaceDE w:val="0"/>
        <w:autoSpaceDN/>
        <w:bidi w:val="0"/>
        <w:adjustRightInd/>
        <w:spacing w:line="560" w:lineRule="exact"/>
        <w:ind w:firstLine="640" w:firstLineChars="200"/>
        <w:textAlignment w:val="auto"/>
        <w:rPr>
          <w:rFonts w:hint="default" w:ascii="方正仿宋_GBK" w:eastAsia="方正仿宋_GBK" w:cs="宋体"/>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3.应当使用适宜技术、设备和基本药物，开展常见病、多发病的门诊和住院诊治、院内外急救、转诊和中医药等服务。</w:t>
      </w:r>
    </w:p>
    <w:p>
      <w:pPr>
        <w:keepNext w:val="0"/>
        <w:keepLines w:val="0"/>
        <w:pageBreakBefore w:val="0"/>
        <w:shd w:val="clear" w:color="auto" w:fill="FFFFFF"/>
        <w:kinsoku/>
        <w:wordWrap/>
        <w:overflowPunct w:val="0"/>
        <w:topLinePunct w:val="0"/>
        <w:autoSpaceDE w:val="0"/>
        <w:autoSpaceDN/>
        <w:bidi w:val="0"/>
        <w:adjustRightInd/>
        <w:spacing w:line="560" w:lineRule="exact"/>
        <w:ind w:firstLine="640" w:firstLineChars="200"/>
        <w:textAlignment w:val="auto"/>
        <w:rPr>
          <w:rFonts w:hint="default" w:ascii="方正仿宋_GBK" w:eastAsia="方正仿宋_GBK" w:cs="宋体"/>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4.应当协助卫生行政主管部门做好辖区内村卫生室和诊所的管理及技术指导工作，做好医疗卫生信息统计报告工作，完整、及时、准确报告相关信息，逐步推进乡村卫生服务一体化管理。</w:t>
      </w:r>
    </w:p>
    <w:p>
      <w:pPr>
        <w:keepNext w:val="0"/>
        <w:keepLines w:val="0"/>
        <w:pageBreakBefore w:val="0"/>
        <w:kinsoku/>
        <w:wordWrap/>
        <w:topLinePunct w:val="0"/>
        <w:autoSpaceDN/>
        <w:bidi w:val="0"/>
        <w:adjustRightInd/>
        <w:spacing w:line="560" w:lineRule="exact"/>
        <w:ind w:firstLine="640" w:firstLineChars="200"/>
        <w:textAlignment w:val="auto"/>
        <w:rPr>
          <w:rFonts w:hint="default"/>
        </w:rPr>
      </w:pPr>
      <w:r>
        <w:rPr>
          <w:rFonts w:ascii="方正仿宋_GBK" w:hAnsi="方正仿宋_GBK" w:eastAsia="方正仿宋_GBK" w:cs="方正仿宋_GBK"/>
          <w:color w:val="000000"/>
          <w:sz w:val="32"/>
          <w:szCs w:val="32"/>
        </w:rPr>
        <w:t>5.应当协助乡镇人民政府制定、实施农村基本医疗卫生保健规划，开展爱国卫生工作。</w:t>
      </w:r>
    </w:p>
    <w:p>
      <w:pPr>
        <w:pStyle w:val="4"/>
        <w:keepNext w:val="0"/>
        <w:keepLines w:val="0"/>
        <w:pageBreakBefore w:val="0"/>
        <w:shd w:val="clear" w:color="auto" w:fill="FFFFFF"/>
        <w:kinsoku/>
        <w:wordWrap/>
        <w:topLinePunct w:val="0"/>
        <w:autoSpaceDN/>
        <w:bidi w:val="0"/>
        <w:adjustRightInd/>
        <w:spacing w:beforeAutospacing="0" w:after="0" w:afterAutospacing="0" w:line="560" w:lineRule="exact"/>
        <w:ind w:firstLine="420"/>
        <w:textAlignment w:val="auto"/>
        <w:rPr>
          <w:rStyle w:val="7"/>
          <w:rFonts w:hint="default" w:ascii="方正楷体_GBK" w:hAnsi="方正楷体_GBK" w:eastAsia="方正楷体_GBK" w:cs="方正楷体_GBK"/>
          <w:b w:val="0"/>
          <w:bCs/>
          <w:sz w:val="32"/>
          <w:szCs w:val="32"/>
          <w:shd w:val="clear" w:color="auto" w:fill="FFFFFF"/>
        </w:rPr>
      </w:pPr>
      <w:r>
        <w:rPr>
          <w:rStyle w:val="7"/>
          <w:rFonts w:ascii="方正楷体_GBK" w:hAnsi="方正楷体_GBK" w:eastAsia="方正楷体_GBK" w:cs="方正楷体_GBK"/>
          <w:bCs/>
          <w:sz w:val="32"/>
          <w:szCs w:val="32"/>
          <w:shd w:val="clear" w:color="auto" w:fill="FFFFFF"/>
        </w:rPr>
        <w:t>（二）机构设置</w:t>
      </w:r>
    </w:p>
    <w:p>
      <w:pPr>
        <w:keepNext w:val="0"/>
        <w:keepLines w:val="0"/>
        <w:pageBreakBefore w:val="0"/>
        <w:widowControl w:val="0"/>
        <w:kinsoku/>
        <w:wordWrap/>
        <w:topLinePunct w:val="0"/>
        <w:autoSpaceDN/>
        <w:bidi w:val="0"/>
        <w:adjustRightInd/>
        <w:spacing w:line="560" w:lineRule="exact"/>
        <w:ind w:firstLine="640" w:firstLineChars="200"/>
        <w:textAlignment w:val="auto"/>
        <w:rPr>
          <w:rFonts w:hint="default" w:ascii="Times New Roman" w:hAnsi="Times New Roman" w:eastAsia="方正仿宋_GBK"/>
          <w:color w:val="000000"/>
          <w:sz w:val="32"/>
          <w:szCs w:val="32"/>
        </w:rPr>
      </w:pPr>
      <w:r>
        <w:rPr>
          <w:rFonts w:ascii="方正仿宋_GBK" w:hAnsi="方正仿宋_GBK" w:eastAsia="方正仿宋_GBK" w:cs="方正仿宋_GBK"/>
          <w:color w:val="000000"/>
          <w:sz w:val="32"/>
          <w:szCs w:val="32"/>
        </w:rPr>
        <w:t>1.职能科室（10个）</w:t>
      </w:r>
      <w:r>
        <w:rPr>
          <w:rFonts w:ascii="方正仿宋_GBK" w:hAnsi="方正仿宋_GBK" w:eastAsia="方正仿宋_GBK" w:cs="方正仿宋_GBK"/>
          <w:b/>
          <w:bCs/>
          <w:color w:val="000000"/>
          <w:sz w:val="32"/>
          <w:szCs w:val="32"/>
        </w:rPr>
        <w:t>：</w:t>
      </w:r>
      <w:r>
        <w:rPr>
          <w:rFonts w:hint="default" w:ascii="Times New Roman" w:hAnsi="Times New Roman" w:eastAsia="方正仿宋_GBK"/>
          <w:color w:val="000000"/>
          <w:sz w:val="32"/>
          <w:szCs w:val="32"/>
        </w:rPr>
        <w:t>党政办、质管办（兼考核办）、内控办（兼运管办）、医务科、护理与院感科、药械科、人事科（兼科教科）、财务资产科、总务科、公共卫生管理科。</w:t>
      </w:r>
    </w:p>
    <w:p>
      <w:pPr>
        <w:keepNext w:val="0"/>
        <w:keepLines w:val="0"/>
        <w:pageBreakBefore w:val="0"/>
        <w:widowControl w:val="0"/>
        <w:kinsoku/>
        <w:wordWrap/>
        <w:topLinePunct w:val="0"/>
        <w:autoSpaceDN/>
        <w:bidi w:val="0"/>
        <w:adjustRightInd/>
        <w:spacing w:line="560" w:lineRule="exact"/>
        <w:ind w:firstLine="640" w:firstLineChars="200"/>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部分职能科室下设二级科室：党政办下设党群办、行政办；医务科下设应急办、医保科</w:t>
      </w:r>
      <w:r>
        <w:rPr>
          <w:rFonts w:ascii="Times New Roman" w:hAnsi="Times New Roman" w:eastAsia="方正仿宋_GBK"/>
          <w:color w:val="000000"/>
          <w:sz w:val="32"/>
          <w:szCs w:val="32"/>
        </w:rPr>
        <w:t>、病</w:t>
      </w:r>
      <w:r>
        <w:rPr>
          <w:rFonts w:eastAsia="方正仿宋_GBK"/>
          <w:color w:val="000000"/>
          <w:sz w:val="32"/>
          <w:szCs w:val="32"/>
        </w:rPr>
        <w:t>案</w:t>
      </w:r>
      <w:r>
        <w:rPr>
          <w:rFonts w:ascii="Times New Roman" w:hAnsi="Times New Roman" w:eastAsia="方正仿宋_GBK"/>
          <w:color w:val="000000"/>
          <w:sz w:val="32"/>
          <w:szCs w:val="32"/>
        </w:rPr>
        <w:t>管理科</w:t>
      </w:r>
      <w:r>
        <w:rPr>
          <w:rFonts w:hint="default" w:ascii="Times New Roman" w:hAnsi="Times New Roman" w:eastAsia="方正仿宋_GBK"/>
          <w:color w:val="000000"/>
          <w:sz w:val="32"/>
          <w:szCs w:val="32"/>
        </w:rPr>
        <w:t>；总务科下设信息科；公共卫生管理科下设健教办</w:t>
      </w:r>
      <w:r>
        <w:rPr>
          <w:rFonts w:ascii="Times New Roman" w:hAnsi="Times New Roman" w:eastAsia="方正仿宋_GBK"/>
          <w:color w:val="000000"/>
          <w:sz w:val="32"/>
          <w:szCs w:val="32"/>
        </w:rPr>
        <w:t>；</w:t>
      </w:r>
      <w:r>
        <w:rPr>
          <w:rFonts w:hint="default" w:ascii="Times New Roman" w:hAnsi="Times New Roman" w:eastAsia="方正仿宋_GBK"/>
          <w:color w:val="000000"/>
          <w:sz w:val="32"/>
          <w:szCs w:val="32"/>
        </w:rPr>
        <w:t>护理与院感科</w:t>
      </w:r>
      <w:r>
        <w:rPr>
          <w:rFonts w:ascii="Times New Roman" w:hAnsi="Times New Roman" w:eastAsia="方正仿宋_GBK"/>
          <w:color w:val="000000"/>
          <w:sz w:val="32"/>
          <w:szCs w:val="32"/>
        </w:rPr>
        <w:t>下设护理部、院感科。</w:t>
      </w:r>
    </w:p>
    <w:p>
      <w:pPr>
        <w:keepNext w:val="0"/>
        <w:keepLines w:val="0"/>
        <w:pageBreakBefore w:val="0"/>
        <w:widowControl w:val="0"/>
        <w:kinsoku/>
        <w:wordWrap/>
        <w:topLinePunct w:val="0"/>
        <w:autoSpaceDN/>
        <w:bidi w:val="0"/>
        <w:adjustRightInd/>
        <w:spacing w:line="560" w:lineRule="exact"/>
        <w:ind w:firstLine="640" w:firstLineChars="200"/>
        <w:textAlignment w:val="auto"/>
        <w:rPr>
          <w:rFonts w:hint="default" w:ascii="Times New Roman" w:hAnsi="Times New Roman" w:eastAsia="方正仿宋_GBK"/>
          <w:sz w:val="32"/>
          <w:szCs w:val="32"/>
        </w:rPr>
      </w:pPr>
      <w:r>
        <w:rPr>
          <w:rFonts w:ascii="方正仿宋_GBK" w:hAnsi="方正仿宋_GBK" w:eastAsia="方正仿宋_GBK" w:cs="方正仿宋_GBK"/>
          <w:color w:val="000000"/>
          <w:sz w:val="32"/>
          <w:szCs w:val="32"/>
        </w:rPr>
        <w:t>2.临床科室（11个）：</w:t>
      </w:r>
      <w:r>
        <w:rPr>
          <w:rFonts w:hint="default" w:ascii="Times New Roman" w:hAnsi="Times New Roman" w:eastAsia="方正仿宋_GBK"/>
          <w:color w:val="000000"/>
          <w:sz w:val="32"/>
          <w:szCs w:val="32"/>
        </w:rPr>
        <w:t>内科、外科、妇产科（妇幼健康部）、全科医学科（全科医学部）、中医科（中医馆）、康复科、急诊</w:t>
      </w:r>
      <w:r>
        <w:rPr>
          <w:rFonts w:ascii="Times New Roman" w:hAnsi="Times New Roman" w:eastAsia="方正仿宋_GBK"/>
          <w:color w:val="000000"/>
          <w:sz w:val="32"/>
          <w:szCs w:val="32"/>
        </w:rPr>
        <w:t>科、</w:t>
      </w:r>
      <w:r>
        <w:rPr>
          <w:rFonts w:hint="default" w:ascii="Times New Roman" w:hAnsi="Times New Roman" w:eastAsia="方正仿宋_GBK"/>
          <w:color w:val="000000"/>
          <w:sz w:val="32"/>
          <w:szCs w:val="32"/>
        </w:rPr>
        <w:t>麻醉科、心理科、口腔科</w:t>
      </w:r>
      <w:r>
        <w:rPr>
          <w:rFonts w:ascii="Times New Roman" w:hAnsi="Times New Roman" w:eastAsia="方正仿宋_GBK"/>
          <w:color w:val="000000"/>
          <w:sz w:val="32"/>
          <w:szCs w:val="32"/>
        </w:rPr>
        <w:t>、</w:t>
      </w:r>
      <w:r>
        <w:rPr>
          <w:rFonts w:ascii="Times New Roman" w:hAnsi="Times New Roman" w:eastAsia="方正仿宋_GBK"/>
          <w:sz w:val="32"/>
          <w:szCs w:val="32"/>
        </w:rPr>
        <w:t>五官科</w:t>
      </w:r>
      <w:r>
        <w:rPr>
          <w:rFonts w:hint="default" w:ascii="Times New Roman" w:hAnsi="Times New Roman" w:eastAsia="方正仿宋_GBK"/>
          <w:sz w:val="32"/>
          <w:szCs w:val="32"/>
        </w:rPr>
        <w:t>。</w:t>
      </w:r>
    </w:p>
    <w:p>
      <w:pPr>
        <w:keepNext w:val="0"/>
        <w:keepLines w:val="0"/>
        <w:pageBreakBefore w:val="0"/>
        <w:widowControl w:val="0"/>
        <w:kinsoku/>
        <w:wordWrap/>
        <w:topLinePunct w:val="0"/>
        <w:autoSpaceDN/>
        <w:bidi w:val="0"/>
        <w:adjustRightInd/>
        <w:spacing w:line="56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部分临床科室下设二级科室：内科下设</w:t>
      </w:r>
      <w:r>
        <w:rPr>
          <w:rFonts w:ascii="Times New Roman" w:hAnsi="Times New Roman" w:eastAsia="方正仿宋_GBK"/>
          <w:sz w:val="32"/>
          <w:szCs w:val="32"/>
        </w:rPr>
        <w:t>内儿科、血液净化科</w:t>
      </w:r>
      <w:r>
        <w:rPr>
          <w:rFonts w:hint="default" w:ascii="Times New Roman" w:hAnsi="Times New Roman" w:eastAsia="方正仿宋_GBK"/>
          <w:sz w:val="32"/>
          <w:szCs w:val="32"/>
        </w:rPr>
        <w:t>和特检科；外科下设</w:t>
      </w:r>
      <w:r>
        <w:rPr>
          <w:rFonts w:ascii="Times New Roman" w:hAnsi="Times New Roman" w:eastAsia="方正仿宋_GBK"/>
          <w:sz w:val="32"/>
          <w:szCs w:val="32"/>
        </w:rPr>
        <w:t>碎石</w:t>
      </w:r>
      <w:r>
        <w:rPr>
          <w:rFonts w:hint="default" w:ascii="Times New Roman" w:hAnsi="Times New Roman" w:eastAsia="方正仿宋_GBK"/>
          <w:sz w:val="32"/>
          <w:szCs w:val="32"/>
        </w:rPr>
        <w:t>科；中医科下设中医内科、中医康复科和中医儿科</w:t>
      </w:r>
      <w:r>
        <w:rPr>
          <w:rFonts w:ascii="Times New Roman" w:hAnsi="Times New Roman" w:eastAsia="方正仿宋_GBK"/>
          <w:sz w:val="32"/>
          <w:szCs w:val="32"/>
        </w:rPr>
        <w:t>；妇产科下设妇女保健科、孕产妇保健科和儿童保健科</w:t>
      </w:r>
      <w:r>
        <w:rPr>
          <w:rFonts w:hint="default" w:ascii="Times New Roman" w:hAnsi="Times New Roman" w:eastAsia="方正仿宋_GBK"/>
          <w:sz w:val="32"/>
          <w:szCs w:val="32"/>
        </w:rPr>
        <w:t>。</w:t>
      </w:r>
    </w:p>
    <w:p>
      <w:pPr>
        <w:keepNext w:val="0"/>
        <w:keepLines w:val="0"/>
        <w:pageBreakBefore w:val="0"/>
        <w:widowControl w:val="0"/>
        <w:kinsoku/>
        <w:wordWrap/>
        <w:topLinePunct w:val="0"/>
        <w:autoSpaceDN/>
        <w:bidi w:val="0"/>
        <w:adjustRightInd/>
        <w:spacing w:line="560" w:lineRule="exact"/>
        <w:ind w:firstLine="640" w:firstLineChars="200"/>
        <w:textAlignment w:val="auto"/>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3.医技科室（3个）：超声心电科、放射科、检验科。　</w:t>
      </w:r>
    </w:p>
    <w:p>
      <w:pPr>
        <w:pStyle w:val="11"/>
        <w:keepNext w:val="0"/>
        <w:keepLines w:val="0"/>
        <w:pageBreakBefore w:val="0"/>
        <w:kinsoku/>
        <w:wordWrap/>
        <w:overflowPunct w:val="0"/>
        <w:topLinePunct w:val="0"/>
        <w:autoSpaceDE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color w:val="000000"/>
          <w:sz w:val="32"/>
          <w:szCs w:val="32"/>
        </w:rPr>
      </w:pPr>
      <w:r>
        <w:rPr>
          <w:rFonts w:hint="eastAsia" w:ascii="方正仿宋_GBK" w:hAnsi="方正仿宋_GBK" w:eastAsia="方正仿宋_GBK" w:cs="方正仿宋_GBK"/>
          <w:color w:val="000000"/>
          <w:sz w:val="32"/>
          <w:szCs w:val="32"/>
        </w:rPr>
        <w:t>4.归口管理：</w:t>
      </w:r>
      <w:r>
        <w:rPr>
          <w:rFonts w:ascii="Times New Roman" w:hAnsi="Times New Roman" w:eastAsia="方正仿宋_GBK"/>
          <w:color w:val="000000"/>
          <w:sz w:val="32"/>
          <w:szCs w:val="32"/>
        </w:rPr>
        <w:t>医技科室和口腔科归入门诊部管理；心理科</w:t>
      </w:r>
      <w:r>
        <w:rPr>
          <w:rFonts w:hint="eastAsia" w:ascii="Times New Roman" w:hAnsi="Times New Roman" w:eastAsia="方正仿宋_GBK"/>
          <w:color w:val="000000"/>
          <w:sz w:val="32"/>
          <w:szCs w:val="32"/>
        </w:rPr>
        <w:t>归入内科管理；</w:t>
      </w:r>
      <w:r>
        <w:rPr>
          <w:rFonts w:ascii="Times New Roman" w:hAnsi="Times New Roman" w:eastAsia="方正仿宋_GBK"/>
          <w:color w:val="000000"/>
          <w:sz w:val="32"/>
          <w:szCs w:val="32"/>
        </w:rPr>
        <w:t>中西药房归入药械科管理；收费室归入财务资产科管理。</w:t>
      </w:r>
    </w:p>
    <w:p>
      <w:pPr>
        <w:pStyle w:val="11"/>
        <w:keepNext w:val="0"/>
        <w:keepLines w:val="0"/>
        <w:pageBreakBefore w:val="0"/>
        <w:kinsoku/>
        <w:wordWrap/>
        <w:topLinePunct w:val="0"/>
        <w:autoSpaceDE w:val="0"/>
        <w:autoSpaceDN/>
        <w:bidi w:val="0"/>
        <w:adjustRightInd/>
        <w:spacing w:before="0" w:beforeAutospacing="0" w:after="0" w:afterAutospacing="0" w:line="560" w:lineRule="exact"/>
        <w:ind w:firstLine="643" w:firstLineChars="200"/>
        <w:jc w:val="both"/>
        <w:textAlignment w:val="auto"/>
        <w:rPr>
          <w:rFonts w:ascii="方正楷体_GBK" w:hAnsi="方正楷体_GBK" w:eastAsia="方正楷体_GBK" w:cs="方正楷体_GBK"/>
          <w:sz w:val="32"/>
          <w:szCs w:val="32"/>
          <w:shd w:val="clear" w:color="auto" w:fill="FFFFFF"/>
        </w:rPr>
      </w:pPr>
      <w:r>
        <w:rPr>
          <w:rStyle w:val="12"/>
          <w:rFonts w:hint="eastAsia" w:ascii="方正楷体_GBK" w:hAnsi="方正楷体_GBK" w:eastAsia="方正楷体_GBK" w:cs="方正楷体_GBK"/>
          <w:sz w:val="32"/>
          <w:szCs w:val="32"/>
          <w:shd w:val="clear" w:color="auto" w:fill="FFFFFF"/>
        </w:rPr>
        <w:t>（三）单位构成</w:t>
      </w:r>
    </w:p>
    <w:p>
      <w:pPr>
        <w:pStyle w:val="4"/>
        <w:keepNext w:val="0"/>
        <w:keepLines w:val="0"/>
        <w:pageBreakBefore w:val="0"/>
        <w:shd w:val="clear" w:color="auto" w:fill="FFFFFF"/>
        <w:kinsoku/>
        <w:wordWrap/>
        <w:topLinePunct w:val="0"/>
        <w:autoSpaceDN/>
        <w:bidi w:val="0"/>
        <w:adjustRightInd/>
        <w:spacing w:before="0" w:beforeAutospacing="0" w:after="0" w:afterAutospacing="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本单位无下级预算单位。</w:t>
      </w:r>
    </w:p>
    <w:p>
      <w:pPr>
        <w:pStyle w:val="4"/>
        <w:keepNext w:val="0"/>
        <w:keepLines w:val="0"/>
        <w:pageBreakBefore w:val="0"/>
        <w:shd w:val="clear" w:color="auto" w:fill="FFFFFF"/>
        <w:kinsoku/>
        <w:wordWrap/>
        <w:topLinePunct w:val="0"/>
        <w:autoSpaceDN/>
        <w:bidi w:val="0"/>
        <w:adjustRightInd/>
        <w:spacing w:before="0" w:beforeAutospacing="0" w:after="0" w:afterAutospacing="0" w:line="560" w:lineRule="exact"/>
        <w:textAlignment w:val="auto"/>
        <w:rPr>
          <w:rStyle w:val="7"/>
          <w:rFonts w:hint="default" w:ascii="方正黑体_GBK" w:hAnsi="方正黑体_GBK" w:eastAsia="方正黑体_GBK" w:cs="方正黑体_GBK"/>
          <w:b w:val="0"/>
          <w:bCs/>
          <w:sz w:val="32"/>
          <w:szCs w:val="32"/>
          <w:shd w:val="clear" w:color="auto" w:fill="FFFFFF"/>
        </w:rPr>
      </w:pPr>
      <w:r>
        <w:rPr>
          <w:rStyle w:val="7"/>
          <w:rFonts w:ascii="方正黑体_GBK" w:hAnsi="方正黑体_GBK" w:eastAsia="方正黑体_GBK" w:cs="方正黑体_GBK"/>
          <w:bCs/>
          <w:sz w:val="32"/>
          <w:szCs w:val="32"/>
          <w:shd w:val="clear" w:color="auto" w:fill="FFFFFF"/>
        </w:rPr>
        <w:t>二、单位决算情况说明</w:t>
      </w:r>
    </w:p>
    <w:p>
      <w:pPr>
        <w:pStyle w:val="10"/>
        <w:keepNext w:val="0"/>
        <w:keepLines w:val="0"/>
        <w:pageBreakBefore w:val="0"/>
        <w:kinsoku/>
        <w:wordWrap/>
        <w:topLinePunct w:val="0"/>
        <w:autoSpaceDE w:val="0"/>
        <w:autoSpaceDN/>
        <w:bidi w:val="0"/>
        <w:adjustRightInd/>
        <w:spacing w:line="560" w:lineRule="exact"/>
        <w:ind w:firstLine="640"/>
        <w:textAlignment w:val="auto"/>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pPr>
        <w:pStyle w:val="4"/>
        <w:keepNext w:val="0"/>
        <w:keepLines w:val="0"/>
        <w:pageBreakBefore w:val="0"/>
        <w:shd w:val="clear" w:color="auto" w:fill="FFFFFF"/>
        <w:kinsoku/>
        <w:wordWrap/>
        <w:topLinePunct w:val="0"/>
        <w:autoSpaceDN/>
        <w:bidi w:val="0"/>
        <w:adjustRightInd/>
        <w:spacing w:beforeAutospacing="0" w:after="0" w:afterAutospacing="0" w:line="560" w:lineRule="exact"/>
        <w:ind w:firstLine="640" w:firstLineChars="200"/>
        <w:textAlignment w:val="auto"/>
        <w:rPr>
          <w:rFonts w:hint="default" w:ascii="方正仿宋_GBK" w:hAnsi="方正仿宋_GBK" w:eastAsia="方正仿宋_GBK" w:cs="方正仿宋_GBK"/>
          <w:bCs/>
          <w:sz w:val="32"/>
          <w:szCs w:val="32"/>
        </w:rPr>
      </w:pPr>
      <w:r>
        <w:rPr>
          <w:rFonts w:ascii="方正仿宋_GBK"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ascii="方正仿宋_GBK" w:hAnsi="Times New Roman" w:eastAsia="方正仿宋_GBK"/>
          <w:sz w:val="32"/>
          <w:szCs w:val="32"/>
          <w:shd w:val="clear" w:color="auto" w:fill="FFFFFF"/>
        </w:rPr>
        <w:t>3874.57</w:t>
      </w:r>
      <w:r>
        <w:rPr>
          <w:rFonts w:ascii="方正仿宋_GBK" w:hAnsi="方正仿宋_GBK" w:eastAsia="方正仿宋_GBK" w:cs="方正仿宋_GBK"/>
          <w:sz w:val="32"/>
          <w:szCs w:val="32"/>
          <w:shd w:val="clear" w:color="auto" w:fill="FFFFFF"/>
        </w:rPr>
        <w:t>万元。</w:t>
      </w:r>
      <w:r>
        <w:rPr>
          <w:rFonts w:ascii="方正仿宋_GBK" w:hAnsi="Times New Roman" w:eastAsia="方正仿宋_GBK"/>
          <w:sz w:val="32"/>
          <w:szCs w:val="32"/>
          <w:shd w:val="clear" w:color="auto" w:fill="FFFFFF"/>
        </w:rPr>
        <w:t>收、支与2023年度相比，减少110.70万元，下降2.8%</w:t>
      </w:r>
      <w:r>
        <w:rPr>
          <w:rFonts w:ascii="方正仿宋_GBK" w:hAnsi="方正仿宋_GBK" w:eastAsia="方正仿宋_GBK" w:cs="方正仿宋_GBK"/>
          <w:sz w:val="32"/>
          <w:szCs w:val="32"/>
          <w:shd w:val="clear" w:color="auto" w:fill="FFFFFF"/>
        </w:rPr>
        <w:t>，主要原因是2024年比2023年少了财政疫情补助一次性增核绩效53万元、基本公共卫生项目补助少了165万元；在职养老保险和职业年金交费调整，2024年财政补助养老保险和职业年金比2023年多38.91万元，退休人员补助也增加70.40万元。所以相应收支减少。</w:t>
      </w:r>
    </w:p>
    <w:p>
      <w:pPr>
        <w:pStyle w:val="4"/>
        <w:keepNext w:val="0"/>
        <w:keepLines w:val="0"/>
        <w:pageBreakBefore w:val="0"/>
        <w:shd w:val="clear" w:color="auto" w:fill="FFFFFF"/>
        <w:kinsoku/>
        <w:wordWrap/>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7"/>
          <w:rFonts w:ascii="方正仿宋_GBK" w:eastAsia="方正仿宋_GBK"/>
          <w:sz w:val="32"/>
          <w:szCs w:val="32"/>
          <w:shd w:val="clear" w:color="auto" w:fill="FFFFFF"/>
        </w:rPr>
        <w:t>1</w:t>
      </w:r>
      <w:r>
        <w:rPr>
          <w:rStyle w:val="7"/>
          <w:rFonts w:ascii="方正仿宋_GBK" w:hAnsi="方正仿宋_GBK" w:eastAsia="方正仿宋_GBK" w:cs="方正仿宋_GBK"/>
          <w:sz w:val="32"/>
          <w:szCs w:val="32"/>
          <w:shd w:val="clear" w:color="auto" w:fill="FFFFFF"/>
        </w:rPr>
        <w:t>.收入情况。</w:t>
      </w:r>
      <w:r>
        <w:rPr>
          <w:rFonts w:ascii="方正仿宋_GBK"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ascii="方正仿宋_GBK" w:hAnsi="Times New Roman" w:eastAsia="方正仿宋_GBK"/>
          <w:sz w:val="32"/>
          <w:szCs w:val="32"/>
          <w:shd w:val="clear" w:color="auto" w:fill="FFFFFF"/>
        </w:rPr>
        <w:t>3874.57</w:t>
      </w:r>
      <w:r>
        <w:rPr>
          <w:rFonts w:ascii="方正仿宋_GBK" w:hAnsi="方正仿宋_GBK" w:eastAsia="方正仿宋_GBK" w:cs="方正仿宋_GBK"/>
          <w:sz w:val="32"/>
          <w:szCs w:val="32"/>
          <w:shd w:val="clear" w:color="auto" w:fill="FFFFFF"/>
        </w:rPr>
        <w:t>万元，</w:t>
      </w:r>
      <w:r>
        <w:rPr>
          <w:rFonts w:ascii="方正仿宋_GBK" w:hAnsi="Times New Roman" w:eastAsia="方正仿宋_GBK"/>
          <w:sz w:val="32"/>
          <w:szCs w:val="32"/>
          <w:shd w:val="clear" w:color="auto" w:fill="FFFFFF"/>
        </w:rPr>
        <w:t>与2023年度相比，减少110.70万元，下降2.8%</w:t>
      </w:r>
      <w:r>
        <w:rPr>
          <w:rFonts w:ascii="方正仿宋_GBK" w:hAnsi="方正仿宋_GBK" w:eastAsia="方正仿宋_GBK" w:cs="方正仿宋_GBK"/>
          <w:sz w:val="32"/>
          <w:szCs w:val="32"/>
          <w:shd w:val="clear" w:color="auto" w:fill="FFFFFF"/>
        </w:rPr>
        <w:t>，主要原因是2024年比2023年少了财政疫情补助一次性增核绩效53万元、基本公共卫生项目补助少了165万元；在职养老保险和职业年金交费调整，2024年财政补助养老保险和职业年金比2023年多38.91万元，退休人员补助也增加70.40万元。其中：财政拨款收入</w:t>
      </w:r>
      <w:r>
        <w:rPr>
          <w:rFonts w:ascii="方正仿宋_GBK" w:hAnsi="Times New Roman" w:eastAsia="方正仿宋_GBK"/>
          <w:sz w:val="32"/>
          <w:szCs w:val="32"/>
          <w:shd w:val="clear" w:color="auto" w:fill="FFFFFF"/>
        </w:rPr>
        <w:t>1266.83</w:t>
      </w:r>
      <w:r>
        <w:rPr>
          <w:rFonts w:ascii="方正仿宋_GBK" w:hAnsi="方正仿宋_GBK" w:eastAsia="方正仿宋_GBK" w:cs="方正仿宋_GBK"/>
          <w:sz w:val="32"/>
          <w:szCs w:val="32"/>
          <w:shd w:val="clear" w:color="auto" w:fill="FFFFFF"/>
        </w:rPr>
        <w:t>万元，占</w:t>
      </w:r>
      <w:r>
        <w:rPr>
          <w:rFonts w:ascii="方正仿宋_GBK" w:hAnsi="Times New Roman" w:eastAsia="方正仿宋_GBK"/>
          <w:sz w:val="32"/>
          <w:szCs w:val="32"/>
          <w:shd w:val="clear" w:color="auto" w:fill="FFFFFF"/>
        </w:rPr>
        <w:t>32.7%</w:t>
      </w:r>
      <w:r>
        <w:rPr>
          <w:rFonts w:ascii="方正仿宋_GBK" w:hAnsi="方正仿宋_GBK" w:eastAsia="方正仿宋_GBK" w:cs="方正仿宋_GBK"/>
          <w:sz w:val="32"/>
          <w:szCs w:val="32"/>
          <w:shd w:val="clear" w:color="auto" w:fill="FFFFFF"/>
        </w:rPr>
        <w:t>；事业收入</w:t>
      </w:r>
      <w:r>
        <w:rPr>
          <w:rFonts w:ascii="方正仿宋_GBK" w:hAnsi="Times New Roman" w:eastAsia="方正仿宋_GBK"/>
          <w:sz w:val="32"/>
          <w:szCs w:val="32"/>
          <w:shd w:val="clear" w:color="auto" w:fill="FFFFFF"/>
        </w:rPr>
        <w:t>2607.74</w:t>
      </w:r>
      <w:r>
        <w:rPr>
          <w:rFonts w:ascii="方正仿宋_GBK" w:hAnsi="方正仿宋_GBK" w:eastAsia="方正仿宋_GBK" w:cs="方正仿宋_GBK"/>
          <w:sz w:val="32"/>
          <w:szCs w:val="32"/>
          <w:shd w:val="clear" w:color="auto" w:fill="FFFFFF"/>
        </w:rPr>
        <w:t>万元，占</w:t>
      </w:r>
      <w:r>
        <w:rPr>
          <w:rFonts w:ascii="方正仿宋_GBK" w:hAnsi="Times New Roman" w:eastAsia="方正仿宋_GBK"/>
          <w:sz w:val="32"/>
          <w:szCs w:val="32"/>
          <w:shd w:val="clear" w:color="auto" w:fill="FFFFFF"/>
        </w:rPr>
        <w:t>67.3%</w:t>
      </w:r>
      <w:r>
        <w:rPr>
          <w:rFonts w:ascii="方正仿宋_GBK" w:hAnsi="方正仿宋_GBK" w:eastAsia="方正仿宋_GBK" w:cs="方正仿宋_GBK"/>
          <w:sz w:val="32"/>
          <w:szCs w:val="32"/>
          <w:shd w:val="clear" w:color="auto" w:fill="FFFFFF"/>
        </w:rPr>
        <w:t>；经营收入</w:t>
      </w:r>
      <w:r>
        <w:rPr>
          <w:rFonts w:ascii="方正仿宋_GBK"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方正仿宋_GBK"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ascii="方正仿宋_GBK"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方正仿宋_GBK"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ascii="方正仿宋_GBK"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ascii="方正仿宋_GBK"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bCs/>
          <w:sz w:val="32"/>
          <w:szCs w:val="32"/>
          <w:shd w:val="clear" w:color="auto" w:fill="FFFFFF"/>
        </w:rPr>
      </w:pPr>
      <w:r>
        <w:rPr>
          <w:rStyle w:val="7"/>
          <w:rFonts w:ascii="方正仿宋_GBK" w:eastAsia="方正仿宋_GBK"/>
          <w:sz w:val="32"/>
          <w:szCs w:val="32"/>
          <w:shd w:val="clear" w:color="auto" w:fill="FFFFFF"/>
        </w:rPr>
        <w:t>2</w:t>
      </w:r>
      <w:r>
        <w:rPr>
          <w:rStyle w:val="7"/>
          <w:rFonts w:ascii="方正仿宋_GBK" w:hAnsi="方正仿宋_GBK" w:eastAsia="方正仿宋_GBK" w:cs="方正仿宋_GBK"/>
          <w:sz w:val="32"/>
          <w:szCs w:val="32"/>
          <w:shd w:val="clear" w:color="auto" w:fill="FFFFFF"/>
        </w:rPr>
        <w:t>.支出情况。</w:t>
      </w:r>
      <w:r>
        <w:rPr>
          <w:rFonts w:ascii="方正仿宋_GBK"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ascii="方正仿宋_GBK" w:hAnsi="Times New Roman" w:eastAsia="方正仿宋_GBK"/>
          <w:sz w:val="32"/>
          <w:szCs w:val="32"/>
          <w:shd w:val="clear" w:color="auto" w:fill="FFFFFF"/>
        </w:rPr>
        <w:t>3874.57</w:t>
      </w:r>
      <w:r>
        <w:rPr>
          <w:rFonts w:ascii="方正仿宋_GBK" w:hAnsi="方正仿宋_GBK" w:eastAsia="方正仿宋_GBK" w:cs="方正仿宋_GBK"/>
          <w:sz w:val="32"/>
          <w:szCs w:val="32"/>
          <w:shd w:val="clear" w:color="auto" w:fill="FFFFFF"/>
        </w:rPr>
        <w:t>万元，</w:t>
      </w:r>
      <w:r>
        <w:rPr>
          <w:rFonts w:ascii="方正仿宋_GBK" w:hAnsi="Times New Roman" w:eastAsia="方正仿宋_GBK"/>
          <w:sz w:val="32"/>
          <w:szCs w:val="32"/>
          <w:shd w:val="clear" w:color="auto" w:fill="FFFFFF"/>
        </w:rPr>
        <w:t>与2023年度相比，减少110.70万元，下降2.8%</w:t>
      </w:r>
      <w:r>
        <w:rPr>
          <w:rFonts w:ascii="方正仿宋_GBK" w:hAnsi="方正仿宋_GBK" w:eastAsia="方正仿宋_GBK" w:cs="方正仿宋_GBK"/>
          <w:sz w:val="32"/>
          <w:szCs w:val="32"/>
          <w:shd w:val="clear" w:color="auto" w:fill="FFFFFF"/>
        </w:rPr>
        <w:t>，主要原因是主要原因是2024年比2023年少了财政疫情补助一次性增核绩效53万元、基本公共卫生项目补助少了165万元；在职养老保险和职业年金交费调整， 2024年财政补助养老保险和职业年金比2023年增加38.91万元，退休人员补助支出也增加70.40万元。其中：基本支出</w:t>
      </w:r>
      <w:r>
        <w:rPr>
          <w:rFonts w:ascii="方正仿宋_GBK" w:hAnsi="Times New Roman" w:eastAsia="方正仿宋_GBK"/>
          <w:sz w:val="32"/>
          <w:szCs w:val="32"/>
          <w:shd w:val="clear" w:color="auto" w:fill="FFFFFF"/>
        </w:rPr>
        <w:t>3246.00</w:t>
      </w:r>
      <w:r>
        <w:rPr>
          <w:rFonts w:ascii="方正仿宋_GBK" w:hAnsi="方正仿宋_GBK" w:eastAsia="方正仿宋_GBK" w:cs="方正仿宋_GBK"/>
          <w:sz w:val="32"/>
          <w:szCs w:val="32"/>
          <w:shd w:val="clear" w:color="auto" w:fill="FFFFFF"/>
        </w:rPr>
        <w:t>万元，占</w:t>
      </w:r>
      <w:r>
        <w:rPr>
          <w:rFonts w:ascii="方正仿宋_GBK" w:hAnsi="Times New Roman" w:eastAsia="方正仿宋_GBK"/>
          <w:sz w:val="32"/>
          <w:szCs w:val="32"/>
          <w:shd w:val="clear" w:color="auto" w:fill="FFFFFF"/>
        </w:rPr>
        <w:t>83.8%</w:t>
      </w:r>
      <w:r>
        <w:rPr>
          <w:rFonts w:ascii="方正仿宋_GBK" w:hAnsi="方正仿宋_GBK" w:eastAsia="方正仿宋_GBK" w:cs="方正仿宋_GBK"/>
          <w:sz w:val="32"/>
          <w:szCs w:val="32"/>
          <w:shd w:val="clear" w:color="auto" w:fill="FFFFFF"/>
        </w:rPr>
        <w:t>；项目支出</w:t>
      </w:r>
      <w:r>
        <w:rPr>
          <w:rFonts w:ascii="方正仿宋_GBK" w:hAnsi="Times New Roman" w:eastAsia="方正仿宋_GBK"/>
          <w:sz w:val="32"/>
          <w:szCs w:val="32"/>
          <w:shd w:val="clear" w:color="auto" w:fill="FFFFFF"/>
        </w:rPr>
        <w:t>628.57</w:t>
      </w:r>
      <w:r>
        <w:rPr>
          <w:rFonts w:ascii="方正仿宋_GBK" w:hAnsi="方正仿宋_GBK" w:eastAsia="方正仿宋_GBK" w:cs="方正仿宋_GBK"/>
          <w:sz w:val="32"/>
          <w:szCs w:val="32"/>
          <w:shd w:val="clear" w:color="auto" w:fill="FFFFFF"/>
        </w:rPr>
        <w:t>万元，占</w:t>
      </w:r>
      <w:r>
        <w:rPr>
          <w:rFonts w:ascii="方正仿宋_GBK" w:hAnsi="Times New Roman" w:eastAsia="方正仿宋_GBK"/>
          <w:sz w:val="32"/>
          <w:szCs w:val="32"/>
          <w:shd w:val="clear" w:color="auto" w:fill="FFFFFF"/>
        </w:rPr>
        <w:t>16.2%</w:t>
      </w:r>
      <w:r>
        <w:rPr>
          <w:rFonts w:ascii="方正仿宋_GBK" w:hAnsi="方正仿宋_GBK" w:eastAsia="方正仿宋_GBK" w:cs="方正仿宋_GBK"/>
          <w:sz w:val="32"/>
          <w:szCs w:val="32"/>
          <w:shd w:val="clear" w:color="auto" w:fill="FFFFFF"/>
        </w:rPr>
        <w:t>；经营支出</w:t>
      </w:r>
      <w:r>
        <w:rPr>
          <w:rFonts w:ascii="方正仿宋_GBK"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ascii="方正仿宋_GBK"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仿宋_GBK" w:eastAsia="方正仿宋_GBK"/>
          <w:sz w:val="32"/>
          <w:szCs w:val="32"/>
          <w:shd w:val="clear" w:color="auto" w:fill="FFFFFF"/>
        </w:rPr>
        <w:t>3</w:t>
      </w:r>
      <w:r>
        <w:rPr>
          <w:rStyle w:val="7"/>
          <w:rFonts w:ascii="方正仿宋_GBK" w:hAnsi="方正仿宋_GBK" w:eastAsia="方正仿宋_GBK" w:cs="方正仿宋_GBK"/>
          <w:sz w:val="32"/>
          <w:szCs w:val="32"/>
          <w:shd w:val="clear" w:color="auto" w:fill="FFFFFF"/>
        </w:rPr>
        <w:t>.结转结余情况。</w:t>
      </w:r>
      <w:r>
        <w:rPr>
          <w:rFonts w:ascii="方正仿宋_GBK"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ascii="方正仿宋_GBK"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Times New Roman" w:eastAsia="方正仿宋_GBK"/>
          <w:sz w:val="32"/>
          <w:szCs w:val="32"/>
          <w:shd w:val="clear" w:color="auto" w:fill="FFFFFF"/>
        </w:rPr>
        <w:t>与2023年度相比，</w:t>
      </w:r>
      <w:r>
        <w:rPr>
          <w:rFonts w:ascii="方正仿宋_GBK" w:hAnsi="方正仿宋_GBK" w:eastAsia="方正仿宋_GBK" w:cs="方正仿宋_GBK"/>
          <w:sz w:val="32"/>
          <w:szCs w:val="32"/>
          <w:shd w:val="clear" w:color="auto" w:fill="FFFFFF"/>
        </w:rPr>
        <w:t>较上年决算数无增减。</w:t>
      </w:r>
    </w:p>
    <w:p>
      <w:pPr>
        <w:pStyle w:val="10"/>
        <w:keepNext w:val="0"/>
        <w:keepLines w:val="0"/>
        <w:pageBreakBefore w:val="0"/>
        <w:kinsoku/>
        <w:wordWrap/>
        <w:topLinePunct w:val="0"/>
        <w:autoSpaceDE w:val="0"/>
        <w:autoSpaceDN/>
        <w:bidi w:val="0"/>
        <w:adjustRightInd/>
        <w:spacing w:line="560" w:lineRule="exact"/>
        <w:ind w:firstLine="643"/>
        <w:textAlignment w:val="auto"/>
        <w:rPr>
          <w:rFonts w:ascii="方正楷体_GBK" w:hAnsi="楷体" w:eastAsia="方正楷体_GBK" w:cs="楷体"/>
          <w:b w:val="0"/>
          <w:bCs w:val="0"/>
          <w:sz w:val="32"/>
          <w:szCs w:val="32"/>
          <w:shd w:val="clear" w:color="auto" w:fill="FFFFFF"/>
        </w:rPr>
      </w:pPr>
      <w:r>
        <w:rPr>
          <w:rFonts w:hint="eastAsia" w:ascii="方正楷体_GBK" w:hAnsi="楷体" w:eastAsia="方正楷体_GBK" w:cs="楷体"/>
          <w:b w:val="0"/>
          <w:bCs w:val="0"/>
          <w:sz w:val="32"/>
          <w:szCs w:val="32"/>
          <w:shd w:val="clear" w:color="auto" w:fill="FFFFFF"/>
        </w:rPr>
        <w:t>（二）财政拨款收入支出决算总体情况说明</w:t>
      </w:r>
    </w:p>
    <w:p>
      <w:pPr>
        <w:pStyle w:val="10"/>
        <w:keepNext w:val="0"/>
        <w:keepLines w:val="0"/>
        <w:pageBreakBefore w:val="0"/>
        <w:kinsoku/>
        <w:wordWrap/>
        <w:topLinePunct w:val="0"/>
        <w:autoSpaceDE w:val="0"/>
        <w:autoSpaceDN/>
        <w:bidi w:val="0"/>
        <w:adjustRightInd/>
        <w:spacing w:line="560" w:lineRule="exact"/>
        <w:ind w:firstLine="640"/>
        <w:textAlignment w:val="auto"/>
        <w:rPr>
          <w:rFonts w:ascii="方正仿宋_GBK" w:hAnsi="方正仿宋_GBK" w:eastAsia="方正仿宋_GBK" w:cs="方正仿宋_GBK"/>
          <w:sz w:val="32"/>
          <w:szCs w:val="32"/>
        </w:rPr>
      </w:pPr>
      <w:r>
        <w:rPr>
          <w:rFonts w:hint="eastAsia" w:ascii="方正仿宋_GBK"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年度财政拨款收、支总计均为</w:t>
      </w:r>
      <w:r>
        <w:rPr>
          <w:rFonts w:hint="eastAsia" w:ascii="方正仿宋_GBK" w:hAnsi="Times New Roman" w:eastAsia="方正仿宋_GBK"/>
          <w:sz w:val="32"/>
          <w:szCs w:val="32"/>
          <w:shd w:val="clear" w:color="auto" w:fill="FFFFFF"/>
        </w:rPr>
        <w:t>1266.83</w:t>
      </w:r>
      <w:r>
        <w:rPr>
          <w:rFonts w:hint="eastAsia" w:ascii="方正仿宋_GBK" w:hAnsi="方正仿宋_GBK" w:eastAsia="方正仿宋_GBK" w:cs="方正仿宋_GBK"/>
          <w:sz w:val="32"/>
          <w:szCs w:val="32"/>
          <w:shd w:val="clear" w:color="auto" w:fill="FFFFFF"/>
        </w:rPr>
        <w:t>万元。与</w:t>
      </w:r>
      <w:r>
        <w:rPr>
          <w:rFonts w:hint="eastAsia" w:ascii="方正仿宋_GBK"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w:t>
      </w:r>
      <w:r>
        <w:rPr>
          <w:rFonts w:hint="eastAsia" w:ascii="方正仿宋_GBK" w:hAnsi="Times New Roman" w:eastAsia="方正仿宋_GBK"/>
          <w:sz w:val="32"/>
          <w:szCs w:val="32"/>
          <w:shd w:val="clear" w:color="auto" w:fill="FFFFFF"/>
        </w:rPr>
        <w:t>财政拨款收、支总计各减少89.30万元，下降6.6%</w:t>
      </w:r>
      <w:r>
        <w:rPr>
          <w:rFonts w:hint="eastAsia" w:ascii="方正仿宋_GBK" w:hAnsi="方正仿宋_GBK" w:eastAsia="方正仿宋_GBK" w:cs="方正仿宋_GBK"/>
          <w:sz w:val="32"/>
          <w:szCs w:val="32"/>
          <w:shd w:val="clear" w:color="auto" w:fill="FFFFFF"/>
        </w:rPr>
        <w:t>。主要原因是2024年财政补贴比2023年少一次性增核绩效53万元和基本公共卫生项目165万元；养老保险和职业年金交费调整， 2024年全年的财政补助养老保险和职业年金比上年多38.91万元；退休人员补助收支也增加70.40万元；基本药品零差率补助比上年多30.18万元。</w:t>
      </w:r>
    </w:p>
    <w:p>
      <w:pPr>
        <w:pStyle w:val="10"/>
        <w:keepNext w:val="0"/>
        <w:keepLines w:val="0"/>
        <w:pageBreakBefore w:val="0"/>
        <w:kinsoku/>
        <w:wordWrap/>
        <w:topLinePunct w:val="0"/>
        <w:autoSpaceDE w:val="0"/>
        <w:autoSpaceDN/>
        <w:bidi w:val="0"/>
        <w:adjustRightInd/>
        <w:spacing w:line="560" w:lineRule="exact"/>
        <w:ind w:firstLine="643"/>
        <w:textAlignment w:val="auto"/>
        <w:rPr>
          <w:rFonts w:ascii="方正楷体_GBK" w:hAnsi="楷体" w:eastAsia="方正楷体_GBK" w:cs="楷体"/>
          <w:b w:val="0"/>
          <w:bCs w:val="0"/>
          <w:sz w:val="32"/>
          <w:szCs w:val="32"/>
          <w:shd w:val="clear" w:color="auto" w:fill="FFFFFF"/>
        </w:rPr>
      </w:pPr>
      <w:r>
        <w:rPr>
          <w:rFonts w:hint="eastAsia" w:ascii="方正楷体_GBK" w:hAnsi="楷体" w:eastAsia="方正楷体_GBK" w:cs="楷体"/>
          <w:b w:val="0"/>
          <w:bCs w:val="0"/>
          <w:sz w:val="32"/>
          <w:szCs w:val="32"/>
          <w:shd w:val="clear" w:color="auto" w:fill="FFFFFF"/>
        </w:rPr>
        <w:t>（三）一般公共预算财政拨款收入支出决算情况说明</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仿宋_GBK" w:eastAsia="方正仿宋_GBK"/>
          <w:sz w:val="32"/>
          <w:szCs w:val="32"/>
          <w:shd w:val="clear" w:color="auto" w:fill="FFFFFF"/>
        </w:rPr>
        <w:t>1</w:t>
      </w:r>
      <w:r>
        <w:rPr>
          <w:rStyle w:val="7"/>
          <w:rFonts w:ascii="方正仿宋_GBK" w:hAnsi="方正仿宋_GBK" w:eastAsia="方正仿宋_GBK" w:cs="方正仿宋_GBK"/>
          <w:sz w:val="32"/>
          <w:szCs w:val="32"/>
          <w:shd w:val="clear" w:color="auto" w:fill="FFFFFF"/>
        </w:rPr>
        <w:t>.收入情况。</w:t>
      </w:r>
      <w:r>
        <w:rPr>
          <w:rFonts w:ascii="方正仿宋_GBK"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ascii="方正仿宋_GBK" w:hAnsi="Times New Roman" w:eastAsia="方正仿宋_GBK"/>
          <w:sz w:val="32"/>
          <w:szCs w:val="32"/>
          <w:shd w:val="clear" w:color="auto" w:fill="FFFFFF"/>
        </w:rPr>
        <w:t>1266.83</w:t>
      </w:r>
      <w:r>
        <w:rPr>
          <w:rFonts w:ascii="方正仿宋_GBK" w:hAnsi="方正仿宋_GBK" w:eastAsia="方正仿宋_GBK" w:cs="方正仿宋_GBK"/>
          <w:sz w:val="32"/>
          <w:szCs w:val="32"/>
          <w:shd w:val="clear" w:color="auto" w:fill="FFFFFF"/>
        </w:rPr>
        <w:t>万元，</w:t>
      </w:r>
      <w:r>
        <w:rPr>
          <w:rFonts w:ascii="方正仿宋_GBK" w:hAnsi="Times New Roman" w:eastAsia="方正仿宋_GBK"/>
          <w:sz w:val="32"/>
          <w:szCs w:val="32"/>
          <w:shd w:val="clear" w:color="auto" w:fill="FFFFFF"/>
        </w:rPr>
        <w:t>与2023年度相比，减少89.30万元，下降6.6%</w:t>
      </w:r>
      <w:r>
        <w:rPr>
          <w:rFonts w:ascii="方正仿宋_GBK" w:hAnsi="方正仿宋_GBK" w:eastAsia="方正仿宋_GBK" w:cs="方正仿宋_GBK"/>
          <w:sz w:val="32"/>
          <w:szCs w:val="32"/>
          <w:shd w:val="clear" w:color="auto" w:fill="FFFFFF"/>
        </w:rPr>
        <w:t>。主要原因是2024年比2023年少了财政疫情补助一次性增核绩效53万元、基本公共卫生项目补助少了165万元；在职养老保险和职业年金交费调整， 2024年财政补助养老保险和职业年金比2023年增加38.91万元，退休人员补助收入也增加70.40万元；药品零差率补助比上年多30.18万元。</w:t>
      </w:r>
      <w:r>
        <w:rPr>
          <w:rFonts w:ascii="方正仿宋_GBK" w:hAnsi="Times New Roman" w:eastAsia="方正仿宋_GBK"/>
          <w:sz w:val="32"/>
          <w:szCs w:val="32"/>
          <w:shd w:val="clear" w:color="auto" w:fill="FFFFFF"/>
        </w:rPr>
        <w:t>较年初预算数增加703.87万元，增长125.0%</w:t>
      </w:r>
      <w:r>
        <w:rPr>
          <w:rFonts w:ascii="方正仿宋_GBK" w:hAnsi="方正仿宋_GBK" w:eastAsia="方正仿宋_GBK" w:cs="方正仿宋_GBK"/>
          <w:sz w:val="32"/>
          <w:szCs w:val="32"/>
          <w:shd w:val="clear" w:color="auto" w:fill="FFFFFF"/>
        </w:rPr>
        <w:t>。主要原因是基本公共卫生和药品零差率补助均未列入年初预算。此外，年初财政拨款结转和结余</w:t>
      </w:r>
      <w:r>
        <w:rPr>
          <w:rFonts w:ascii="方正仿宋_GBK"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7"/>
          <w:rFonts w:ascii="方正仿宋_GBK" w:eastAsia="方正仿宋_GBK"/>
          <w:sz w:val="32"/>
          <w:szCs w:val="32"/>
          <w:shd w:val="clear" w:color="auto" w:fill="FFFFFF"/>
        </w:rPr>
        <w:t>2</w:t>
      </w:r>
      <w:r>
        <w:rPr>
          <w:rStyle w:val="7"/>
          <w:rFonts w:ascii="方正仿宋_GBK" w:hAnsi="方正仿宋_GBK" w:eastAsia="方正仿宋_GBK" w:cs="方正仿宋_GBK"/>
          <w:sz w:val="32"/>
          <w:szCs w:val="32"/>
          <w:shd w:val="clear" w:color="auto" w:fill="FFFFFF"/>
        </w:rPr>
        <w:t>.支出情况。</w:t>
      </w:r>
      <w:r>
        <w:rPr>
          <w:rFonts w:ascii="方正仿宋_GBK"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ascii="方正仿宋_GBK" w:hAnsi="Times New Roman" w:eastAsia="方正仿宋_GBK"/>
          <w:sz w:val="32"/>
          <w:szCs w:val="32"/>
          <w:shd w:val="clear" w:color="auto" w:fill="FFFFFF"/>
        </w:rPr>
        <w:t>1266.83</w:t>
      </w:r>
      <w:r>
        <w:rPr>
          <w:rFonts w:ascii="方正仿宋_GBK" w:hAnsi="方正仿宋_GBK" w:eastAsia="方正仿宋_GBK" w:cs="方正仿宋_GBK"/>
          <w:sz w:val="32"/>
          <w:szCs w:val="32"/>
          <w:shd w:val="clear" w:color="auto" w:fill="FFFFFF"/>
        </w:rPr>
        <w:t>万元，</w:t>
      </w:r>
      <w:r>
        <w:rPr>
          <w:rFonts w:ascii="方正仿宋_GBK" w:hAnsi="Times New Roman" w:eastAsia="方正仿宋_GBK"/>
          <w:sz w:val="32"/>
          <w:szCs w:val="32"/>
          <w:shd w:val="clear" w:color="auto" w:fill="FFFFFF"/>
        </w:rPr>
        <w:t>与2023年度相比，减少89.30万元，下降6.6%</w:t>
      </w:r>
      <w:r>
        <w:rPr>
          <w:rFonts w:ascii="方正仿宋_GBK" w:hAnsi="方正仿宋_GBK" w:eastAsia="方正仿宋_GBK" w:cs="方正仿宋_GBK"/>
          <w:sz w:val="32"/>
          <w:szCs w:val="32"/>
          <w:shd w:val="clear" w:color="auto" w:fill="FFFFFF"/>
        </w:rPr>
        <w:t>。主要原因是2024年比2023年少了财政疫情补助一次性增核绩效53万元、基本公共卫生项目补助少了165万元；在职养老保险和职业年金交费调整， 2024年财政补助养老保险和职业年金比2023年增加38.91万元，退休人员补助收入也增加70.40万元；基本药品零差率补助比上年多30.18万元。</w:t>
      </w:r>
      <w:r>
        <w:rPr>
          <w:rFonts w:ascii="方正仿宋_GBK" w:hAnsi="Times New Roman" w:eastAsia="方正仿宋_GBK"/>
          <w:sz w:val="32"/>
          <w:szCs w:val="32"/>
          <w:shd w:val="clear" w:color="auto" w:fill="FFFFFF"/>
        </w:rPr>
        <w:t>较年初预算数增加703.87万元，增长125.0%</w:t>
      </w:r>
      <w:r>
        <w:rPr>
          <w:rFonts w:ascii="方正仿宋_GBK" w:hAnsi="方正仿宋_GBK" w:eastAsia="方正仿宋_GBK" w:cs="方正仿宋_GBK"/>
          <w:sz w:val="32"/>
          <w:szCs w:val="32"/>
          <w:shd w:val="clear" w:color="auto" w:fill="FFFFFF"/>
        </w:rPr>
        <w:t>。主要原因是基本公共卫生和药品零差率补助均未列入年初预算。此外，年初财政拨款结转和结余</w:t>
      </w:r>
      <w:r>
        <w:rPr>
          <w:rFonts w:ascii="方正仿宋_GBK"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方正仿宋_GBK"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ascii="方正仿宋_GBK" w:hAnsi="Times New Roman" w:eastAsia="方正仿宋_GBK"/>
          <w:sz w:val="32"/>
          <w:szCs w:val="32"/>
          <w:shd w:val="clear" w:color="auto" w:fill="FFFFFF"/>
        </w:rPr>
        <w:t>253.44</w:t>
      </w:r>
      <w:r>
        <w:rPr>
          <w:rFonts w:ascii="方正仿宋_GBK" w:hAnsi="方正仿宋_GBK" w:eastAsia="方正仿宋_GBK" w:cs="方正仿宋_GBK"/>
          <w:sz w:val="32"/>
          <w:szCs w:val="32"/>
          <w:shd w:val="clear" w:color="auto" w:fill="FFFFFF"/>
        </w:rPr>
        <w:t>万元，占</w:t>
      </w:r>
      <w:r>
        <w:rPr>
          <w:rFonts w:ascii="方正仿宋_GBK"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w:t>
      </w:r>
      <w:r>
        <w:rPr>
          <w:rFonts w:ascii="方正仿宋_GBK" w:hAnsi="Times New Roman" w:eastAsia="方正仿宋_GBK"/>
          <w:sz w:val="32"/>
          <w:szCs w:val="32"/>
          <w:shd w:val="clear" w:color="auto" w:fill="FFFFFF"/>
        </w:rPr>
        <w:t>较年初预算数增加66.89万元，增长35.9%</w:t>
      </w:r>
      <w:r>
        <w:rPr>
          <w:rFonts w:ascii="方正仿宋_GBK" w:hAnsi="方正仿宋_GBK" w:eastAsia="方正仿宋_GBK" w:cs="方正仿宋_GBK"/>
          <w:sz w:val="32"/>
          <w:szCs w:val="32"/>
          <w:shd w:val="clear" w:color="auto" w:fill="FFFFFF"/>
        </w:rPr>
        <w:t>，主要原因是在职养老保险和职业年金交费调整，2024年财政补助养老保险和职业年金较上年支出增加部分未纳入年初预算。</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方正仿宋_GBK"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ascii="方正仿宋_GBK" w:hAnsi="Times New Roman" w:eastAsia="方正仿宋_GBK"/>
          <w:sz w:val="32"/>
          <w:szCs w:val="32"/>
          <w:shd w:val="clear" w:color="auto" w:fill="FFFFFF"/>
        </w:rPr>
        <w:t>1013.39</w:t>
      </w:r>
      <w:r>
        <w:rPr>
          <w:rFonts w:ascii="方正仿宋_GBK" w:hAnsi="方正仿宋_GBK" w:eastAsia="方正仿宋_GBK" w:cs="方正仿宋_GBK"/>
          <w:sz w:val="32"/>
          <w:szCs w:val="32"/>
          <w:shd w:val="clear" w:color="auto" w:fill="FFFFFF"/>
        </w:rPr>
        <w:t>万元，占</w:t>
      </w:r>
      <w:r>
        <w:rPr>
          <w:rFonts w:ascii="方正仿宋_GBK" w:hAnsi="Times New Roman" w:eastAsia="方正仿宋_GBK"/>
          <w:sz w:val="32"/>
          <w:szCs w:val="32"/>
          <w:shd w:val="clear" w:color="auto" w:fill="FFFFFF"/>
        </w:rPr>
        <w:t>80.0%</w:t>
      </w:r>
      <w:r>
        <w:rPr>
          <w:rFonts w:ascii="方正仿宋_GBK" w:hAnsi="方正仿宋_GBK" w:eastAsia="方正仿宋_GBK" w:cs="方正仿宋_GBK"/>
          <w:sz w:val="32"/>
          <w:szCs w:val="32"/>
          <w:shd w:val="clear" w:color="auto" w:fill="FFFFFF"/>
        </w:rPr>
        <w:t>，</w:t>
      </w:r>
      <w:r>
        <w:rPr>
          <w:rFonts w:ascii="方正仿宋_GBK" w:hAnsi="Times New Roman" w:eastAsia="方正仿宋_GBK"/>
          <w:sz w:val="32"/>
          <w:szCs w:val="32"/>
          <w:shd w:val="clear" w:color="auto" w:fill="FFFFFF"/>
        </w:rPr>
        <w:t>较年初预算数增加636.98万元，增长169.2%</w:t>
      </w:r>
      <w:r>
        <w:rPr>
          <w:rFonts w:ascii="方正仿宋_GBK" w:hAnsi="方正仿宋_GBK" w:eastAsia="方正仿宋_GBK" w:cs="方正仿宋_GBK"/>
          <w:sz w:val="32"/>
          <w:szCs w:val="32"/>
          <w:shd w:val="clear" w:color="auto" w:fill="FFFFFF"/>
        </w:rPr>
        <w:t>，主要原因是基本公共卫生补助和药品零差率补助均未列入年初预算。</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bCs/>
          <w:sz w:val="32"/>
          <w:szCs w:val="32"/>
          <w:shd w:val="clear" w:color="auto" w:fill="FFFFFF"/>
        </w:rPr>
      </w:pPr>
      <w:r>
        <w:rPr>
          <w:rStyle w:val="7"/>
          <w:rFonts w:ascii="方正仿宋_GBK" w:eastAsia="方正仿宋_GBK"/>
          <w:sz w:val="32"/>
          <w:szCs w:val="32"/>
          <w:shd w:val="clear" w:color="auto" w:fill="FFFFFF"/>
        </w:rPr>
        <w:t>3</w:t>
      </w:r>
      <w:r>
        <w:rPr>
          <w:rStyle w:val="7"/>
          <w:rFonts w:ascii="方正仿宋_GBK" w:hAnsi="方正仿宋_GBK" w:eastAsia="方正仿宋_GBK" w:cs="方正仿宋_GBK"/>
          <w:sz w:val="32"/>
          <w:szCs w:val="32"/>
          <w:shd w:val="clear" w:color="auto" w:fill="FFFFFF"/>
        </w:rPr>
        <w:t>.结转结余情况。</w:t>
      </w:r>
      <w:r>
        <w:rPr>
          <w:rFonts w:ascii="方正仿宋_GBK"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ascii="方正仿宋_GBK"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Times New Roman" w:eastAsia="方正仿宋_GBK"/>
          <w:sz w:val="32"/>
          <w:szCs w:val="32"/>
          <w:shd w:val="clear" w:color="auto" w:fill="FFFFFF"/>
        </w:rPr>
        <w:t>与2023年度相比</w:t>
      </w:r>
      <w:r>
        <w:rPr>
          <w:rFonts w:ascii="方正仿宋_GBK" w:hAnsi="方正仿宋_GBK" w:eastAsia="方正仿宋_GBK" w:cs="方正仿宋_GBK"/>
          <w:bCs/>
          <w:sz w:val="32"/>
          <w:szCs w:val="32"/>
          <w:shd w:val="clear" w:color="auto" w:fill="FFFFFF"/>
        </w:rPr>
        <w:t>较上年决算数无增减。</w:t>
      </w:r>
    </w:p>
    <w:p>
      <w:pPr>
        <w:pStyle w:val="10"/>
        <w:keepNext w:val="0"/>
        <w:keepLines w:val="0"/>
        <w:pageBreakBefore w:val="0"/>
        <w:kinsoku/>
        <w:wordWrap/>
        <w:topLinePunct w:val="0"/>
        <w:autoSpaceDE w:val="0"/>
        <w:autoSpaceDN/>
        <w:bidi w:val="0"/>
        <w:adjustRightInd/>
        <w:spacing w:line="560" w:lineRule="exact"/>
        <w:ind w:firstLine="643"/>
        <w:textAlignment w:val="auto"/>
        <w:rPr>
          <w:rFonts w:ascii="方正楷体_GBK" w:hAnsi="楷体" w:eastAsia="方正楷体_GBK" w:cs="楷体"/>
          <w:b w:val="0"/>
          <w:bCs w:val="0"/>
          <w:sz w:val="32"/>
          <w:szCs w:val="32"/>
          <w:shd w:val="clear" w:color="auto" w:fill="FFFFFF"/>
        </w:rPr>
      </w:pPr>
      <w:r>
        <w:rPr>
          <w:rFonts w:hint="eastAsia" w:ascii="方正楷体_GBK" w:hAnsi="楷体" w:eastAsia="方正楷体_GBK" w:cs="楷体"/>
          <w:b w:val="0"/>
          <w:bCs w:val="0"/>
          <w:sz w:val="32"/>
          <w:szCs w:val="32"/>
          <w:shd w:val="clear" w:color="auto" w:fill="FFFFFF"/>
        </w:rPr>
        <w:t>（四）一般公共预算财政拨款基本支出决算情况说明</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ascii="方正仿宋_GBK" w:hAnsi="Times New Roman" w:eastAsia="方正仿宋_GBK"/>
          <w:sz w:val="32"/>
          <w:szCs w:val="32"/>
          <w:shd w:val="clear" w:color="auto" w:fill="FFFFFF"/>
        </w:rPr>
        <w:t>638.26</w:t>
      </w:r>
      <w:r>
        <w:rPr>
          <w:rFonts w:ascii="方正仿宋_GBK" w:hAnsi="方正仿宋_GBK" w:eastAsia="方正仿宋_GBK" w:cs="方正仿宋_GBK"/>
          <w:sz w:val="32"/>
          <w:szCs w:val="32"/>
          <w:shd w:val="clear" w:color="auto" w:fill="FFFFFF"/>
        </w:rPr>
        <w:t>万元。其中：人员经费</w:t>
      </w:r>
      <w:r>
        <w:rPr>
          <w:rFonts w:ascii="方正仿宋_GBK" w:hAnsi="Times New Roman" w:eastAsia="方正仿宋_GBK"/>
          <w:sz w:val="32"/>
          <w:szCs w:val="32"/>
          <w:shd w:val="clear" w:color="auto" w:fill="FFFFFF"/>
        </w:rPr>
        <w:t>638.26</w:t>
      </w:r>
      <w:r>
        <w:rPr>
          <w:rFonts w:ascii="方正仿宋_GBK" w:hAnsi="方正仿宋_GBK" w:eastAsia="方正仿宋_GBK" w:cs="方正仿宋_GBK"/>
          <w:sz w:val="32"/>
          <w:szCs w:val="32"/>
          <w:shd w:val="clear" w:color="auto" w:fill="FFFFFF"/>
        </w:rPr>
        <w:t>万元，</w:t>
      </w:r>
      <w:r>
        <w:rPr>
          <w:rFonts w:ascii="方正仿宋_GBK" w:hAnsi="Times New Roman" w:eastAsia="方正仿宋_GBK"/>
          <w:sz w:val="32"/>
          <w:szCs w:val="32"/>
          <w:shd w:val="clear" w:color="auto" w:fill="FFFFFF"/>
        </w:rPr>
        <w:t>与2023年度相比，增加91.25万元，增长16.7%</w:t>
      </w:r>
      <w:r>
        <w:rPr>
          <w:rFonts w:ascii="方正仿宋_GBK" w:hAnsi="方正仿宋_GBK" w:eastAsia="方正仿宋_GBK" w:cs="方正仿宋_GBK"/>
          <w:sz w:val="32"/>
          <w:szCs w:val="32"/>
          <w:shd w:val="clear" w:color="auto" w:fill="FFFFFF"/>
        </w:rPr>
        <w:t>，主要原因是在职养老保险和职业年金交费调整，2024年财政补助养老保险和职业年金较上年支出增加38.91万元；退休人员补助支出也增加70.40万元；在编在职人员减少2人，其他人员经费基本支出减少18.07万元。人员经费用途主要包括基本工资、绩效、保险，较上年决算数无增减。</w:t>
      </w:r>
      <w:r>
        <w:rPr>
          <w:rStyle w:val="14"/>
          <w:rFonts w:hint="eastAsia" w:ascii="方正仿宋_GBK" w:hAnsi="方正仿宋_GBK" w:eastAsia="方正仿宋_GBK" w:cs="方正仿宋_GBK"/>
          <w:sz w:val="32"/>
          <w:szCs w:val="32"/>
          <w:shd w:val="clear" w:color="auto" w:fill="FFFFFF"/>
        </w:rPr>
        <w:t>公用经费0.00万元，较上年决算数增加0.00万元。</w:t>
      </w:r>
    </w:p>
    <w:p>
      <w:pPr>
        <w:pStyle w:val="10"/>
        <w:keepNext w:val="0"/>
        <w:keepLines w:val="0"/>
        <w:pageBreakBefore w:val="0"/>
        <w:kinsoku/>
        <w:wordWrap/>
        <w:topLinePunct w:val="0"/>
        <w:autoSpaceDE w:val="0"/>
        <w:autoSpaceDN/>
        <w:bidi w:val="0"/>
        <w:adjustRightInd/>
        <w:spacing w:line="560" w:lineRule="exact"/>
        <w:ind w:firstLine="643"/>
        <w:textAlignment w:val="auto"/>
        <w:rPr>
          <w:rFonts w:ascii="方正楷体_GBK" w:hAnsi="楷体" w:eastAsia="方正楷体_GBK" w:cs="楷体"/>
          <w:b w:val="0"/>
          <w:bCs w:val="0"/>
          <w:sz w:val="32"/>
          <w:szCs w:val="32"/>
          <w:shd w:val="clear" w:color="auto" w:fill="FFFFFF"/>
        </w:rPr>
      </w:pPr>
      <w:r>
        <w:rPr>
          <w:rFonts w:hint="eastAsia" w:ascii="方正楷体_GBK" w:hAnsi="楷体" w:eastAsia="方正楷体_GBK" w:cs="楷体"/>
          <w:b w:val="0"/>
          <w:bCs w:val="0"/>
          <w:sz w:val="32"/>
          <w:szCs w:val="32"/>
          <w:shd w:val="clear" w:color="auto" w:fill="FFFFFF"/>
        </w:rPr>
        <w:t>（五）政府性基金预算收支决算情况说明</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年度无政府性基金预算财政拨款收支。</w:t>
      </w:r>
    </w:p>
    <w:p>
      <w:pPr>
        <w:pStyle w:val="10"/>
        <w:keepNext w:val="0"/>
        <w:keepLines w:val="0"/>
        <w:pageBreakBefore w:val="0"/>
        <w:kinsoku/>
        <w:wordWrap/>
        <w:topLinePunct w:val="0"/>
        <w:autoSpaceDE w:val="0"/>
        <w:autoSpaceDN/>
        <w:bidi w:val="0"/>
        <w:adjustRightInd/>
        <w:spacing w:line="560" w:lineRule="exact"/>
        <w:ind w:firstLine="643"/>
        <w:textAlignment w:val="auto"/>
        <w:rPr>
          <w:rFonts w:ascii="方正楷体_GBK" w:hAnsi="楷体" w:eastAsia="方正楷体_GBK" w:cs="楷体"/>
          <w:b w:val="0"/>
          <w:bCs w:val="0"/>
          <w:sz w:val="32"/>
          <w:szCs w:val="32"/>
          <w:shd w:val="clear" w:color="auto" w:fill="FFFFFF"/>
        </w:rPr>
      </w:pPr>
      <w:r>
        <w:rPr>
          <w:rFonts w:hint="eastAsia" w:ascii="方正楷体_GBK" w:hAnsi="楷体" w:eastAsia="方正楷体_GBK" w:cs="楷体"/>
          <w:b w:val="0"/>
          <w:bCs w:val="0"/>
          <w:sz w:val="32"/>
          <w:szCs w:val="32"/>
          <w:shd w:val="clear" w:color="auto" w:fill="FFFFFF"/>
        </w:rPr>
        <w:t>（六）国有资本经营预算财政拨款支出决算情况说明</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4"/>
        <w:keepNext w:val="0"/>
        <w:keepLines w:val="0"/>
        <w:pageBreakBefore w:val="0"/>
        <w:shd w:val="clear" w:color="auto" w:fill="FFFFFF"/>
        <w:kinsoku/>
        <w:wordWrap/>
        <w:topLinePunct w:val="0"/>
        <w:autoSpaceDN/>
        <w:bidi w:val="0"/>
        <w:adjustRightInd/>
        <w:spacing w:before="0" w:beforeAutospacing="0" w:after="0" w:afterAutospacing="0" w:line="560" w:lineRule="exact"/>
        <w:ind w:firstLine="640" w:firstLineChars="200"/>
        <w:textAlignment w:val="auto"/>
        <w:rPr>
          <w:rStyle w:val="7"/>
          <w:rFonts w:hint="default" w:ascii="方正黑体_GBK" w:hAnsi="黑体" w:eastAsia="方正黑体_GBK" w:cs="黑体"/>
          <w:b w:val="0"/>
          <w:bCs/>
          <w:sz w:val="32"/>
          <w:szCs w:val="32"/>
          <w:shd w:val="clear" w:color="auto" w:fill="FFFFFF"/>
        </w:rPr>
      </w:pPr>
      <w:r>
        <w:rPr>
          <w:rStyle w:val="7"/>
          <w:rFonts w:ascii="方正黑体_GBK" w:hAnsi="黑体" w:eastAsia="方正黑体_GBK" w:cs="黑体"/>
          <w:b w:val="0"/>
          <w:bCs/>
          <w:sz w:val="32"/>
          <w:szCs w:val="32"/>
          <w:shd w:val="clear" w:color="auto" w:fill="FFFFFF"/>
        </w:rPr>
        <w:t>三、财政拨款“三公”经费情况说明</w:t>
      </w:r>
    </w:p>
    <w:p>
      <w:pPr>
        <w:pStyle w:val="10"/>
        <w:keepNext w:val="0"/>
        <w:keepLines w:val="0"/>
        <w:pageBreakBefore w:val="0"/>
        <w:kinsoku/>
        <w:wordWrap/>
        <w:topLinePunct w:val="0"/>
        <w:autoSpaceDE w:val="0"/>
        <w:autoSpaceDN/>
        <w:bidi w:val="0"/>
        <w:adjustRightInd/>
        <w:spacing w:line="560" w:lineRule="exact"/>
        <w:ind w:firstLine="643"/>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我单位属于差额拨款单位，未使用财政资金保障“三公”经费。</w:t>
      </w:r>
    </w:p>
    <w:p>
      <w:pPr>
        <w:pStyle w:val="4"/>
        <w:keepNext w:val="0"/>
        <w:keepLines w:val="0"/>
        <w:pageBreakBefore w:val="0"/>
        <w:shd w:val="clear" w:color="auto" w:fill="FFFFFF"/>
        <w:kinsoku/>
        <w:wordWrap/>
        <w:topLinePunct w:val="0"/>
        <w:autoSpaceDN/>
        <w:bidi w:val="0"/>
        <w:adjustRightInd/>
        <w:spacing w:before="0" w:beforeAutospacing="0" w:after="0" w:afterAutospacing="0" w:line="560" w:lineRule="exact"/>
        <w:ind w:firstLine="640" w:firstLineChars="200"/>
        <w:textAlignment w:val="auto"/>
        <w:rPr>
          <w:rStyle w:val="7"/>
          <w:rFonts w:hint="default" w:ascii="方正黑体_GBK" w:hAnsi="黑体" w:eastAsia="方正黑体_GBK" w:cs="黑体"/>
          <w:b w:val="0"/>
          <w:bCs/>
          <w:sz w:val="32"/>
          <w:szCs w:val="32"/>
          <w:shd w:val="clear" w:color="auto" w:fill="FFFFFF"/>
        </w:rPr>
      </w:pPr>
      <w:r>
        <w:rPr>
          <w:rStyle w:val="7"/>
          <w:rFonts w:ascii="方正黑体_GBK" w:hAnsi="黑体" w:eastAsia="方正黑体_GBK" w:cs="黑体"/>
          <w:b w:val="0"/>
          <w:bCs/>
          <w:sz w:val="32"/>
          <w:szCs w:val="32"/>
          <w:shd w:val="clear" w:color="auto" w:fill="FFFFFF"/>
        </w:rPr>
        <w:t>四、其他需要说明的事项</w:t>
      </w:r>
    </w:p>
    <w:p>
      <w:pPr>
        <w:pStyle w:val="4"/>
        <w:keepNext w:val="0"/>
        <w:keepLines w:val="0"/>
        <w:pageBreakBefore w:val="0"/>
        <w:shd w:val="clear" w:color="auto" w:fill="FFFFFF"/>
        <w:kinsoku/>
        <w:wordWrap/>
        <w:topLinePunct w:val="0"/>
        <w:autoSpaceDN/>
        <w:bidi w:val="0"/>
        <w:adjustRightInd/>
        <w:spacing w:before="0" w:beforeAutospacing="0" w:after="0" w:afterAutospacing="0" w:line="560" w:lineRule="exact"/>
        <w:ind w:firstLine="643" w:firstLineChars="200"/>
        <w:jc w:val="both"/>
        <w:textAlignment w:val="auto"/>
        <w:rPr>
          <w:rFonts w:hint="default" w:ascii="方正楷体_GBK" w:hAnsi="楷体" w:eastAsia="方正楷体_GBK" w:cs="楷体"/>
          <w:b/>
          <w:bCs/>
          <w:sz w:val="32"/>
          <w:szCs w:val="32"/>
          <w:shd w:val="clear" w:color="auto" w:fill="FFFFFF"/>
        </w:rPr>
      </w:pPr>
      <w:r>
        <w:rPr>
          <w:rFonts w:ascii="方正楷体_GBK" w:hAnsi="楷体" w:eastAsia="方正楷体_GBK" w:cs="楷体"/>
          <w:b/>
          <w:bCs/>
          <w:sz w:val="32"/>
          <w:szCs w:val="32"/>
          <w:shd w:val="clear" w:color="auto" w:fill="FFFFFF"/>
        </w:rPr>
        <w:t>（一）财政拨款会议费、培训费和差旅费情况说明</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万元，较上年决算数无变化。</w:t>
      </w:r>
      <w:r>
        <w:rPr>
          <w:rFonts w:hint="default" w:ascii="方正仿宋_GBK" w:hAnsi="方正仿宋_GBK" w:eastAsia="方正仿宋_GBK" w:cs="方正仿宋_GBK"/>
          <w:sz w:val="32"/>
          <w:szCs w:val="32"/>
        </w:rPr>
        <w:t>因</w:t>
      </w:r>
      <w:r>
        <w:rPr>
          <w:rFonts w:ascii="方正仿宋_GBK" w:hAnsi="方正仿宋_GBK" w:eastAsia="方正仿宋_GBK" w:cs="方正仿宋_GBK"/>
          <w:sz w:val="32"/>
          <w:szCs w:val="32"/>
        </w:rPr>
        <w:t>我单位为差额拨款单位，未使用</w:t>
      </w:r>
      <w:r>
        <w:rPr>
          <w:rFonts w:hint="default" w:ascii="方正仿宋_GBK" w:hAnsi="方正仿宋_GBK" w:eastAsia="方正仿宋_GBK" w:cs="方正仿宋_GBK"/>
          <w:sz w:val="32"/>
          <w:szCs w:val="32"/>
        </w:rPr>
        <w:t>财政</w:t>
      </w:r>
      <w:r>
        <w:rPr>
          <w:rFonts w:ascii="方正仿宋_GBK" w:hAnsi="方正仿宋_GBK" w:eastAsia="方正仿宋_GBK" w:cs="方正仿宋_GBK"/>
          <w:sz w:val="32"/>
          <w:szCs w:val="32"/>
        </w:rPr>
        <w:t>资金</w:t>
      </w:r>
      <w:r>
        <w:rPr>
          <w:rFonts w:hint="default" w:ascii="方正仿宋_GBK" w:hAnsi="方正仿宋_GBK" w:eastAsia="方正仿宋_GBK" w:cs="方正仿宋_GBK"/>
          <w:sz w:val="32"/>
          <w:szCs w:val="32"/>
        </w:rPr>
        <w:t>保障我单位会议费</w:t>
      </w:r>
      <w:r>
        <w:rPr>
          <w:rFonts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培训费</w:t>
      </w:r>
      <w:r>
        <w:rPr>
          <w:rFonts w:ascii="方正仿宋_GBK" w:hAnsi="方正仿宋_GBK" w:eastAsia="方正仿宋_GBK" w:cs="方正仿宋_GBK"/>
          <w:sz w:val="32"/>
          <w:szCs w:val="32"/>
        </w:rPr>
        <w:t>和差旅费</w:t>
      </w:r>
      <w:r>
        <w:rPr>
          <w:rFonts w:hint="default" w:ascii="方正仿宋_GBK" w:hAnsi="方正仿宋_GBK" w:eastAsia="方正仿宋_GBK" w:cs="方正仿宋_GBK"/>
          <w:sz w:val="32"/>
          <w:szCs w:val="32"/>
        </w:rPr>
        <w:t>。</w:t>
      </w:r>
    </w:p>
    <w:p>
      <w:pPr>
        <w:pStyle w:val="10"/>
        <w:keepNext w:val="0"/>
        <w:keepLines w:val="0"/>
        <w:pageBreakBefore w:val="0"/>
        <w:kinsoku/>
        <w:wordWrap/>
        <w:topLinePunct w:val="0"/>
        <w:autoSpaceDE w:val="0"/>
        <w:autoSpaceDN/>
        <w:bidi w:val="0"/>
        <w:adjustRightInd/>
        <w:spacing w:line="560"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（二）机关运行经费情况说明</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按照部门决算列报口径，我单位不在机关运行经费统计范围之内。</w:t>
      </w:r>
    </w:p>
    <w:p>
      <w:pPr>
        <w:pStyle w:val="10"/>
        <w:keepNext w:val="0"/>
        <w:keepLines w:val="0"/>
        <w:pageBreakBefore w:val="0"/>
        <w:kinsoku/>
        <w:wordWrap/>
        <w:topLinePunct w:val="0"/>
        <w:autoSpaceDE w:val="0"/>
        <w:autoSpaceDN/>
        <w:bidi w:val="0"/>
        <w:adjustRightInd/>
        <w:spacing w:line="560"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（三）国有资产占用情况说明</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ascii="方正仿宋_GBK"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ascii="方正仿宋_GBK"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ascii="方正仿宋_GBK"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ascii="方正仿宋_GBK"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ascii="方正仿宋_GBK"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ascii="方正仿宋_GBK"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ascii="方正仿宋_GBK"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ascii="方正仿宋_GBK"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ascii="方正仿宋_GBK"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ascii="方正仿宋_GBK"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ascii="方正仿宋_GBK"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ascii="方正仿宋_GBK"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台（套）。</w:t>
      </w:r>
    </w:p>
    <w:p>
      <w:pPr>
        <w:pStyle w:val="10"/>
        <w:keepNext w:val="0"/>
        <w:keepLines w:val="0"/>
        <w:pageBreakBefore w:val="0"/>
        <w:kinsoku/>
        <w:wordWrap/>
        <w:topLinePunct w:val="0"/>
        <w:autoSpaceDE w:val="0"/>
        <w:autoSpaceDN/>
        <w:bidi w:val="0"/>
        <w:adjustRightInd/>
        <w:spacing w:line="560" w:lineRule="exact"/>
        <w:ind w:firstLine="643"/>
        <w:textAlignment w:val="auto"/>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Cs/>
          <w:color w:val="000000"/>
          <w:sz w:val="32"/>
          <w:szCs w:val="32"/>
          <w:shd w:val="clear" w:color="auto" w:fill="FFFFFF"/>
        </w:rPr>
      </w:pPr>
      <w:r>
        <w:rPr>
          <w:rFonts w:ascii="方正仿宋_GBK"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ascii="方正仿宋_GBK" w:hAnsi="Times New Roman" w:eastAsia="方正仿宋_GBK"/>
          <w:sz w:val="32"/>
          <w:szCs w:val="32"/>
          <w:shd w:val="clear" w:color="auto" w:fill="FFFFFF"/>
        </w:rPr>
        <w:t>6.36</w:t>
      </w:r>
      <w:r>
        <w:rPr>
          <w:rFonts w:ascii="方正仿宋_GBK" w:hAnsi="方正仿宋_GBK" w:eastAsia="方正仿宋_GBK" w:cs="方正仿宋_GBK"/>
          <w:sz w:val="32"/>
          <w:szCs w:val="32"/>
          <w:shd w:val="clear" w:color="auto" w:fill="FFFFFF"/>
        </w:rPr>
        <w:t>万元，其中：政府采购货物支出</w:t>
      </w:r>
      <w:r>
        <w:rPr>
          <w:rFonts w:ascii="方正仿宋_GBK" w:hAnsi="Times New Roman" w:eastAsia="方正仿宋_GBK"/>
          <w:sz w:val="32"/>
          <w:szCs w:val="32"/>
          <w:shd w:val="clear" w:color="auto" w:fill="FFFFFF"/>
        </w:rPr>
        <w:t>6.36</w:t>
      </w:r>
      <w:r>
        <w:rPr>
          <w:rFonts w:ascii="方正仿宋_GBK" w:hAnsi="方正仿宋_GBK" w:eastAsia="方正仿宋_GBK" w:cs="方正仿宋_GBK"/>
          <w:sz w:val="32"/>
          <w:szCs w:val="32"/>
          <w:shd w:val="clear" w:color="auto" w:fill="FFFFFF"/>
        </w:rPr>
        <w:t>万元、政府采购工程支出</w:t>
      </w:r>
      <w:r>
        <w:rPr>
          <w:rFonts w:ascii="方正仿宋_GBK"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ascii="方正仿宋_GBK"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Times New Roman" w:eastAsia="方正仿宋_GBK"/>
          <w:sz w:val="32"/>
          <w:szCs w:val="32"/>
          <w:shd w:val="clear" w:color="auto" w:fill="FFFFFF"/>
        </w:rPr>
        <w:t>4.88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方正仿宋_GBK" w:hAnsi="Times New Roman" w:eastAsia="方正仿宋_GBK"/>
          <w:sz w:val="32"/>
          <w:szCs w:val="32"/>
          <w:shd w:val="clear" w:color="auto" w:fill="FFFFFF"/>
        </w:rPr>
        <w:t>76.8%</w:t>
      </w:r>
      <w:r>
        <w:rPr>
          <w:rFonts w:ascii="方正仿宋_GBK" w:hAnsi="方正仿宋_GBK" w:eastAsia="方正仿宋_GBK" w:cs="方正仿宋_GBK"/>
          <w:sz w:val="32"/>
          <w:szCs w:val="32"/>
          <w:shd w:val="clear" w:color="auto" w:fill="FFFFFF"/>
        </w:rPr>
        <w:t>，其中：授予小微企业合同金额</w:t>
      </w:r>
      <w:r>
        <w:rPr>
          <w:rFonts w:ascii="方正仿宋_GBK" w:hAnsi="Times New Roman" w:eastAsia="方正仿宋_GBK"/>
          <w:sz w:val="32"/>
          <w:szCs w:val="32"/>
          <w:shd w:val="clear" w:color="auto" w:fill="FFFFFF"/>
        </w:rPr>
        <w:t>4.88</w:t>
      </w:r>
      <w:r>
        <w:rPr>
          <w:rFonts w:ascii="方正仿宋_GBK" w:hAnsi="方正仿宋_GBK" w:eastAsia="方正仿宋_GBK" w:cs="方正仿宋_GBK"/>
          <w:sz w:val="32"/>
          <w:szCs w:val="32"/>
          <w:shd w:val="clear" w:color="auto" w:fill="FFFFFF"/>
        </w:rPr>
        <w:t>万元，占政府采购支出总额的</w:t>
      </w:r>
      <w:r>
        <w:rPr>
          <w:rFonts w:ascii="方正仿宋_GBK" w:hAnsi="Times New Roman" w:eastAsia="方正仿宋_GBK"/>
          <w:sz w:val="32"/>
          <w:szCs w:val="32"/>
          <w:shd w:val="clear" w:color="auto" w:fill="FFFFFF"/>
        </w:rPr>
        <w:t>76.8 %</w:t>
      </w:r>
      <w:r>
        <w:rPr>
          <w:rFonts w:ascii="方正仿宋_GBK" w:hAnsi="方正仿宋_GBK" w:eastAsia="方正仿宋_GBK" w:cs="方正仿宋_GBK"/>
          <w:sz w:val="32"/>
          <w:szCs w:val="32"/>
          <w:shd w:val="clear" w:color="auto" w:fill="FFFFFF"/>
        </w:rPr>
        <w:t>。主要用于采购</w:t>
      </w:r>
      <w:r>
        <w:rPr>
          <w:rFonts w:ascii="方正仿宋_GBK" w:hAnsi="方正仿宋_GBK" w:eastAsia="方正仿宋_GBK" w:cs="方正仿宋_GBK"/>
          <w:bCs/>
          <w:color w:val="000000"/>
          <w:sz w:val="32"/>
          <w:szCs w:val="32"/>
          <w:shd w:val="clear" w:color="auto" w:fill="FFFFFF"/>
        </w:rPr>
        <w:t>医疗设备、办公设备等。</w:t>
      </w:r>
    </w:p>
    <w:p>
      <w:pPr>
        <w:pStyle w:val="4"/>
        <w:keepNext w:val="0"/>
        <w:keepLines w:val="0"/>
        <w:pageBreakBefore w:val="0"/>
        <w:shd w:val="clear" w:color="auto" w:fill="FFFFFF"/>
        <w:kinsoku/>
        <w:wordWrap/>
        <w:topLinePunct w:val="0"/>
        <w:autoSpaceDN/>
        <w:bidi w:val="0"/>
        <w:adjustRightInd/>
        <w:spacing w:beforeAutospacing="0" w:after="0" w:afterAutospacing="0" w:line="560" w:lineRule="exact"/>
        <w:ind w:firstLine="640" w:firstLineChars="200"/>
        <w:textAlignment w:val="auto"/>
        <w:rPr>
          <w:rStyle w:val="7"/>
          <w:rFonts w:hint="default" w:ascii="方正黑体_GBK" w:hAnsi="方正黑体_GBK" w:eastAsia="方正黑体_GBK" w:cs="方正黑体_GBK"/>
          <w:b w:val="0"/>
          <w:bCs w:val="0"/>
          <w:sz w:val="32"/>
          <w:szCs w:val="32"/>
          <w:shd w:val="clear" w:color="auto" w:fill="FFFFFF"/>
        </w:rPr>
      </w:pPr>
      <w:r>
        <w:rPr>
          <w:rStyle w:val="7"/>
          <w:rFonts w:ascii="方正黑体_GBK" w:hAnsi="方正黑体_GBK" w:eastAsia="方正黑体_GBK" w:cs="方正黑体_GBK"/>
          <w:b w:val="0"/>
          <w:bCs w:val="0"/>
          <w:sz w:val="32"/>
          <w:szCs w:val="32"/>
          <w:shd w:val="clear" w:color="auto" w:fill="FFFFFF"/>
        </w:rPr>
        <w:t>五、预算绩效管理情况说明</w:t>
      </w:r>
    </w:p>
    <w:p>
      <w:pPr>
        <w:pStyle w:val="15"/>
        <w:keepNext w:val="0"/>
        <w:keepLines w:val="0"/>
        <w:pageBreakBefore w:val="0"/>
        <w:tabs>
          <w:tab w:val="center" w:pos="4153"/>
          <w:tab w:val="left" w:pos="7275"/>
        </w:tabs>
        <w:kinsoku/>
        <w:wordWrap/>
        <w:topLinePunct w:val="0"/>
        <w:autoSpaceDN/>
        <w:bidi w:val="0"/>
        <w:adjustRightInd/>
        <w:spacing w:line="560" w:lineRule="exact"/>
        <w:ind w:firstLine="640"/>
        <w:textAlignment w:val="auto"/>
        <w:rPr>
          <w:rFonts w:hint="default" w:ascii="方正楷体_GBK" w:eastAsia="方正楷体_GBK" w:cs="宋体"/>
          <w:color w:val="000000"/>
          <w:sz w:val="32"/>
          <w:szCs w:val="32"/>
        </w:rPr>
      </w:pPr>
      <w:r>
        <w:rPr>
          <w:rFonts w:ascii="方正楷体_GBK" w:eastAsia="方正楷体_GBK" w:cs="宋体"/>
          <w:color w:val="000000"/>
          <w:sz w:val="32"/>
          <w:szCs w:val="32"/>
        </w:rPr>
        <w:t>（一）预算绩效管理工作开展情况</w:t>
      </w:r>
    </w:p>
    <w:p>
      <w:pPr>
        <w:pStyle w:val="15"/>
        <w:keepNext w:val="0"/>
        <w:keepLines w:val="0"/>
        <w:pageBreakBefore w:val="0"/>
        <w:tabs>
          <w:tab w:val="center" w:pos="4153"/>
          <w:tab w:val="left" w:pos="7275"/>
        </w:tabs>
        <w:kinsoku/>
        <w:wordWrap/>
        <w:topLinePunct w:val="0"/>
        <w:autoSpaceDN/>
        <w:bidi w:val="0"/>
        <w:adjustRightInd/>
        <w:spacing w:line="560" w:lineRule="exact"/>
        <w:ind w:firstLine="640"/>
        <w:textAlignment w:val="auto"/>
        <w:rPr>
          <w:rFonts w:hint="default" w:ascii="方正仿宋_GBK" w:hAnsi="Times New Roman" w:eastAsia="方正仿宋_GBK" w:cs="宋体"/>
          <w:sz w:val="32"/>
          <w:szCs w:val="32"/>
        </w:rPr>
      </w:pPr>
      <w:r>
        <w:rPr>
          <w:rFonts w:ascii="方正仿宋_GBK" w:hAnsi="Times New Roman" w:eastAsia="方正仿宋_GBK" w:cs="宋体"/>
          <w:sz w:val="32"/>
          <w:szCs w:val="32"/>
        </w:rPr>
        <w:t>根据预算绩效管理要求，我单位对部门整体和4个项目开展自评4项，涉及资金601.63万元。</w:t>
      </w:r>
    </w:p>
    <w:p>
      <w:pPr>
        <w:pStyle w:val="15"/>
        <w:keepNext w:val="0"/>
        <w:keepLines w:val="0"/>
        <w:pageBreakBefore w:val="0"/>
        <w:tabs>
          <w:tab w:val="center" w:pos="4153"/>
          <w:tab w:val="left" w:pos="7275"/>
        </w:tabs>
        <w:kinsoku/>
        <w:wordWrap/>
        <w:topLinePunct w:val="0"/>
        <w:autoSpaceDN/>
        <w:bidi w:val="0"/>
        <w:adjustRightInd/>
        <w:spacing w:line="560" w:lineRule="exact"/>
        <w:ind w:firstLine="640"/>
        <w:textAlignment w:val="auto"/>
        <w:rPr>
          <w:rFonts w:hint="default" w:ascii="方正楷体_GBK" w:eastAsia="方正楷体_GBK" w:cs="宋体"/>
          <w:color w:val="000000"/>
          <w:sz w:val="32"/>
          <w:szCs w:val="32"/>
        </w:rPr>
      </w:pPr>
      <w:r>
        <w:rPr>
          <w:rFonts w:ascii="方正楷体_GBK" w:eastAsia="方正楷体_GBK" w:cs="宋体"/>
          <w:color w:val="000000"/>
          <w:sz w:val="32"/>
          <w:szCs w:val="32"/>
        </w:rPr>
        <w:t>（二）绩效自评结果</w:t>
      </w:r>
    </w:p>
    <w:p>
      <w:pPr>
        <w:pStyle w:val="15"/>
        <w:keepNext w:val="0"/>
        <w:keepLines w:val="0"/>
        <w:pageBreakBefore w:val="0"/>
        <w:tabs>
          <w:tab w:val="center" w:pos="4153"/>
          <w:tab w:val="left" w:pos="7275"/>
        </w:tabs>
        <w:kinsoku/>
        <w:wordWrap/>
        <w:topLinePunct w:val="0"/>
        <w:autoSpaceDN/>
        <w:bidi w:val="0"/>
        <w:adjustRightInd/>
        <w:spacing w:line="560" w:lineRule="exact"/>
        <w:ind w:firstLine="640"/>
        <w:textAlignment w:val="auto"/>
        <w:rPr>
          <w:rFonts w:hint="default" w:ascii="方正仿宋_GBK" w:hAnsi="Times New Roman" w:eastAsia="方正仿宋_GBK" w:cs="宋体"/>
          <w:color w:val="000000"/>
          <w:sz w:val="32"/>
          <w:szCs w:val="32"/>
        </w:rPr>
      </w:pPr>
      <w:r>
        <w:rPr>
          <w:rFonts w:ascii="方正仿宋_GBK" w:hAnsi="Times New Roman" w:eastAsia="方正仿宋_GBK" w:cs="宋体"/>
          <w:color w:val="000000"/>
          <w:sz w:val="32"/>
          <w:szCs w:val="32"/>
        </w:rPr>
        <w:t>1.绩效目标自评表</w:t>
      </w:r>
    </w:p>
    <w:p>
      <w:pPr>
        <w:pStyle w:val="15"/>
        <w:keepNext w:val="0"/>
        <w:keepLines w:val="0"/>
        <w:pageBreakBefore w:val="0"/>
        <w:tabs>
          <w:tab w:val="center" w:pos="4153"/>
          <w:tab w:val="left" w:pos="7275"/>
        </w:tabs>
        <w:kinsoku/>
        <w:wordWrap/>
        <w:topLinePunct w:val="0"/>
        <w:autoSpaceDN/>
        <w:bidi w:val="0"/>
        <w:adjustRightInd/>
        <w:spacing w:line="560" w:lineRule="exact"/>
        <w:ind w:firstLine="640"/>
        <w:textAlignment w:val="auto"/>
        <w:rPr>
          <w:rFonts w:hint="default" w:ascii="方正仿宋_GBK" w:hAnsi="Times New Roman" w:eastAsia="方正仿宋_GBK" w:cs="宋体"/>
          <w:color w:val="000000"/>
          <w:sz w:val="32"/>
          <w:szCs w:val="32"/>
        </w:rPr>
      </w:pPr>
      <w:r>
        <w:rPr>
          <w:rFonts w:ascii="方正仿宋_GBK" w:hAnsi="Times New Roman" w:eastAsia="方正仿宋_GBK" w:cs="宋体"/>
          <w:sz w:val="32"/>
          <w:szCs w:val="32"/>
        </w:rPr>
        <w:t>详见公开报表。</w:t>
      </w:r>
    </w:p>
    <w:p>
      <w:pPr>
        <w:pStyle w:val="11"/>
        <w:keepNext w:val="0"/>
        <w:keepLines w:val="0"/>
        <w:pageBreakBefore w:val="0"/>
        <w:kinsoku/>
        <w:wordWrap/>
        <w:topLinePunct w:val="0"/>
        <w:autoSpaceDE w:val="0"/>
        <w:autoSpaceDN/>
        <w:bidi w:val="0"/>
        <w:adjustRightInd/>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Times New Roman" w:eastAsia="方正仿宋_GBK" w:cs="宋体"/>
          <w:color w:val="000000"/>
          <w:sz w:val="32"/>
          <w:szCs w:val="32"/>
        </w:rPr>
        <w:t>2.</w:t>
      </w:r>
      <w:r>
        <w:rPr>
          <w:rFonts w:hint="eastAsia" w:ascii="方正仿宋_GBK" w:hAnsi="方正仿宋_GBK" w:eastAsia="方正仿宋_GBK" w:cs="方正仿宋_GBK"/>
          <w:sz w:val="32"/>
          <w:szCs w:val="32"/>
          <w:shd w:val="clear" w:color="auto" w:fill="FFFFFF"/>
        </w:rPr>
        <w:t>绩效自评报告或案例</w:t>
      </w:r>
    </w:p>
    <w:p>
      <w:pPr>
        <w:pStyle w:val="11"/>
        <w:keepNext w:val="0"/>
        <w:keepLines w:val="0"/>
        <w:pageBreakBefore w:val="0"/>
        <w:kinsoku/>
        <w:wordWrap/>
        <w:topLinePunct w:val="0"/>
        <w:autoSpaceDE w:val="0"/>
        <w:autoSpaceDN/>
        <w:bidi w:val="0"/>
        <w:adjustRightInd/>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无。</w:t>
      </w:r>
    </w:p>
    <w:p>
      <w:pPr>
        <w:pStyle w:val="11"/>
        <w:keepNext w:val="0"/>
        <w:keepLines w:val="0"/>
        <w:pageBreakBefore w:val="0"/>
        <w:kinsoku/>
        <w:wordWrap/>
        <w:topLinePunct w:val="0"/>
        <w:autoSpaceDE w:val="0"/>
        <w:autoSpaceDN/>
        <w:bidi w:val="0"/>
        <w:adjustRightInd/>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Times New Roman" w:eastAsia="方正仿宋_GBK" w:cs="宋体"/>
          <w:color w:val="000000"/>
          <w:sz w:val="32"/>
          <w:szCs w:val="32"/>
        </w:rPr>
        <w:t>3.</w:t>
      </w:r>
      <w:r>
        <w:rPr>
          <w:rFonts w:hint="eastAsia" w:ascii="方正仿宋_GBK" w:hAnsi="方正仿宋_GBK" w:eastAsia="方正仿宋_GBK" w:cs="方正仿宋_GBK"/>
          <w:sz w:val="32"/>
          <w:szCs w:val="32"/>
          <w:shd w:val="clear" w:color="auto" w:fill="FFFFFF"/>
        </w:rPr>
        <w:t>关于绩效自评结果的说明</w:t>
      </w:r>
    </w:p>
    <w:p>
      <w:pPr>
        <w:pStyle w:val="11"/>
        <w:keepNext w:val="0"/>
        <w:keepLines w:val="0"/>
        <w:pageBreakBefore w:val="0"/>
        <w:kinsoku/>
        <w:wordWrap/>
        <w:topLinePunct w:val="0"/>
        <w:autoSpaceDE w:val="0"/>
        <w:autoSpaceDN/>
        <w:bidi w:val="0"/>
        <w:adjustRightInd/>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本年度基本公共卫生等工作顺利完成，达到年初工作计划，自评绩效目标完成度较好。</w:t>
      </w:r>
    </w:p>
    <w:p>
      <w:pPr>
        <w:pStyle w:val="11"/>
        <w:keepNext w:val="0"/>
        <w:keepLines w:val="0"/>
        <w:pageBreakBefore w:val="0"/>
        <w:kinsoku/>
        <w:wordWrap/>
        <w:topLinePunct w:val="0"/>
        <w:autoSpaceDE w:val="0"/>
        <w:autoSpaceDN/>
        <w:bidi w:val="0"/>
        <w:adjustRightInd/>
        <w:spacing w:before="0" w:beforeAutospacing="0" w:after="0" w:afterAutospacing="0" w:line="560" w:lineRule="exact"/>
        <w:ind w:firstLine="643" w:firstLineChars="200"/>
        <w:jc w:val="both"/>
        <w:textAlignment w:val="auto"/>
        <w:rPr>
          <w:rFonts w:ascii="方正楷体_GBK" w:hAnsi="方正楷体_GBK" w:eastAsia="方正楷体_GBK" w:cs="方正楷体_GBK"/>
          <w:sz w:val="32"/>
          <w:szCs w:val="32"/>
          <w:shd w:val="clear" w:color="auto" w:fill="FFFFFF"/>
        </w:rPr>
      </w:pPr>
      <w:r>
        <w:rPr>
          <w:rStyle w:val="12"/>
          <w:rFonts w:hint="eastAsia" w:ascii="方正楷体_GBK" w:hAnsi="方正楷体_GBK" w:eastAsia="方正楷体_GBK" w:cs="方正楷体_GBK"/>
          <w:sz w:val="32"/>
          <w:szCs w:val="32"/>
          <w:shd w:val="clear" w:color="auto" w:fill="FFFFFF"/>
        </w:rPr>
        <w:t>（三）重点绩效评价结果</w:t>
      </w:r>
    </w:p>
    <w:p>
      <w:pPr>
        <w:pStyle w:val="11"/>
        <w:keepNext w:val="0"/>
        <w:keepLines w:val="0"/>
        <w:pageBreakBefore w:val="0"/>
        <w:kinsoku/>
        <w:wordWrap/>
        <w:topLinePunct w:val="0"/>
        <w:autoSpaceDE w:val="0"/>
        <w:autoSpaceDN/>
        <w:bidi w:val="0"/>
        <w:adjustRightInd/>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无。</w:t>
      </w:r>
    </w:p>
    <w:p>
      <w:pPr>
        <w:pStyle w:val="4"/>
        <w:keepNext w:val="0"/>
        <w:keepLines w:val="0"/>
        <w:pageBreakBefore w:val="0"/>
        <w:numPr>
          <w:ilvl w:val="0"/>
          <w:numId w:val="1"/>
        </w:numPr>
        <w:shd w:val="clear" w:color="auto" w:fill="FFFFFF"/>
        <w:kinsoku/>
        <w:wordWrap/>
        <w:topLinePunct w:val="0"/>
        <w:autoSpaceDN/>
        <w:bidi w:val="0"/>
        <w:adjustRightInd/>
        <w:spacing w:beforeAutospacing="0" w:after="0" w:afterAutospacing="0" w:line="560" w:lineRule="exact"/>
        <w:ind w:left="0"/>
        <w:textAlignment w:val="auto"/>
        <w:rPr>
          <w:rStyle w:val="7"/>
          <w:rFonts w:hint="default" w:ascii="方正黑体_GBK" w:hAnsi="方正黑体_GBK" w:eastAsia="方正黑体_GBK" w:cs="方正黑体_GBK"/>
          <w:b w:val="0"/>
          <w:bCs/>
          <w:sz w:val="32"/>
          <w:szCs w:val="32"/>
          <w:shd w:val="clear" w:color="auto" w:fill="FFFFFF"/>
        </w:rPr>
      </w:pPr>
      <w:r>
        <w:rPr>
          <w:rStyle w:val="7"/>
          <w:rFonts w:ascii="方正黑体_GBK" w:hAnsi="方正黑体_GBK" w:eastAsia="方正黑体_GBK" w:cs="方正黑体_GBK"/>
          <w:bCs/>
          <w:sz w:val="32"/>
          <w:szCs w:val="32"/>
          <w:shd w:val="clear" w:color="auto" w:fill="FFFFFF"/>
        </w:rPr>
        <w:t>专业名词解释</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（一）财政拨款收入：</w:t>
      </w:r>
      <w:r>
        <w:rPr>
          <w:rStyle w:val="7"/>
          <w:rFonts w:ascii="方正仿宋_GBK" w:hAnsi="方正楷体_GBK" w:eastAsia="方正仿宋_GBK" w:cs="方正楷体_GBK"/>
          <w:bCs/>
          <w:sz w:val="32"/>
          <w:szCs w:val="32"/>
          <w:shd w:val="clear" w:color="auto" w:fill="FFFFFF"/>
        </w:rPr>
        <w:t>指</w:t>
      </w:r>
      <w:r>
        <w:rPr>
          <w:rFonts w:ascii="方正仿宋_GBK" w:hAnsi="方正仿宋_GBK" w:eastAsia="方正仿宋_GBK" w:cs="方正仿宋_GBK"/>
          <w:sz w:val="32"/>
          <w:szCs w:val="32"/>
          <w:shd w:val="clear" w:color="auto" w:fill="FFFFFF"/>
        </w:rPr>
        <w:t>本年度从本级财政部门取得的财政拨款，包括一般公共预算财政拨款和政府性基金预算财政拨款。</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楷体" w:hAnsi="楷体" w:eastAsia="楷体" w:cs="楷体"/>
          <w:bCs/>
          <w:sz w:val="32"/>
          <w:szCs w:val="32"/>
          <w:shd w:val="clear" w:color="auto" w:fill="FFFFFF"/>
        </w:rPr>
        <w:t>（</w:t>
      </w:r>
      <w:r>
        <w:rPr>
          <w:rStyle w:val="7"/>
          <w:rFonts w:ascii="方正楷体_GBK" w:hAnsi="方正楷体_GBK" w:eastAsia="方正楷体_GBK" w:cs="方正楷体_GBK"/>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4"/>
        <w:keepNext w:val="0"/>
        <w:keepLines w:val="0"/>
        <w:pageBreakBefore w:val="0"/>
        <w:kinsoku/>
        <w:wordWrap/>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楷体_GBK" w:hAnsi="方正楷体_GBK" w:eastAsia="方正楷体_GBK" w:cs="方正楷体_GBK"/>
          <w:bCs/>
          <w:sz w:val="32"/>
          <w:szCs w:val="32"/>
          <w:shd w:val="clear" w:color="auto" w:fill="FFFFFF"/>
        </w:rPr>
        <w:t>（十七）其他资本性支出（支出经济分类科目类级）</w:t>
      </w:r>
      <w:r>
        <w:rPr>
          <w:rFonts w:ascii="方正楷体_GBK" w:hAnsi="方正楷体_GBK" w:eastAsia="方正楷体_GBK" w:cs="方正楷体_GBK"/>
          <w:bCs/>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shd w:val="clear" w:color="auto" w:fill="FFFFFF"/>
        <w:kinsoku/>
        <w:wordWrap/>
        <w:topLinePunct w:val="0"/>
        <w:autoSpaceDN/>
        <w:bidi w:val="0"/>
        <w:adjustRightInd/>
        <w:spacing w:beforeAutospacing="0" w:after="0" w:afterAutospacing="0" w:line="560" w:lineRule="exact"/>
        <w:textAlignment w:val="auto"/>
        <w:rPr>
          <w:rStyle w:val="7"/>
          <w:rFonts w:hint="default" w:ascii="方正黑体_GBK" w:hAnsi="方正仿宋_GBK" w:eastAsia="方正黑体_GBK" w:cs="方正仿宋_GBK"/>
          <w:b w:val="0"/>
          <w:bCs/>
          <w:sz w:val="32"/>
          <w:szCs w:val="32"/>
          <w:shd w:val="clear" w:color="auto" w:fill="FFFFFF"/>
        </w:rPr>
      </w:pPr>
      <w:r>
        <w:rPr>
          <w:rStyle w:val="7"/>
          <w:rFonts w:ascii="方正仿宋_GBK" w:hAnsi="方正仿宋_GBK" w:eastAsia="方正仿宋_GBK" w:cs="方正仿宋_GBK"/>
          <w:b w:val="0"/>
          <w:bCs/>
          <w:sz w:val="32"/>
          <w:szCs w:val="32"/>
          <w:shd w:val="clear" w:color="auto" w:fill="FFFFFF"/>
        </w:rPr>
        <w:t> </w:t>
      </w:r>
      <w:r>
        <w:rPr>
          <w:rStyle w:val="7"/>
          <w:rFonts w:ascii="方正黑体_GBK" w:hAnsi="方正仿宋_GBK" w:eastAsia="方正黑体_GBK" w:cs="方正仿宋_GBK"/>
          <w:b w:val="0"/>
          <w:bCs/>
          <w:sz w:val="32"/>
          <w:szCs w:val="32"/>
          <w:shd w:val="clear" w:color="auto" w:fill="FFFFFF"/>
        </w:rPr>
        <w:t xml:space="preserve"> </w:t>
      </w:r>
      <w:r>
        <w:rPr>
          <w:rStyle w:val="7"/>
          <w:rFonts w:ascii="方正黑体_GBK" w:hAnsi="黑体" w:eastAsia="方正黑体_GBK" w:cs="黑体"/>
          <w:b w:val="0"/>
          <w:bCs/>
          <w:sz w:val="32"/>
          <w:szCs w:val="32"/>
          <w:shd w:val="clear" w:color="auto" w:fill="FFFFFF"/>
        </w:rPr>
        <w:t>七、决算公开联系方式及信息反馈渠道</w:t>
      </w:r>
    </w:p>
    <w:p>
      <w:pPr>
        <w:pStyle w:val="11"/>
        <w:keepNext w:val="0"/>
        <w:keepLines w:val="0"/>
        <w:pageBreakBefore w:val="0"/>
        <w:kinsoku/>
        <w:wordWrap/>
        <w:overflowPunct w:val="0"/>
        <w:topLinePunct w:val="0"/>
        <w:autoSpaceDE w:val="0"/>
        <w:autoSpaceDN/>
        <w:bidi w:val="0"/>
        <w:adjustRightInd/>
        <w:spacing w:before="0" w:beforeAutospacing="0" w:after="0" w:afterAutospacing="0" w:line="560" w:lineRule="exact"/>
        <w:ind w:firstLine="640" w:firstLineChars="200"/>
        <w:textAlignment w:val="auto"/>
        <w:rPr>
          <w:rFonts w:ascii="方正仿宋_GBK" w:eastAsia="方正仿宋_GBK"/>
          <w:color w:val="FF0000"/>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023-48752835</w:t>
      </w:r>
    </w:p>
    <w:p>
      <w:pPr>
        <w:rPr>
          <w:rFonts w:hint="default" w:ascii="方正仿宋_GBK" w:hAnsi="方正仿宋_GBK" w:eastAsia="方正仿宋_GBK" w:cs="方正仿宋_GBK"/>
          <w:bCs/>
          <w:color w:val="000000"/>
          <w:sz w:val="32"/>
          <w:szCs w:val="32"/>
          <w:shd w:val="clear" w:color="auto" w:fill="FFFFFF"/>
        </w:rPr>
      </w:pPr>
    </w:p>
    <w:p>
      <w:pPr>
        <w:rPr>
          <w:rFonts w:hint="default" w:ascii="方正仿宋_GBK" w:hAnsi="方正仿宋_GBK" w:eastAsia="方正仿宋_GBK" w:cs="方正仿宋_GBK"/>
          <w:bCs/>
          <w:color w:val="000000"/>
          <w:sz w:val="32"/>
          <w:szCs w:val="32"/>
          <w:shd w:val="clear" w:color="auto" w:fill="FFFFFF"/>
        </w:rPr>
      </w:pPr>
    </w:p>
    <w:p>
      <w:pPr>
        <w:rPr>
          <w:rFonts w:hint="default" w:ascii="方正仿宋_GBK" w:hAnsi="方正仿宋_GBK" w:eastAsia="方正仿宋_GBK" w:cs="方正仿宋_GBK"/>
          <w:bCs/>
          <w:color w:val="000000"/>
          <w:sz w:val="32"/>
          <w:szCs w:val="32"/>
          <w:shd w:val="clear" w:color="auto" w:fill="FFFFFF"/>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218275"/>
    <w:multiLevelType w:val="singleLevel"/>
    <w:tmpl w:val="F8218275"/>
    <w:lvl w:ilvl="0" w:tentative="0">
      <w:start w:val="6"/>
      <w:numFmt w:val="chineseCounting"/>
      <w:suff w:val="nothing"/>
      <w:lvlText w:val="%1、"/>
      <w:lvlJc w:val="left"/>
      <w:pPr>
        <w:ind w:left="88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42"/>
    <w:rsid w:val="00295586"/>
    <w:rsid w:val="007B790F"/>
    <w:rsid w:val="00B4659F"/>
    <w:rsid w:val="00BB6442"/>
    <w:rsid w:val="1D183D0F"/>
    <w:rsid w:val="28BA20D7"/>
    <w:rsid w:val="349A4DC1"/>
    <w:rsid w:val="43902411"/>
    <w:rsid w:val="473B0824"/>
    <w:rsid w:val="4BF90FB2"/>
    <w:rsid w:val="5FDA6BA9"/>
    <w:rsid w:val="692B44DE"/>
    <w:rsid w:val="76E070CC"/>
    <w:rsid w:val="7B4B4A79"/>
    <w:rsid w:val="7CBB7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0"/>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kern w:val="0"/>
      <w:sz w:val="24"/>
      <w:szCs w:val="24"/>
      <w:lang w:val="en-US" w:eastAsia="zh-CN" w:bidi="ar-SA"/>
    </w:rPr>
  </w:style>
  <w:style w:type="character" w:customStyle="1" w:styleId="12">
    <w:name w:val="17"/>
    <w:basedOn w:val="6"/>
    <w:qFormat/>
    <w:uiPriority w:val="0"/>
    <w:rPr>
      <w:rFonts w:hint="default" w:ascii="Times New Roman" w:hAnsi="Times New Roman" w:cs="Times New Roman"/>
      <w:b/>
    </w:rPr>
  </w:style>
  <w:style w:type="character" w:customStyle="1" w:styleId="13">
    <w:name w:val="15"/>
    <w:basedOn w:val="6"/>
    <w:qFormat/>
    <w:uiPriority w:val="0"/>
    <w:rPr>
      <w:rFonts w:hint="default" w:ascii="Times New Roman" w:hAnsi="Times New Roman" w:cs="Times New Roman"/>
      <w:b/>
    </w:rPr>
  </w:style>
  <w:style w:type="character" w:customStyle="1" w:styleId="14">
    <w:name w:val="25"/>
    <w:basedOn w:val="6"/>
    <w:qFormat/>
    <w:uiPriority w:val="0"/>
    <w:rPr>
      <w:rFonts w:hint="default" w:ascii="Times New Roman" w:hAnsi="Times New Roman" w:cs="Times New Roman"/>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796</Words>
  <Characters>4540</Characters>
  <Lines>37</Lines>
  <Paragraphs>10</Paragraphs>
  <TotalTime>27</TotalTime>
  <ScaleCrop>false</ScaleCrop>
  <LinksUpToDate>false</LinksUpToDate>
  <CharactersWithSpaces>5326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2025-10-17T08:54:00Z</dcterms:created>
  <dc:creator>Windows User</dc:creator>
  <cp:lastModifiedBy>Administrator</cp:lastModifiedBy>
  <dcterms:modified xsi:type="dcterms:W3CDTF">2025-10-20T03:27:01Z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