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重庆市綦江区赶水镇中心卫生院</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pPr>
        <w:pStyle w:val="6"/>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黑体_GBK"/>
          <w:color w:val="auto"/>
          <w:sz w:val="32"/>
          <w:szCs w:val="32"/>
        </w:rPr>
      </w:pPr>
      <w:r>
        <w:rPr>
          <w:rFonts w:hint="eastAsia" w:ascii="Times New Roman" w:hAnsi="Times New Roman" w:eastAsia="方正黑体_GBK"/>
          <w:color w:val="auto"/>
          <w:sz w:val="32"/>
          <w:szCs w:val="32"/>
        </w:rPr>
        <w:t>一、单位基本情况</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重庆市綦江区赶水镇中心卫生院座落于重庆市綦江区赶水镇胜利路</w:t>
      </w:r>
      <w:r>
        <w:rPr>
          <w:rFonts w:hint="eastAsia" w:ascii="Times New Roman" w:hAnsi="Times New Roman" w:eastAsia="方正仿宋_GBK" w:cs="宋体"/>
          <w:color w:val="auto"/>
          <w:kern w:val="0"/>
          <w:sz w:val="32"/>
          <w:szCs w:val="32"/>
          <w:lang w:val="en-US" w:eastAsia="zh-CN"/>
        </w:rPr>
        <w:t>55</w:t>
      </w:r>
      <w:r>
        <w:rPr>
          <w:rFonts w:hint="eastAsia" w:ascii="Times New Roman" w:hAnsi="Times New Roman" w:eastAsia="方正仿宋_GBK" w:cs="宋体"/>
          <w:color w:val="auto"/>
          <w:kern w:val="0"/>
          <w:sz w:val="32"/>
          <w:szCs w:val="32"/>
        </w:rPr>
        <w:t>号，建院于1951年，房屋建筑面积</w:t>
      </w:r>
      <w:r>
        <w:rPr>
          <w:rFonts w:hint="eastAsia" w:ascii="Times New Roman" w:hAnsi="Times New Roman" w:eastAsia="方正仿宋_GBK" w:cs="宋体"/>
          <w:color w:val="auto"/>
          <w:kern w:val="0"/>
          <w:sz w:val="32"/>
          <w:szCs w:val="32"/>
          <w:lang w:val="en-US" w:eastAsia="zh-CN"/>
        </w:rPr>
        <w:t>6780.18</w:t>
      </w:r>
      <w:r>
        <w:rPr>
          <w:rFonts w:hint="eastAsia" w:ascii="Times New Roman" w:hAnsi="Times New Roman" w:eastAsia="方正仿宋_GBK" w:cs="宋体"/>
          <w:color w:val="auto"/>
          <w:kern w:val="0"/>
          <w:sz w:val="32"/>
          <w:szCs w:val="32"/>
        </w:rPr>
        <w:t>㎡；编制床位</w:t>
      </w:r>
      <w:r>
        <w:rPr>
          <w:rFonts w:hint="eastAsia" w:ascii="Times New Roman" w:hAnsi="Times New Roman" w:eastAsia="方正仿宋_GBK" w:cs="宋体"/>
          <w:color w:val="auto"/>
          <w:kern w:val="0"/>
          <w:sz w:val="32"/>
          <w:szCs w:val="32"/>
          <w:lang w:val="en-US" w:eastAsia="zh-CN"/>
        </w:rPr>
        <w:t>120</w:t>
      </w:r>
      <w:r>
        <w:rPr>
          <w:rFonts w:hint="eastAsia" w:ascii="Times New Roman" w:hAnsi="Times New Roman" w:eastAsia="方正仿宋_GBK" w:cs="宋体"/>
          <w:color w:val="auto"/>
          <w:kern w:val="0"/>
          <w:sz w:val="32"/>
          <w:szCs w:val="32"/>
        </w:rPr>
        <w:t>张，开放床位1</w:t>
      </w:r>
      <w:r>
        <w:rPr>
          <w:rFonts w:hint="eastAsia" w:ascii="Times New Roman" w:hAnsi="Times New Roman" w:eastAsia="方正仿宋_GBK" w:cs="宋体"/>
          <w:color w:val="auto"/>
          <w:kern w:val="0"/>
          <w:sz w:val="32"/>
          <w:szCs w:val="32"/>
          <w:lang w:val="en-US" w:eastAsia="zh-CN"/>
        </w:rPr>
        <w:t>20</w:t>
      </w:r>
      <w:r>
        <w:rPr>
          <w:rFonts w:hint="eastAsia" w:ascii="Times New Roman" w:hAnsi="Times New Roman" w:eastAsia="方正仿宋_GBK" w:cs="宋体"/>
          <w:color w:val="auto"/>
          <w:kern w:val="0"/>
          <w:sz w:val="32"/>
          <w:szCs w:val="32"/>
        </w:rPr>
        <w:t>张；人员编制</w:t>
      </w:r>
      <w:r>
        <w:rPr>
          <w:rFonts w:hint="eastAsia" w:ascii="Times New Roman" w:hAnsi="Times New Roman" w:eastAsia="方正仿宋_GBK" w:cs="宋体"/>
          <w:color w:val="auto"/>
          <w:kern w:val="0"/>
          <w:sz w:val="32"/>
          <w:szCs w:val="32"/>
          <w:lang w:val="en-US" w:eastAsia="zh-CN"/>
        </w:rPr>
        <w:t>81</w:t>
      </w:r>
      <w:r>
        <w:rPr>
          <w:rFonts w:hint="eastAsia" w:ascii="Times New Roman" w:hAnsi="Times New Roman" w:eastAsia="方正仿宋_GBK" w:cs="宋体"/>
          <w:color w:val="auto"/>
          <w:kern w:val="0"/>
          <w:sz w:val="32"/>
          <w:szCs w:val="32"/>
        </w:rPr>
        <w:t>人，实有在编人员7</w:t>
      </w:r>
      <w:r>
        <w:rPr>
          <w:rFonts w:hint="eastAsia" w:ascii="Times New Roman" w:hAnsi="Times New Roman" w:eastAsia="方正仿宋_GBK" w:cs="宋体"/>
          <w:color w:val="auto"/>
          <w:kern w:val="0"/>
          <w:sz w:val="32"/>
          <w:szCs w:val="32"/>
          <w:lang w:val="en-US" w:eastAsia="zh-CN"/>
        </w:rPr>
        <w:t>3</w:t>
      </w:r>
      <w:r>
        <w:rPr>
          <w:rFonts w:hint="eastAsia" w:ascii="Times New Roman" w:hAnsi="Times New Roman" w:eastAsia="方正仿宋_GBK" w:cs="宋体"/>
          <w:color w:val="auto"/>
          <w:kern w:val="0"/>
          <w:sz w:val="32"/>
          <w:szCs w:val="32"/>
        </w:rPr>
        <w:t>人，其中：高级职称</w:t>
      </w:r>
      <w:r>
        <w:rPr>
          <w:rFonts w:hint="eastAsia" w:ascii="Times New Roman" w:hAnsi="Times New Roman" w:eastAsia="方正仿宋_GBK" w:cs="宋体"/>
          <w:color w:val="auto"/>
          <w:kern w:val="0"/>
          <w:sz w:val="32"/>
          <w:szCs w:val="32"/>
          <w:lang w:val="en-US" w:eastAsia="zh-CN"/>
        </w:rPr>
        <w:t>8</w:t>
      </w:r>
      <w:r>
        <w:rPr>
          <w:rFonts w:hint="eastAsia" w:ascii="Times New Roman" w:hAnsi="Times New Roman" w:eastAsia="方正仿宋_GBK" w:cs="宋体"/>
          <w:color w:val="auto"/>
          <w:kern w:val="0"/>
          <w:sz w:val="32"/>
          <w:szCs w:val="32"/>
        </w:rPr>
        <w:t>人，中级职称</w:t>
      </w:r>
      <w:r>
        <w:rPr>
          <w:rFonts w:hint="eastAsia" w:ascii="Times New Roman" w:hAnsi="Times New Roman" w:eastAsia="方正仿宋_GBK" w:cs="宋体"/>
          <w:color w:val="auto"/>
          <w:kern w:val="0"/>
          <w:sz w:val="32"/>
          <w:szCs w:val="32"/>
          <w:lang w:val="en-US" w:eastAsia="zh-CN"/>
        </w:rPr>
        <w:t>30</w:t>
      </w:r>
      <w:r>
        <w:rPr>
          <w:rFonts w:hint="eastAsia" w:ascii="Times New Roman" w:hAnsi="Times New Roman" w:eastAsia="方正仿宋_GBK" w:cs="宋体"/>
          <w:color w:val="auto"/>
          <w:kern w:val="0"/>
          <w:sz w:val="32"/>
          <w:szCs w:val="32"/>
        </w:rPr>
        <w:t>人，劳务派遣42人。</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（一）职能职责</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right="0" w:rightChars="0" w:firstLine="640" w:firstLineChars="200"/>
        <w:jc w:val="both"/>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仿宋_GBK" w:cs="方正仿宋_GBK"/>
          <w:color w:val="auto"/>
          <w:kern w:val="2"/>
          <w:sz w:val="32"/>
          <w:szCs w:val="32"/>
        </w:rPr>
        <w:t>重庆市綦江区赶水镇中心卫生院属一级甲等乡镇卫生院，是一所集医疗、预防保健、公共卫生服务为一体的综合性卫生院，是基本医疗保险、工伤保险、商业医疗保险、生育保险、民政救助的定点医疗机构。</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（二）机构设置</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仿宋_GBK" w:cs="方正仿宋_GBK"/>
          <w:color w:val="auto"/>
          <w:kern w:val="2"/>
          <w:sz w:val="32"/>
          <w:szCs w:val="32"/>
        </w:rPr>
        <w:t xml:space="preserve"> 重庆市綦江区赶水镇中心卫生院设置职能科室16个，临床科室4个，医技科室1个。  </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（三）单位构成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right="0" w:rightChars="0" w:firstLine="640" w:firstLineChars="200"/>
        <w:jc w:val="both"/>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方正仿宋_GBK"/>
          <w:color w:val="auto"/>
          <w:kern w:val="2"/>
          <w:sz w:val="32"/>
          <w:szCs w:val="32"/>
        </w:rPr>
        <w:t>重庆市綦江区赶水镇中心卫生院为纳入綦江区卫生健康委员会202</w:t>
      </w:r>
      <w:r>
        <w:rPr>
          <w:rFonts w:hint="eastAsia" w:ascii="Times New Roman" w:hAnsi="Times New Roman" w:eastAsia="方正仿宋_GBK" w:cs="方正仿宋_GBK"/>
          <w:color w:val="auto"/>
          <w:kern w:val="2"/>
          <w:sz w:val="32"/>
          <w:szCs w:val="32"/>
          <w:lang w:val="en-US" w:eastAsia="zh-CN"/>
        </w:rPr>
        <w:t>4</w:t>
      </w:r>
      <w:r>
        <w:rPr>
          <w:rFonts w:hint="eastAsia" w:ascii="Times New Roman" w:hAnsi="Times New Roman" w:eastAsia="方正仿宋_GBK" w:cs="方正仿宋_GBK"/>
          <w:color w:val="auto"/>
          <w:kern w:val="2"/>
          <w:sz w:val="32"/>
          <w:szCs w:val="32"/>
        </w:rPr>
        <w:t>年度决算编制的二级预算单位。</w:t>
      </w:r>
    </w:p>
    <w:p>
      <w:pPr>
        <w:pStyle w:val="6"/>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default"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hint="eastAsia" w:ascii="Times New Roman" w:hAnsi="Times New Roman" w:eastAsia="方正黑体_GBK"/>
          <w:color w:val="auto"/>
          <w:sz w:val="32"/>
          <w:szCs w:val="32"/>
          <w:lang w:eastAsia="zh-CN"/>
        </w:rPr>
        <w:t>单位</w:t>
      </w:r>
      <w:r>
        <w:rPr>
          <w:rFonts w:hint="eastAsia" w:ascii="Times New Roman" w:hAnsi="Times New Roman" w:eastAsia="方正黑体_GBK"/>
          <w:color w:val="auto"/>
          <w:sz w:val="32"/>
          <w:szCs w:val="32"/>
        </w:rPr>
        <w:t>决算</w:t>
      </w:r>
      <w:r>
        <w:rPr>
          <w:rFonts w:hint="eastAsia" w:ascii="Times New Roman" w:hAnsi="Times New Roman" w:eastAsia="方正黑体_GBK"/>
          <w:color w:val="auto"/>
          <w:sz w:val="32"/>
          <w:szCs w:val="32"/>
          <w:lang w:eastAsia="zh-CN"/>
        </w:rPr>
        <w:t>收支</w:t>
      </w:r>
      <w:r>
        <w:rPr>
          <w:rFonts w:hint="eastAsia" w:ascii="Times New Roman" w:hAnsi="Times New Roman" w:eastAsia="方正黑体_GBK"/>
          <w:color w:val="auto"/>
          <w:sz w:val="32"/>
          <w:szCs w:val="32"/>
        </w:rPr>
        <w:t>情况说明</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（一）收入支出决算总体情况说明</w:t>
      </w:r>
    </w:p>
    <w:p>
      <w:pPr>
        <w:pStyle w:val="2"/>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3449.67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收、支与2023年度相比，减少22.31万元，下降0.6%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2024年收入减少，相应减少支出。</w:t>
      </w:r>
    </w:p>
    <w:p>
      <w:pPr>
        <w:pStyle w:val="2"/>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rPr>
        <w:t>.收入情况</w:t>
      </w:r>
      <w:r>
        <w:rPr>
          <w:rStyle w:val="5"/>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3449.67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与2023年度相比，减少22.31万元，下降0.6%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财政拨款收入增加</w:t>
      </w:r>
      <w:r>
        <w:rPr>
          <w:rFonts w:hint="eastAsia" w:ascii="方正仿宋_GBK" w:hAnsi="方正仿宋_GBK" w:eastAsia="方正仿宋_GBK" w:cs="方正仿宋_GBK"/>
          <w:color w:val="auto"/>
          <w:sz w:val="32"/>
          <w:szCs w:val="32"/>
          <w:shd w:val="clear" w:color="auto" w:fill="FFFFFF"/>
          <w:lang w:val="en-US" w:eastAsia="zh-CN"/>
        </w:rPr>
        <w:t>，事业收入减少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1131.48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32.8%</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2318.19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67.2%</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pPr>
        <w:pStyle w:val="2"/>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.支出情况</w:t>
      </w:r>
      <w:r>
        <w:rPr>
          <w:rStyle w:val="5"/>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3449.67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与2023年度相比，减少22.31万元，下降0.6%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商品和服务支出减少。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2878.13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83.4%</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571.54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16.6%</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bidi="ar-SA"/>
        </w:rPr>
        <w:t>3.结转结余情况</w:t>
      </w:r>
      <w:r>
        <w:rPr>
          <w:rStyle w:val="5"/>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r>
        <w:rPr>
          <w:rFonts w:hint="eastAsia" w:ascii="Times New Roman" w:hAnsi="Times New Roman" w:eastAsia="方正仿宋_GBK"/>
          <w:color w:val="auto"/>
          <w:sz w:val="32"/>
          <w:szCs w:val="32"/>
        </w:rPr>
        <w:t>较上年决算数增加0万元。</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（二）财政拨款收入支出决算总体情况说明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1131.48</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财政拨款收、支总计各增加12.78万元，增长1.1%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社会保障和就业收支增加</w:t>
      </w:r>
      <w:r>
        <w:rPr>
          <w:rFonts w:hint="eastAsia" w:ascii="方正仿宋_GBK" w:hAnsi="方正仿宋_GBK" w:eastAsia="方正仿宋_GBK" w:cs="方正仿宋_GBK"/>
          <w:color w:val="auto"/>
          <w:sz w:val="32"/>
          <w:szCs w:val="32"/>
          <w:shd w:val="clear" w:color="auto" w:fill="FFFFFF"/>
          <w:lang w:val="en-US" w:eastAsia="zh-CN"/>
        </w:rPr>
        <w:t>，卫生健康收支减少。</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（三）一般公共预算财政拨款收入支出决算情况说明</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olor w:val="auto"/>
          <w:sz w:val="32"/>
          <w:szCs w:val="32"/>
        </w:rPr>
      </w:pPr>
      <w:r>
        <w:rPr>
          <w:rFonts w:hint="default" w:ascii="方正仿宋_GBK" w:hAnsi="方正仿宋_GBK" w:eastAsia="方正仿宋_GBK" w:cs="方正仿宋_GBK"/>
          <w:b w:val="0"/>
          <w:bCs w:val="0"/>
          <w:color w:val="auto"/>
          <w:kern w:val="0"/>
          <w:sz w:val="32"/>
          <w:szCs w:val="32"/>
          <w:shd w:val="clear" w:color="auto" w:fill="FFFFFF"/>
          <w:lang w:eastAsia="zh-CN"/>
        </w:rPr>
        <w:t>1</w:t>
      </w:r>
      <w:r>
        <w:rPr>
          <w:rFonts w:hint="eastAsia" w:ascii="方正仿宋_GBK" w:hAnsi="方正仿宋_GBK" w:eastAsia="方正仿宋_GBK" w:cs="方正仿宋_GBK"/>
          <w:b w:val="0"/>
          <w:bCs w:val="0"/>
          <w:color w:val="auto"/>
          <w:kern w:val="0"/>
          <w:sz w:val="32"/>
          <w:szCs w:val="32"/>
          <w:shd w:val="clear" w:color="auto" w:fill="FFFFFF"/>
          <w:lang w:eastAsia="zh-CN"/>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1131.48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与2023年度相比，增加12.78万元，增长1.1%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社会保障和就业收入增加</w:t>
      </w:r>
      <w:r>
        <w:rPr>
          <w:rFonts w:hint="eastAsia" w:ascii="方正仿宋_GBK" w:hAnsi="方正仿宋_GBK" w:eastAsia="方正仿宋_GBK" w:cs="方正仿宋_GBK"/>
          <w:color w:val="auto"/>
          <w:sz w:val="32"/>
          <w:szCs w:val="32"/>
          <w:shd w:val="clear" w:color="auto" w:fill="FFFFFF"/>
          <w:lang w:val="en-US" w:eastAsia="zh-CN"/>
        </w:rPr>
        <w:t>，卫生健康收入减少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较年初预算数增加632.28万元，增长126.7%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b w:val="0"/>
          <w:bCs w:val="0"/>
          <w:color w:val="auto"/>
          <w:kern w:val="0"/>
          <w:sz w:val="32"/>
          <w:szCs w:val="32"/>
          <w:shd w:val="clear" w:color="auto" w:fill="FFFFFF"/>
          <w:lang w:eastAsia="zh-CN"/>
        </w:rPr>
        <w:t>基本公卫卫生服务收入、街镇卫生院药品零差率补助、基本药物款</w:t>
      </w:r>
      <w:r>
        <w:rPr>
          <w:rFonts w:hint="eastAsia" w:ascii="Times New Roman" w:hAnsi="Times New Roman" w:eastAsia="方正仿宋_GBK"/>
          <w:color w:val="auto"/>
          <w:sz w:val="32"/>
          <w:szCs w:val="32"/>
        </w:rPr>
        <w:t>和死亡抚恤未纳入</w:t>
      </w:r>
      <w:r>
        <w:rPr>
          <w:rFonts w:hint="eastAsia" w:ascii="Times New Roman" w:hAnsi="Times New Roman" w:eastAsia="方正仿宋_GBK"/>
          <w:color w:val="auto"/>
          <w:sz w:val="32"/>
          <w:szCs w:val="32"/>
          <w:lang w:eastAsia="zh-CN"/>
        </w:rPr>
        <w:t>年初</w:t>
      </w:r>
      <w:r>
        <w:rPr>
          <w:rFonts w:hint="eastAsia" w:ascii="Times New Roman" w:hAnsi="Times New Roman" w:eastAsia="方正仿宋_GBK"/>
          <w:color w:val="auto"/>
          <w:sz w:val="32"/>
          <w:szCs w:val="32"/>
        </w:rPr>
        <w:t>预算。此外，年初财政拨款结转和结余0万元。</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b w:val="0"/>
          <w:bCs w:val="0"/>
          <w:color w:val="auto"/>
          <w:kern w:val="0"/>
          <w:sz w:val="32"/>
          <w:szCs w:val="32"/>
          <w:shd w:val="clear" w:color="auto" w:fill="FFFFFF"/>
          <w:lang w:eastAsia="zh-CN"/>
        </w:rPr>
        <w:t>2</w:t>
      </w:r>
      <w:r>
        <w:rPr>
          <w:rFonts w:hint="eastAsia" w:ascii="方正仿宋_GBK" w:hAnsi="方正仿宋_GBK" w:eastAsia="方正仿宋_GBK" w:cs="方正仿宋_GBK"/>
          <w:b w:val="0"/>
          <w:bCs w:val="0"/>
          <w:color w:val="auto"/>
          <w:kern w:val="0"/>
          <w:sz w:val="32"/>
          <w:szCs w:val="32"/>
          <w:shd w:val="clear" w:color="auto" w:fill="FFFFFF"/>
          <w:lang w:eastAsia="zh-CN"/>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1131.48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与2023年度相比，增加12.78万元，增长1.1%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基本公共卫生服务支出增加。</w:t>
      </w:r>
      <w:r>
        <w:rPr>
          <w:rFonts w:hint="default" w:ascii="Times New Roman" w:hAnsi="Times New Roman" w:eastAsia="方正仿宋_GBK"/>
          <w:color w:val="auto"/>
          <w:sz w:val="32"/>
          <w:szCs w:val="32"/>
          <w:shd w:val="clear" w:color="auto" w:fill="FFFFFF"/>
        </w:rPr>
        <w:t>较年初预算数增加632.28万元，增长126.7%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b w:val="0"/>
          <w:bCs w:val="0"/>
          <w:color w:val="auto"/>
          <w:kern w:val="0"/>
          <w:sz w:val="32"/>
          <w:szCs w:val="32"/>
          <w:shd w:val="clear" w:color="auto" w:fill="FFFFFF"/>
          <w:lang w:eastAsia="zh-CN"/>
        </w:rPr>
        <w:t>基本公卫卫生服务收入、街镇卫生院药品零差率补助、基本药物款</w:t>
      </w:r>
      <w:r>
        <w:rPr>
          <w:rFonts w:hint="eastAsia" w:ascii="Times New Roman" w:hAnsi="Times New Roman" w:eastAsia="方正仿宋_GBK"/>
          <w:color w:val="auto"/>
          <w:sz w:val="32"/>
          <w:szCs w:val="32"/>
        </w:rPr>
        <w:t>和死亡抚恤未纳入</w:t>
      </w:r>
      <w:r>
        <w:rPr>
          <w:rFonts w:hint="eastAsia" w:ascii="Times New Roman" w:hAnsi="Times New Roman" w:eastAsia="方正仿宋_GBK"/>
          <w:color w:val="auto"/>
          <w:sz w:val="32"/>
          <w:szCs w:val="32"/>
          <w:lang w:eastAsia="zh-CN"/>
        </w:rPr>
        <w:t>年初</w:t>
      </w:r>
      <w:r>
        <w:rPr>
          <w:rFonts w:hint="eastAsia" w:ascii="Times New Roman" w:hAnsi="Times New Roman" w:eastAsia="方正仿宋_GBK"/>
          <w:color w:val="auto"/>
          <w:sz w:val="32"/>
          <w:szCs w:val="32"/>
        </w:rPr>
        <w:t>预算。</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2"/>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214.43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19.0%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较年初预算数增加53.81万元，增长33.5%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其他行政事业单位养老支出增加</w:t>
      </w:r>
      <w:r>
        <w:rPr>
          <w:rFonts w:hint="eastAsia" w:ascii="方正仿宋_GBK" w:hAnsi="方正仿宋_GBK" w:eastAsia="方正仿宋_GBK" w:cs="方正仿宋_GBK"/>
          <w:color w:val="auto"/>
          <w:sz w:val="32"/>
          <w:szCs w:val="32"/>
          <w:shd w:val="clear" w:color="auto" w:fill="FFFFFF"/>
          <w:lang w:val="en-US" w:eastAsia="zh-CN"/>
        </w:rPr>
        <w:t>。</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917.05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81.1%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较年初预算数增加578.46万元，增长170.8%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b w:val="0"/>
          <w:bCs w:val="0"/>
          <w:color w:val="auto"/>
          <w:kern w:val="0"/>
          <w:sz w:val="32"/>
          <w:szCs w:val="32"/>
          <w:shd w:val="clear" w:color="auto" w:fill="FFFFFF"/>
          <w:lang w:eastAsia="zh-CN"/>
        </w:rPr>
        <w:t>基本公卫卫生服务收入、街镇卫生院药品零差率补助、基本药物款</w:t>
      </w:r>
      <w:r>
        <w:rPr>
          <w:rFonts w:hint="eastAsia" w:ascii="Times New Roman" w:hAnsi="Times New Roman" w:eastAsia="方正仿宋_GBK"/>
          <w:color w:val="auto"/>
          <w:sz w:val="32"/>
          <w:szCs w:val="32"/>
        </w:rPr>
        <w:t>和死亡抚恤未纳入</w:t>
      </w:r>
      <w:r>
        <w:rPr>
          <w:rFonts w:hint="eastAsia" w:ascii="Times New Roman" w:hAnsi="Times New Roman" w:eastAsia="方正仿宋_GBK"/>
          <w:color w:val="auto"/>
          <w:sz w:val="32"/>
          <w:szCs w:val="32"/>
          <w:lang w:eastAsia="zh-CN"/>
        </w:rPr>
        <w:t>年初</w:t>
      </w:r>
      <w:r>
        <w:rPr>
          <w:rFonts w:hint="eastAsia" w:ascii="Times New Roman" w:hAnsi="Times New Roman" w:eastAsia="方正仿宋_GBK"/>
          <w:color w:val="auto"/>
          <w:sz w:val="32"/>
          <w:szCs w:val="32"/>
        </w:rPr>
        <w:t>预算。</w:t>
      </w:r>
    </w:p>
    <w:p>
      <w:pPr>
        <w:pStyle w:val="2"/>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b w:val="0"/>
          <w:bCs w:val="0"/>
          <w:color w:val="auto"/>
          <w:kern w:val="0"/>
          <w:sz w:val="32"/>
          <w:szCs w:val="32"/>
          <w:shd w:val="clear" w:color="auto" w:fill="FFFFFF"/>
          <w:lang w:val="en-US" w:eastAsia="zh-CN" w:bidi="ar-SA"/>
        </w:rPr>
        <w:t>3</w:t>
      </w:r>
      <w:r>
        <w:rPr>
          <w:rFonts w:hint="eastAsia" w:ascii="方正仿宋_GBK" w:hAnsi="方正仿宋_GBK" w:eastAsia="方正仿宋_GBK" w:cs="方正仿宋_GBK"/>
          <w:b w:val="0"/>
          <w:bCs w:val="0"/>
          <w:color w:val="auto"/>
          <w:kern w:val="0"/>
          <w:sz w:val="32"/>
          <w:szCs w:val="32"/>
          <w:shd w:val="clear" w:color="auto" w:fill="FFFFFF"/>
          <w:lang w:val="en-US" w:eastAsia="zh-CN" w:bidi="ar-SA"/>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（四）一般公共预算财政拨款基本支出决算情况说明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559.94</w:t>
      </w:r>
      <w:r>
        <w:rPr>
          <w:rFonts w:ascii="方正仿宋_GBK" w:hAnsi="方正仿宋_GBK" w:eastAsia="方正仿宋_GBK" w:cs="方正仿宋_GBK"/>
          <w:color w:val="auto"/>
          <w:sz w:val="32"/>
          <w:szCs w:val="32"/>
          <w:shd w:val="clear" w:color="auto" w:fill="FFFFFF"/>
        </w:rPr>
        <w:t>万元。</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pPr>
        <w:pStyle w:val="2"/>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559.94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与2023年度相比，增加41.25万元，增长8.0%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其他行政事业单位养老支出增加50万元</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行政事业单位养老支出</w:t>
      </w:r>
      <w:r>
        <w:rPr>
          <w:rFonts w:hint="eastAsia" w:ascii="方正仿宋_GBK" w:hAnsi="方正仿宋_GBK" w:eastAsia="方正仿宋_GBK" w:cs="方正仿宋_GBK"/>
          <w:color w:val="auto"/>
          <w:sz w:val="32"/>
          <w:szCs w:val="32"/>
          <w:shd w:val="clear" w:color="auto" w:fill="FFFFFF"/>
          <w:lang w:eastAsia="zh-CN"/>
        </w:rPr>
        <w:t>，基本医疗卫生机构支出，行政事业单位医疗支出。</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（五）政府性基金预算收支决算情况说明</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本单位</w:t>
      </w:r>
      <w:r>
        <w:rPr>
          <w:rFonts w:hint="eastAsia" w:ascii="Times New Roman" w:hAnsi="Times New Roman" w:eastAsia="方正仿宋_GBK"/>
          <w:color w:val="auto"/>
          <w:sz w:val="32"/>
          <w:szCs w:val="32"/>
          <w:lang w:eastAsia="zh-CN"/>
        </w:rPr>
        <w:t>202</w:t>
      </w:r>
      <w:r>
        <w:rPr>
          <w:rFonts w:hint="eastAsia" w:ascii="Times New Roman" w:hAnsi="Times New Roman" w:eastAsia="方正仿宋_GBK"/>
          <w:color w:val="auto"/>
          <w:sz w:val="32"/>
          <w:szCs w:val="32"/>
          <w:lang w:val="en-US" w:eastAsia="zh-CN"/>
        </w:rPr>
        <w:t>4</w:t>
      </w:r>
      <w:r>
        <w:rPr>
          <w:rFonts w:hint="eastAsia" w:ascii="Times New Roman" w:hAnsi="Times New Roman" w:eastAsia="方正仿宋_GBK"/>
          <w:color w:val="auto"/>
          <w:sz w:val="32"/>
          <w:szCs w:val="32"/>
        </w:rPr>
        <w:t>年度无政府性基金预算财政拨款收支。</w:t>
      </w:r>
    </w:p>
    <w:p>
      <w:pPr>
        <w:pStyle w:val="7"/>
        <w:keepNext w:val="0"/>
        <w:keepLines w:val="0"/>
        <w:pageBreakBefore w:val="0"/>
        <w:widowControl/>
        <w:numPr>
          <w:ilvl w:val="0"/>
          <w:numId w:val="2"/>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国有资本经营预算财政拨款支出决算情况说明</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仿宋_GBK"/>
          <w:color w:val="auto"/>
          <w:sz w:val="32"/>
          <w:szCs w:val="32"/>
        </w:rPr>
        <w:t>本单位</w:t>
      </w:r>
      <w:r>
        <w:rPr>
          <w:rFonts w:hint="eastAsia" w:ascii="Times New Roman" w:hAnsi="Times New Roman" w:eastAsia="方正仿宋_GBK"/>
          <w:color w:val="auto"/>
          <w:sz w:val="32"/>
          <w:szCs w:val="32"/>
          <w:lang w:eastAsia="zh-CN"/>
        </w:rPr>
        <w:t>202</w:t>
      </w:r>
      <w:r>
        <w:rPr>
          <w:rFonts w:hint="eastAsia" w:ascii="Times New Roman" w:hAnsi="Times New Roman" w:eastAsia="方正仿宋_GBK"/>
          <w:color w:val="auto"/>
          <w:sz w:val="32"/>
          <w:szCs w:val="32"/>
          <w:lang w:val="en-US" w:eastAsia="zh-CN"/>
        </w:rPr>
        <w:t>4</w:t>
      </w:r>
      <w:r>
        <w:rPr>
          <w:rFonts w:hint="eastAsia" w:ascii="Times New Roman" w:hAnsi="Times New Roman" w:eastAsia="方正仿宋_GBK"/>
          <w:color w:val="auto"/>
          <w:sz w:val="32"/>
          <w:szCs w:val="32"/>
        </w:rPr>
        <w:t>年度无国有资本经营预算财政拨款支出。</w:t>
      </w:r>
    </w:p>
    <w:p>
      <w:pPr>
        <w:pStyle w:val="6"/>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default"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hint="eastAsia" w:ascii="Times New Roman" w:hAnsi="Times New Roman" w:eastAsia="方正黑体_GBK"/>
          <w:color w:val="auto"/>
          <w:sz w:val="32"/>
          <w:szCs w:val="32"/>
          <w:lang w:eastAsia="zh-CN"/>
        </w:rPr>
        <w:t>财政拨款</w:t>
      </w:r>
      <w:r>
        <w:rPr>
          <w:rFonts w:hint="eastAsia" w:ascii="Times New Roman" w:hAnsi="Times New Roman" w:eastAsia="方正黑体_GBK"/>
          <w:color w:val="auto"/>
          <w:sz w:val="32"/>
          <w:szCs w:val="32"/>
        </w:rPr>
        <w:t>“三公”经费情况说明</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（一）“三公”经费支出总体情况说明</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年度“三公”经费支出共计0万元，较年初预算数增加0万元，</w:t>
      </w:r>
      <w:r>
        <w:rPr>
          <w:rFonts w:hint="eastAsia" w:ascii="Times New Roman" w:hAnsi="Times New Roman" w:eastAsia="方正仿宋_GBK" w:cs="宋体"/>
          <w:color w:val="auto"/>
          <w:kern w:val="0"/>
          <w:sz w:val="32"/>
          <w:szCs w:val="32"/>
          <w:lang w:eastAsia="zh-CN"/>
        </w:rPr>
        <w:t>无变化</w:t>
      </w:r>
      <w:r>
        <w:rPr>
          <w:rFonts w:hint="eastAsia" w:ascii="Times New Roman" w:hAnsi="Times New Roman" w:eastAsia="方正仿宋_GBK" w:cs="宋体"/>
          <w:color w:val="auto"/>
          <w:kern w:val="0"/>
          <w:sz w:val="32"/>
          <w:szCs w:val="32"/>
        </w:rPr>
        <w:t>。较上年支出数增加0万元，</w:t>
      </w:r>
      <w:r>
        <w:rPr>
          <w:rFonts w:hint="eastAsia" w:ascii="Times New Roman" w:hAnsi="Times New Roman" w:eastAsia="方正仿宋_GBK" w:cs="宋体"/>
          <w:color w:val="auto"/>
          <w:kern w:val="0"/>
          <w:sz w:val="32"/>
          <w:szCs w:val="32"/>
          <w:lang w:eastAsia="zh-CN"/>
        </w:rPr>
        <w:t>无变化</w:t>
      </w:r>
      <w:r>
        <w:rPr>
          <w:rFonts w:hint="eastAsia" w:ascii="Times New Roman" w:hAnsi="Times New Roman" w:eastAsia="方正仿宋_GBK" w:cs="宋体"/>
          <w:color w:val="auto"/>
          <w:kern w:val="0"/>
          <w:sz w:val="32"/>
          <w:szCs w:val="32"/>
        </w:rPr>
        <w:t>。我单位属于公益二类差额拨款单位，财政未保障我单位“三公”经费。</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（二）“三公”经费分项支出情况</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本单位</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年度无因公出国（境）费用0万元，费用支出较年初预算数增加0万元，无变化。较上年支出数增加0万元，无变化。</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本单位</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年度公务车购置费用0万元，费用支出较年初预算数增加0万元，无变化。较上年支出数增加0万元，无变化。</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本单位</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年度公务车运行维护费0万元，费用支出较年初预算数增加0万元，无变化。较上年支出数增加0万元，无变化。</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lang w:val="en-US" w:eastAsia="zh-CN"/>
        </w:rPr>
      </w:pPr>
      <w:r>
        <w:rPr>
          <w:rFonts w:hint="eastAsia" w:ascii="Times New Roman" w:hAnsi="Times New Roman" w:eastAsia="方正仿宋_GBK" w:cs="宋体"/>
          <w:color w:val="auto"/>
          <w:kern w:val="0"/>
          <w:sz w:val="32"/>
          <w:szCs w:val="32"/>
        </w:rPr>
        <w:t>本单位</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w:t>
      </w:r>
      <w:r>
        <w:rPr>
          <w:rFonts w:hint="eastAsia" w:ascii="Times New Roman" w:hAnsi="Times New Roman" w:eastAsia="方正仿宋_GBK" w:cs="宋体"/>
          <w:color w:val="auto"/>
          <w:kern w:val="0"/>
          <w:sz w:val="32"/>
          <w:szCs w:val="32"/>
          <w:lang w:eastAsia="zh-CN"/>
        </w:rPr>
        <w:t>公务接待</w:t>
      </w:r>
      <w:r>
        <w:rPr>
          <w:rFonts w:hint="eastAsia" w:ascii="Times New Roman" w:hAnsi="Times New Roman" w:eastAsia="方正仿宋_GBK" w:cs="宋体"/>
          <w:color w:val="auto"/>
          <w:kern w:val="0"/>
          <w:sz w:val="32"/>
          <w:szCs w:val="32"/>
        </w:rPr>
        <w:t>费0万元，费用支出较年初预算数增加0万元，无变化。较上年支出数增加0万元，无变化。</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（三）“三公”经费实物量情况</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年度本部门因公出国（境）共计0个团组，0人；公务用车购置0辆，公务车保有量为0辆；国内公务接待0批次0人，其中：国内外事接待0批次，0人；国（境）外公务接待0批次，0人。</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年本部门人均接待费0元，车均购置费0万元，车均维护费0万元。</w:t>
      </w:r>
    </w:p>
    <w:p>
      <w:pPr>
        <w:pStyle w:val="6"/>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default" w:ascii="Times New Roman" w:hAnsi="Times New Roman" w:eastAsia="方正黑体_GBK"/>
          <w:color w:val="auto"/>
          <w:sz w:val="32"/>
          <w:szCs w:val="32"/>
        </w:rPr>
      </w:pPr>
      <w:r>
        <w:rPr>
          <w:rFonts w:hint="eastAsia" w:ascii="Times New Roman" w:hAnsi="Times New Roman" w:eastAsia="方正黑体_GBK"/>
          <w:color w:val="auto"/>
          <w:sz w:val="32"/>
          <w:szCs w:val="32"/>
        </w:rPr>
        <w:t>四、其他需要说明的事项</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楷体_GBK" w:cs="方正楷体_GBK"/>
          <w:color w:val="auto"/>
          <w:kern w:val="2"/>
          <w:sz w:val="32"/>
          <w:szCs w:val="32"/>
        </w:rPr>
      </w:pPr>
      <w:r>
        <w:rPr>
          <w:rFonts w:hint="default" w:ascii="Times New Roman" w:hAnsi="Times New Roman" w:eastAsia="方正楷体_GBK" w:cs="方正楷体_GBK"/>
          <w:color w:val="auto"/>
          <w:kern w:val="2"/>
          <w:sz w:val="32"/>
          <w:szCs w:val="32"/>
        </w:rPr>
        <w:t>（一）财政拨款会议费和培训费情况说明</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ascii="Times New Roman" w:hAnsi="Times New Roman" w:eastAsia="方正仿宋_GBK" w:cs="方正仿宋_GBK"/>
          <w:color w:val="auto"/>
          <w:sz w:val="32"/>
          <w:szCs w:val="32"/>
          <w:shd w:val="clear" w:color="auto" w:fill="FFFFFF"/>
        </w:rPr>
        <w:t>本年度会议费支出</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万元，较上年决算数无增减，</w:t>
      </w:r>
      <w:r>
        <w:rPr>
          <w:rFonts w:hint="default" w:ascii="Times New Roman" w:hAnsi="Times New Roman" w:eastAsia="方正仿宋_GBK" w:cs="Times New Roman"/>
          <w:color w:val="auto"/>
          <w:kern w:val="0"/>
          <w:sz w:val="32"/>
          <w:szCs w:val="32"/>
          <w:lang w:eastAsia="zh-CN"/>
        </w:rPr>
        <w:t>无变化</w:t>
      </w:r>
      <w:r>
        <w:rPr>
          <w:rFonts w:ascii="Times New Roman" w:hAnsi="Times New Roman" w:eastAsia="方正仿宋_GBK" w:cs="方正仿宋_GBK"/>
          <w:color w:val="auto"/>
          <w:sz w:val="32"/>
          <w:szCs w:val="32"/>
          <w:shd w:val="clear" w:color="auto" w:fill="FFFFFF"/>
        </w:rPr>
        <w:t>。本年度培训费支出</w:t>
      </w:r>
      <w:r>
        <w:rPr>
          <w:rFonts w:ascii="Times New Roman" w:hAnsi="Times New Roman" w:eastAsia="方正仿宋_GBK" w:cs="方正仿宋_GBK"/>
          <w:color w:val="auto"/>
          <w:sz w:val="32"/>
          <w:szCs w:val="32"/>
        </w:rPr>
        <w:t>0</w:t>
      </w:r>
      <w:r>
        <w:rPr>
          <w:rFonts w:ascii="Times New Roman" w:hAnsi="Times New Roman" w:eastAsia="方正仿宋_GBK" w:cs="方正仿宋_GBK"/>
          <w:color w:val="auto"/>
          <w:sz w:val="32"/>
          <w:szCs w:val="32"/>
          <w:shd w:val="clear" w:color="auto" w:fill="FFFFFF"/>
        </w:rPr>
        <w:t>万元，较上年决算数减少2万元，下降100.0%，</w:t>
      </w:r>
      <w:r>
        <w:rPr>
          <w:rFonts w:hint="default" w:ascii="Times New Roman" w:hAnsi="Times New Roman" w:eastAsia="方正仿宋_GBK" w:cs="Times New Roman"/>
          <w:color w:val="auto"/>
          <w:kern w:val="0"/>
          <w:sz w:val="32"/>
          <w:szCs w:val="32"/>
        </w:rPr>
        <w:t>主要原因是</w:t>
      </w:r>
      <w:r>
        <w:rPr>
          <w:rFonts w:hint="default" w:ascii="Times New Roman" w:hAnsi="Times New Roman" w:eastAsia="方正仿宋_GBK" w:cs="Times New Roman"/>
          <w:color w:val="auto"/>
          <w:kern w:val="0"/>
          <w:sz w:val="32"/>
          <w:szCs w:val="32"/>
          <w:lang w:eastAsia="zh-CN"/>
        </w:rPr>
        <w:t>年初未预算</w:t>
      </w:r>
      <w:r>
        <w:rPr>
          <w:rFonts w:hint="default" w:ascii="Times New Roman" w:hAnsi="Times New Roman" w:eastAsia="方正仿宋_GBK" w:cs="Times New Roman"/>
          <w:color w:val="auto"/>
          <w:kern w:val="0"/>
          <w:sz w:val="32"/>
          <w:szCs w:val="32"/>
        </w:rPr>
        <w:t>。</w:t>
      </w:r>
      <w:bookmarkStart w:id="0" w:name="_GoBack"/>
      <w:bookmarkEnd w:id="0"/>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楷体_GBK" w:cs="方正楷体_GBK"/>
          <w:color w:val="auto"/>
          <w:kern w:val="2"/>
          <w:sz w:val="32"/>
          <w:szCs w:val="32"/>
        </w:rPr>
      </w:pPr>
      <w:r>
        <w:rPr>
          <w:rFonts w:hint="default" w:ascii="Times New Roman" w:hAnsi="Times New Roman" w:eastAsia="方正楷体_GBK" w:cs="方正楷体_GBK"/>
          <w:color w:val="auto"/>
          <w:kern w:val="2"/>
          <w:sz w:val="32"/>
          <w:szCs w:val="32"/>
        </w:rPr>
        <w:t>（二）</w:t>
      </w:r>
      <w:r>
        <w:rPr>
          <w:rFonts w:hint="eastAsia" w:ascii="Times New Roman" w:hAnsi="Times New Roman" w:eastAsia="方正楷体_GBK" w:cs="方正楷体_GBK"/>
          <w:color w:val="auto"/>
          <w:kern w:val="2"/>
          <w:sz w:val="32"/>
          <w:szCs w:val="32"/>
          <w:lang w:eastAsia="zh-CN"/>
        </w:rPr>
        <w:t>机</w:t>
      </w:r>
      <w:r>
        <w:rPr>
          <w:rFonts w:hint="default" w:ascii="Times New Roman" w:hAnsi="Times New Roman" w:eastAsia="方正楷体_GBK" w:cs="方正楷体_GBK"/>
          <w:color w:val="auto"/>
          <w:kern w:val="2"/>
          <w:sz w:val="32"/>
          <w:szCs w:val="32"/>
        </w:rPr>
        <w:t>关运行经费支出情况说明</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按照部门决算列报口径，我单位不在机关运行经费统计范围之内。</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（三）国有资产占用情况说明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（四）政府采购支出情况说明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default" w:ascii="Times New Roman" w:hAnsi="Times New Roman" w:eastAsia="方正仿宋_GBK"/>
          <w:color w:val="auto"/>
          <w:sz w:val="32"/>
          <w:szCs w:val="32"/>
          <w:shd w:val="clear" w:color="auto" w:fill="FFFFFF"/>
        </w:rPr>
        <w:t>97.83</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97.83</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97.83</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97.83</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区域医疗次中心建设用医疗设备一批。</w:t>
      </w:r>
    </w:p>
    <w:p>
      <w:pPr>
        <w:pStyle w:val="6"/>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黑体_GBK"/>
          <w:color w:val="auto"/>
          <w:sz w:val="32"/>
          <w:szCs w:val="32"/>
        </w:rPr>
      </w:pPr>
      <w:r>
        <w:rPr>
          <w:rFonts w:hint="eastAsia" w:ascii="Times New Roman" w:hAnsi="Times New Roman" w:eastAsia="方正黑体_GBK"/>
          <w:color w:val="auto"/>
          <w:sz w:val="32"/>
          <w:szCs w:val="32"/>
        </w:rPr>
        <w:t>五、预算绩效管理情况说明</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（一）预算绩效管理工作开展情况</w:t>
      </w:r>
    </w:p>
    <w:p>
      <w:pPr>
        <w:pStyle w:val="6"/>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根据预算绩效管理要求，我单位对</w:t>
      </w:r>
      <w:r>
        <w:rPr>
          <w:rFonts w:hint="eastAsia" w:ascii="Times New Roman" w:hAnsi="Times New Roman" w:eastAsia="方正仿宋_GBK" w:cs="宋体"/>
          <w:color w:val="auto"/>
          <w:kern w:val="0"/>
          <w:sz w:val="32"/>
          <w:szCs w:val="32"/>
          <w:lang w:val="en-US" w:eastAsia="zh-CN"/>
        </w:rPr>
        <w:t>6</w:t>
      </w:r>
      <w:r>
        <w:rPr>
          <w:rFonts w:hint="eastAsia" w:ascii="Times New Roman" w:hAnsi="Times New Roman" w:eastAsia="方正仿宋_GBK" w:cs="宋体"/>
          <w:color w:val="auto"/>
          <w:kern w:val="0"/>
          <w:sz w:val="32"/>
          <w:szCs w:val="32"/>
        </w:rPr>
        <w:t>个项目开展了绩效自评，其中，以填报自评表形式开展自评3项，涉及资金</w:t>
      </w:r>
      <w:r>
        <w:rPr>
          <w:rFonts w:hint="eastAsia" w:ascii="Times New Roman" w:hAnsi="Times New Roman" w:eastAsia="方正仿宋_GBK" w:cs="宋体"/>
          <w:color w:val="auto"/>
          <w:kern w:val="0"/>
          <w:sz w:val="32"/>
          <w:szCs w:val="32"/>
          <w:lang w:val="en-US" w:eastAsia="zh-CN"/>
        </w:rPr>
        <w:t>513.03</w:t>
      </w:r>
      <w:r>
        <w:rPr>
          <w:rFonts w:hint="eastAsia" w:ascii="Times New Roman" w:hAnsi="Times New Roman" w:eastAsia="方正仿宋_GBK" w:cs="宋体"/>
          <w:color w:val="auto"/>
          <w:kern w:val="0"/>
          <w:sz w:val="32"/>
          <w:szCs w:val="32"/>
        </w:rPr>
        <w:t>万元。</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（二）绩效自评结果</w:t>
      </w:r>
    </w:p>
    <w:p>
      <w:pPr>
        <w:pStyle w:val="6"/>
        <w:keepNext w:val="0"/>
        <w:keepLines w:val="0"/>
        <w:pageBreakBefore w:val="0"/>
        <w:widowControl/>
        <w:tabs>
          <w:tab w:val="center" w:pos="4153"/>
          <w:tab w:val="left" w:pos="7275"/>
        </w:tabs>
        <w:kinsoku/>
        <w:wordWrap/>
        <w:overflowPunct/>
        <w:topLinePunct w:val="0"/>
        <w:autoSpaceDN/>
        <w:bidi w:val="0"/>
        <w:adjustRightInd/>
        <w:spacing w:line="560" w:lineRule="exact"/>
        <w:ind w:firstLine="640"/>
        <w:textAlignment w:val="auto"/>
        <w:rPr>
          <w:rFonts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1.绩效目标自评表</w:t>
      </w:r>
    </w:p>
    <w:p>
      <w:pPr>
        <w:pStyle w:val="6"/>
        <w:keepNext w:val="0"/>
        <w:keepLines w:val="0"/>
        <w:pageBreakBefore w:val="0"/>
        <w:widowControl/>
        <w:tabs>
          <w:tab w:val="center" w:pos="4153"/>
          <w:tab w:val="left" w:pos="7275"/>
        </w:tabs>
        <w:kinsoku/>
        <w:wordWrap/>
        <w:overflowPunct/>
        <w:topLinePunct w:val="0"/>
        <w:autoSpaceDN/>
        <w:bidi w:val="0"/>
        <w:adjustRightInd/>
        <w:spacing w:line="560" w:lineRule="exact"/>
        <w:textAlignment w:val="auto"/>
        <w:rPr>
          <w:rFonts w:hint="eastAsia" w:ascii="Times New Roman" w:hAnsi="Times New Roman" w:eastAsia="方正小标宋_GBK" w:cs="宋体"/>
          <w:color w:val="auto"/>
          <w:kern w:val="0"/>
          <w:sz w:val="36"/>
          <w:szCs w:val="36"/>
        </w:rPr>
      </w:pPr>
      <w:r>
        <w:rPr>
          <w:rFonts w:hint="eastAsia" w:ascii="Times New Roman" w:hAnsi="Times New Roman" w:eastAsia="方正仿宋_GBK" w:cs="宋体"/>
          <w:color w:val="auto"/>
          <w:kern w:val="0"/>
          <w:sz w:val="32"/>
          <w:szCs w:val="32"/>
        </w:rPr>
        <w:t>详见</w:t>
      </w:r>
      <w:r>
        <w:rPr>
          <w:rFonts w:hint="eastAsia" w:ascii="Times New Roman" w:hAnsi="Times New Roman" w:eastAsia="方正仿宋_GBK" w:cs="宋体"/>
          <w:color w:val="auto"/>
          <w:kern w:val="0"/>
          <w:sz w:val="32"/>
          <w:szCs w:val="32"/>
          <w:lang w:eastAsia="zh-CN"/>
        </w:rPr>
        <w:t>公开报表</w:t>
      </w:r>
      <w:r>
        <w:rPr>
          <w:rFonts w:hint="eastAsia" w:ascii="Times New Roman" w:hAnsi="Times New Roman" w:eastAsia="方正仿宋_GBK" w:cs="宋体"/>
          <w:color w:val="auto"/>
          <w:kern w:val="0"/>
          <w:sz w:val="32"/>
          <w:szCs w:val="32"/>
        </w:rPr>
        <w:t>。</w:t>
      </w:r>
    </w:p>
    <w:p>
      <w:pPr>
        <w:pStyle w:val="6"/>
        <w:keepNext w:val="0"/>
        <w:keepLines w:val="0"/>
        <w:pageBreakBefore w:val="0"/>
        <w:widowControl/>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2.绩效自评报告或案例</w:t>
      </w:r>
    </w:p>
    <w:p>
      <w:pPr>
        <w:pStyle w:val="6"/>
        <w:keepNext w:val="0"/>
        <w:keepLines w:val="0"/>
        <w:pageBreakBefore w:val="0"/>
        <w:widowControl/>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auto"/>
          <w:kern w:val="0"/>
          <w:sz w:val="32"/>
          <w:szCs w:val="32"/>
          <w:lang w:eastAsia="zh-CN"/>
        </w:rPr>
      </w:pPr>
      <w:r>
        <w:rPr>
          <w:rFonts w:hint="eastAsia" w:ascii="Times New Roman" w:hAnsi="Times New Roman" w:eastAsia="方正仿宋_GBK" w:cs="宋体"/>
          <w:color w:val="auto"/>
          <w:kern w:val="0"/>
          <w:sz w:val="32"/>
          <w:szCs w:val="32"/>
          <w:lang w:eastAsia="zh-CN"/>
        </w:rPr>
        <w:t>无。</w:t>
      </w:r>
    </w:p>
    <w:p>
      <w:pPr>
        <w:pStyle w:val="6"/>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3.关于绩效自评结果的说明。</w:t>
      </w:r>
    </w:p>
    <w:p>
      <w:pPr>
        <w:pStyle w:val="6"/>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auto"/>
          <w:kern w:val="0"/>
          <w:sz w:val="32"/>
          <w:szCs w:val="32"/>
          <w:lang w:eastAsia="zh-CN"/>
        </w:rPr>
      </w:pPr>
      <w:r>
        <w:rPr>
          <w:rFonts w:hint="eastAsia" w:ascii="Times New Roman" w:hAnsi="Times New Roman" w:eastAsia="方正仿宋_GBK" w:cs="宋体"/>
          <w:color w:val="auto"/>
          <w:kern w:val="0"/>
          <w:sz w:val="32"/>
          <w:szCs w:val="32"/>
          <w:lang w:eastAsia="zh-CN"/>
        </w:rPr>
        <w:t>本年度基本公共卫生、重大传染病防控等各项工作顺利完成，达成了年初工作计划，自评绩效目标完成度良好。</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lang w:val="en-US" w:eastAsia="zh-CN"/>
        </w:rPr>
      </w:pPr>
      <w:r>
        <w:rPr>
          <w:rFonts w:hint="eastAsia" w:ascii="Times New Roman" w:hAnsi="Times New Roman" w:eastAsia="方正楷体_GBK" w:cs="方正楷体_GBK"/>
          <w:color w:val="auto"/>
          <w:kern w:val="2"/>
          <w:sz w:val="32"/>
          <w:szCs w:val="32"/>
          <w:lang w:val="en-US" w:eastAsia="zh-CN"/>
        </w:rPr>
        <w:t>（三）重点绩效评价结果</w:t>
      </w:r>
    </w:p>
    <w:p>
      <w:pPr>
        <w:pStyle w:val="6"/>
        <w:keepNext w:val="0"/>
        <w:keepLines w:val="0"/>
        <w:pageBreakBefore w:val="0"/>
        <w:tabs>
          <w:tab w:val="center" w:pos="4153"/>
          <w:tab w:val="left" w:pos="7275"/>
        </w:tabs>
        <w:kinsoku/>
        <w:wordWrap/>
        <w:overflowPunct/>
        <w:topLinePunct w:val="0"/>
        <w:autoSpaceDN/>
        <w:bidi w:val="0"/>
        <w:adjustRightInd/>
        <w:spacing w:line="560" w:lineRule="exact"/>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lang w:eastAsia="zh-CN"/>
        </w:rPr>
        <w:t>无。</w:t>
      </w:r>
    </w:p>
    <w:p>
      <w:pPr>
        <w:pStyle w:val="6"/>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黑体_GBK"/>
          <w:color w:val="auto"/>
          <w:sz w:val="32"/>
          <w:szCs w:val="32"/>
        </w:rPr>
      </w:pPr>
      <w:r>
        <w:rPr>
          <w:rFonts w:hint="eastAsia" w:ascii="Times New Roman" w:hAnsi="Times New Roman" w:eastAsia="方正黑体_GBK"/>
          <w:color w:val="auto"/>
          <w:sz w:val="32"/>
          <w:szCs w:val="32"/>
        </w:rPr>
        <w:t>六、专业名词解释</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（一）财政拨款收入：</w:t>
      </w:r>
      <w:r>
        <w:rPr>
          <w:rFonts w:hint="eastAsia" w:ascii="Times New Roman" w:hAnsi="Times New Roman" w:eastAsia="方正仿宋_GBK" w:cs="方正仿宋_GBK"/>
          <w:color w:val="auto"/>
          <w:kern w:val="2"/>
          <w:sz w:val="32"/>
          <w:szCs w:val="32"/>
        </w:rPr>
        <w:t>指本年度从本级财政部门取得的财政拨款，包括一般公共预算财政拨款和政府性基金预算财政拨款。</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（二）事业收入：</w:t>
      </w:r>
      <w:r>
        <w:rPr>
          <w:rFonts w:hint="eastAsia" w:ascii="Times New Roman" w:hAnsi="Times New Roman" w:eastAsia="方正仿宋_GBK" w:cs="方正仿宋_GBK"/>
          <w:color w:val="auto"/>
          <w:kern w:val="2"/>
          <w:sz w:val="32"/>
          <w:szCs w:val="32"/>
        </w:rPr>
        <w:t>指事业单位开展专业业务活动及其辅助活动取得的现金流入；事业单位收到的财政专户实际核拨的教育收费等资金在此反映。</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（三）经营收入：</w:t>
      </w:r>
      <w:r>
        <w:rPr>
          <w:rFonts w:hint="eastAsia" w:ascii="Times New Roman" w:hAnsi="Times New Roman" w:eastAsia="方正仿宋_GBK" w:cs="方正仿宋_GBK"/>
          <w:color w:val="auto"/>
          <w:kern w:val="2"/>
          <w:sz w:val="32"/>
          <w:szCs w:val="32"/>
        </w:rPr>
        <w:t>指事业单位在专业业务活动及其辅助活动之外开展非独立核算经营活动取得的现金流入。</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（四）其他收入：</w:t>
      </w:r>
      <w:r>
        <w:rPr>
          <w:rFonts w:hint="eastAsia" w:ascii="Times New Roman" w:hAnsi="Times New Roman" w:eastAsia="方正仿宋_GBK" w:cs="方正仿宋_GBK"/>
          <w:color w:val="auto"/>
          <w:kern w:val="2"/>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（五）使用非财政拨款结余：</w:t>
      </w:r>
      <w:r>
        <w:rPr>
          <w:rFonts w:hint="eastAsia" w:ascii="Times New Roman" w:hAnsi="Times New Roman" w:eastAsia="方正仿宋_GBK" w:cs="方正仿宋_GBK"/>
          <w:color w:val="auto"/>
          <w:kern w:val="2"/>
          <w:sz w:val="32"/>
          <w:szCs w:val="32"/>
        </w:rPr>
        <w:t>指单位在当年的“财政拨款收入”、“事业收入”、“经营收入”、“其他收入”等不足以安排当年支出的情况下，使用以前年度积累的非财政拨款结余弥补本年度收支缺口的资金。</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（六）年初结转和结余：</w:t>
      </w:r>
      <w:r>
        <w:rPr>
          <w:rFonts w:hint="eastAsia" w:ascii="Times New Roman" w:hAnsi="Times New Roman" w:eastAsia="方正仿宋_GBK" w:cs="方正仿宋_GBK"/>
          <w:color w:val="auto"/>
          <w:kern w:val="2"/>
          <w:sz w:val="32"/>
          <w:szCs w:val="32"/>
        </w:rPr>
        <w:t>指单位上年结转本年使用的基本支出结转、项目支出结转和结余、经营结余。</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（七）结余分配：</w:t>
      </w:r>
      <w:r>
        <w:rPr>
          <w:rFonts w:hint="eastAsia" w:ascii="Times New Roman" w:hAnsi="Times New Roman" w:eastAsia="方正仿宋_GBK" w:cs="方正仿宋_GBK"/>
          <w:color w:val="auto"/>
          <w:kern w:val="2"/>
          <w:sz w:val="32"/>
          <w:szCs w:val="32"/>
        </w:rPr>
        <w:t>指单位按照国家有关规定，缴纳所得税、提取专用基金、转入非财政拨款结余等当年结余的分配情况。</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（八）年末结转和结余：</w:t>
      </w:r>
      <w:r>
        <w:rPr>
          <w:rFonts w:hint="eastAsia" w:ascii="Times New Roman" w:hAnsi="Times New Roman" w:eastAsia="方正仿宋_GBK" w:cs="方正仿宋_GBK"/>
          <w:color w:val="auto"/>
          <w:kern w:val="2"/>
          <w:sz w:val="32"/>
          <w:szCs w:val="32"/>
        </w:rPr>
        <w:t>指单位结转下年的基本支出结转、项目支出结转和结余、经营结余。</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（九）基本支出：</w:t>
      </w:r>
      <w:r>
        <w:rPr>
          <w:rFonts w:hint="eastAsia" w:ascii="Times New Roman" w:hAnsi="Times New Roman" w:eastAsia="方正仿宋_GBK" w:cs="方正仿宋_GBK"/>
          <w:color w:val="auto"/>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（十）项目支出：</w:t>
      </w:r>
      <w:r>
        <w:rPr>
          <w:rFonts w:hint="eastAsia" w:ascii="Times New Roman" w:hAnsi="Times New Roman" w:eastAsia="方正仿宋_GBK" w:cs="方正仿宋_GBK"/>
          <w:color w:val="auto"/>
          <w:kern w:val="2"/>
          <w:sz w:val="32"/>
          <w:szCs w:val="32"/>
        </w:rPr>
        <w:t>指在基本支出之外为完成特定行政任务和事业发展目标所发生的支出。</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（十一）经营支出：</w:t>
      </w:r>
      <w:r>
        <w:rPr>
          <w:rFonts w:hint="eastAsia" w:ascii="Times New Roman" w:hAnsi="Times New Roman" w:eastAsia="方正仿宋_GBK" w:cs="方正仿宋_GBK"/>
          <w:color w:val="auto"/>
          <w:kern w:val="2"/>
          <w:sz w:val="32"/>
          <w:szCs w:val="32"/>
        </w:rPr>
        <w:t>指事业单位在专业业务活动及其辅助活动之外开展非独立核算经营活动发生的支出。</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（十二）“三公”经费：</w:t>
      </w:r>
      <w:r>
        <w:rPr>
          <w:rFonts w:hint="eastAsia" w:ascii="Times New Roman" w:hAnsi="Times New Roman" w:eastAsia="方正仿宋_GBK" w:cs="方正仿宋_GBK"/>
          <w:color w:val="auto"/>
          <w:kern w:val="2"/>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（十三）机关运行经费：</w:t>
      </w:r>
      <w:r>
        <w:rPr>
          <w:rFonts w:hint="eastAsia" w:ascii="Times New Roman" w:hAnsi="Times New Roman" w:eastAsia="方正仿宋_GBK" w:cs="方正仿宋_GBK"/>
          <w:color w:val="auto"/>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（十四）工资福利支出（支出经济分类科目类级）：</w:t>
      </w:r>
      <w:r>
        <w:rPr>
          <w:rFonts w:hint="eastAsia" w:ascii="Times New Roman" w:hAnsi="Times New Roman" w:eastAsia="方正仿宋_GBK" w:cs="方正仿宋_GBK"/>
          <w:color w:val="auto"/>
          <w:kern w:val="2"/>
          <w:sz w:val="32"/>
          <w:szCs w:val="32"/>
        </w:rPr>
        <w:t>反映单位开支的在职职工和编制外长期聘用人员的各类劳动报酬，以及为上述人员缴纳的各项社会保险费等。</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（十五）商品和服务支出（支出经济分类科目类级）：</w:t>
      </w:r>
      <w:r>
        <w:rPr>
          <w:rFonts w:hint="eastAsia" w:ascii="Times New Roman" w:hAnsi="Times New Roman" w:eastAsia="方正仿宋_GBK" w:cs="方正仿宋_GBK"/>
          <w:color w:val="auto"/>
          <w:kern w:val="2"/>
          <w:sz w:val="32"/>
          <w:szCs w:val="32"/>
        </w:rPr>
        <w:t>反映单位购买商品和服务的支出（不包括用于购置固定资产的支出、战略性和应急储备支出）。</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方正仿宋_GBK"/>
          <w:color w:val="auto"/>
          <w:kern w:val="2"/>
          <w:sz w:val="32"/>
          <w:szCs w:val="32"/>
        </w:rPr>
      </w:pPr>
      <w:r>
        <w:rPr>
          <w:rFonts w:hint="eastAsia" w:ascii="Times New Roman" w:hAnsi="Times New Roman" w:eastAsia="方正楷体_GBK" w:cs="方正楷体_GBK"/>
          <w:color w:val="auto"/>
          <w:kern w:val="2"/>
          <w:sz w:val="32"/>
          <w:szCs w:val="32"/>
        </w:rPr>
        <w:t>（十六）对个人和家庭的补助（支出经济分类科目类级）：</w:t>
      </w:r>
      <w:r>
        <w:rPr>
          <w:rFonts w:hint="eastAsia" w:ascii="Times New Roman" w:hAnsi="Times New Roman" w:eastAsia="方正仿宋_GBK" w:cs="方正仿宋_GBK"/>
          <w:color w:val="auto"/>
          <w:kern w:val="2"/>
          <w:sz w:val="32"/>
          <w:szCs w:val="32"/>
        </w:rPr>
        <w:t>反映用于对个人和家庭的补助支出。</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olor w:val="auto"/>
          <w:sz w:val="32"/>
          <w:szCs w:val="32"/>
        </w:rPr>
      </w:pPr>
      <w:r>
        <w:rPr>
          <w:rFonts w:hint="eastAsia" w:ascii="Times New Roman" w:hAnsi="Times New Roman" w:eastAsia="方正楷体_GBK" w:cs="方正楷体_GBK"/>
          <w:color w:val="auto"/>
          <w:kern w:val="2"/>
          <w:sz w:val="32"/>
          <w:szCs w:val="32"/>
        </w:rPr>
        <w:t>（十七）其他资本性支出（支出经济分类科目类级）：</w:t>
      </w:r>
      <w:r>
        <w:rPr>
          <w:rFonts w:hint="eastAsia" w:ascii="Times New Roman" w:hAnsi="Times New Roman" w:eastAsia="方正仿宋_GBK" w:cs="方正仿宋_GBK"/>
          <w:color w:val="auto"/>
          <w:kern w:val="2"/>
          <w:sz w:val="32"/>
          <w:szCs w:val="32"/>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tabs>
          <w:tab w:val="center" w:pos="4153"/>
          <w:tab w:val="left" w:pos="7275"/>
        </w:tabs>
        <w:kinsoku/>
        <w:wordWrap/>
        <w:overflowPunct/>
        <w:topLinePunct w:val="0"/>
        <w:autoSpaceDN/>
        <w:bidi w:val="0"/>
        <w:adjustRightInd/>
        <w:spacing w:line="560" w:lineRule="exact"/>
        <w:ind w:left="0" w:leftChars="0" w:firstLine="0" w:firstLineChars="0"/>
        <w:textAlignment w:val="auto"/>
        <w:rPr>
          <w:rFonts w:hint="eastAsia" w:ascii="Times New Roman" w:hAnsi="Times New Roman" w:eastAsia="方正黑体_GBK"/>
          <w:color w:val="auto"/>
          <w:sz w:val="32"/>
          <w:szCs w:val="32"/>
        </w:rPr>
      </w:pPr>
      <w:r>
        <w:rPr>
          <w:rFonts w:hint="eastAsia" w:ascii="Times New Roman" w:hAnsi="Times New Roman" w:eastAsia="方正黑体_GBK"/>
          <w:color w:val="auto"/>
          <w:sz w:val="32"/>
          <w:szCs w:val="32"/>
        </w:rPr>
        <w:t>七、决算公开联系方式</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left"/>
        <w:textAlignment w:val="auto"/>
        <w:rPr>
          <w:rFonts w:hint="default" w:ascii="Times New Roman" w:hAnsi="Times New Roman" w:eastAsia="方正仿宋_GBK" w:cs="方正仿宋_GBK"/>
          <w:color w:val="auto"/>
          <w:kern w:val="2"/>
          <w:sz w:val="32"/>
          <w:szCs w:val="32"/>
          <w:lang w:val="en-US" w:eastAsia="zh-CN"/>
        </w:rPr>
      </w:pPr>
      <w:r>
        <w:rPr>
          <w:rFonts w:hint="eastAsia" w:ascii="Times New Roman" w:hAnsi="Times New Roman" w:eastAsia="方正仿宋_GBK" w:cs="方正仿宋_GBK"/>
          <w:color w:val="auto"/>
          <w:kern w:val="2"/>
          <w:sz w:val="32"/>
          <w:szCs w:val="32"/>
        </w:rPr>
        <w:t>本单位决算公开信息反馈和联系方式：023-487</w:t>
      </w:r>
      <w:r>
        <w:rPr>
          <w:rFonts w:hint="eastAsia" w:ascii="Times New Roman" w:hAnsi="Times New Roman" w:eastAsia="方正仿宋_GBK" w:cs="方正仿宋_GBK"/>
          <w:color w:val="auto"/>
          <w:kern w:val="2"/>
          <w:sz w:val="32"/>
          <w:szCs w:val="32"/>
          <w:lang w:val="en-US" w:eastAsia="zh-CN"/>
        </w:rPr>
        <w:t>72312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6472C5"/>
    <w:multiLevelType w:val="singleLevel"/>
    <w:tmpl w:val="976472C5"/>
    <w:lvl w:ilvl="0" w:tentative="0">
      <w:start w:val="6"/>
      <w:numFmt w:val="chineseCounting"/>
      <w:suff w:val="nothing"/>
      <w:lvlText w:val="（%1）"/>
      <w:lvlJc w:val="left"/>
      <w:rPr>
        <w:rFonts w:hint="eastAsia"/>
      </w:rPr>
    </w:lvl>
  </w:abstractNum>
  <w:abstractNum w:abstractNumId="1">
    <w:nsid w:val="D4785917"/>
    <w:multiLevelType w:val="singleLevel"/>
    <w:tmpl w:val="D478591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F0130"/>
    <w:rsid w:val="09FC4D04"/>
    <w:rsid w:val="291B6AAC"/>
    <w:rsid w:val="2B8F0130"/>
    <w:rsid w:val="417E153F"/>
    <w:rsid w:val="5CAD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 w:type="character" w:styleId="5">
    <w:name w:val="Strong"/>
    <w:qFormat/>
    <w:uiPriority w:val="0"/>
    <w:rPr>
      <w:b/>
    </w:rPr>
  </w:style>
  <w:style w:type="paragraph" w:styleId="6">
    <w:name w:val="List Paragraph"/>
    <w:basedOn w:val="1"/>
    <w:qFormat/>
    <w:uiPriority w:val="34"/>
    <w:pPr>
      <w:ind w:firstLine="420" w:firstLineChars="200"/>
    </w:pPr>
  </w:style>
  <w:style w:type="paragraph" w:customStyle="1" w:styleId="7">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8">
    <w:name w:val="普通(网站) Char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2025-10-22T06:03:00Z</dcterms:created>
  <dc:creator>Administrator</dc:creator>
  <cp:lastModifiedBy>Administrator</cp:lastModifiedBy>
  <dcterms:modified xsi:type="dcterms:W3CDTF">2025-10-22T07:46:10Z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