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重庆市綦江区结核病防治所</w:t>
      </w:r>
    </w:p>
    <w:p>
      <w:pPr>
        <w:pStyle w:val="4"/>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年度决算说明</w:t>
      </w:r>
    </w:p>
    <w:p>
      <w:pPr>
        <w:widowControl w:val="0"/>
        <w:tabs>
          <w:tab w:val="center" w:pos="4153"/>
          <w:tab w:val="left" w:pos="7275"/>
        </w:tabs>
        <w:spacing w:line="576" w:lineRule="exact"/>
        <w:ind w:firstLine="640" w:firstLineChars="200"/>
        <w:jc w:val="both"/>
        <w:rPr>
          <w:rFonts w:hint="default" w:ascii="方正黑体_GBK" w:hAnsi="Times New Roman" w:eastAsia="方正黑体_GBK"/>
          <w:kern w:val="2"/>
          <w:sz w:val="32"/>
          <w:szCs w:val="32"/>
        </w:rPr>
      </w:pPr>
    </w:p>
    <w:p>
      <w:pPr>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0" w:firstLineChars="200"/>
        <w:jc w:val="both"/>
        <w:textAlignment w:val="auto"/>
        <w:rPr>
          <w:rFonts w:hint="default" w:ascii="方正黑体_GBK" w:hAnsi="Times New Roman" w:eastAsia="方正黑体_GBK"/>
          <w:kern w:val="2"/>
          <w:sz w:val="32"/>
          <w:szCs w:val="32"/>
        </w:rPr>
      </w:pPr>
      <w:r>
        <w:rPr>
          <w:rFonts w:hint="default" w:ascii="方正黑体_GBK" w:hAnsi="Times New Roman" w:eastAsia="方正黑体_GBK"/>
          <w:kern w:val="2"/>
          <w:sz w:val="32"/>
          <w:szCs w:val="32"/>
        </w:rPr>
        <w:t>一、单位基本情况</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方正楷体_GBK" w:eastAsia="方正楷体_GBK" w:cs="宋体"/>
          <w:bCs/>
          <w:sz w:val="32"/>
          <w:szCs w:val="32"/>
        </w:rPr>
      </w:pPr>
      <w:r>
        <w:rPr>
          <w:rFonts w:ascii="方正楷体_GBK" w:eastAsia="方正楷体_GBK" w:cs="宋体"/>
          <w:bCs/>
          <w:sz w:val="32"/>
          <w:szCs w:val="32"/>
        </w:rPr>
        <w:t>（一）职能职责</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 xml:space="preserve">1.根据市级结核病防治规划，结合本区实际，在区卫生健康委组织下，协助制定本区结核病防治规划或工作方案，并组织实施。 </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2.牵头负责区结核病防治规划的落实，开展对辖区内医疗机构和基层公共卫生机构的培训、技术指导和技术考核。</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3.在区卫生健康委领导下，建立与区级综合医疗机构和基层医疗卫生机构间的例会工作制度。</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4.负责辖区结核病管理信息系统的维护、更新和安全管理；开展辖区内肺结核疫情的监测、报告和通报；对聚集性疫情开展流行病学调查和现场处置。</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5.组织开展结核病重点人群的监测与预防控制、肺结核或疑似肺结核患者及密切接触者的追踪以及对基层报告的失访者开展追访的工作。</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6.负责对所有就诊肺结核患者的诊断、报告、登记、治疗以及随访管理服务，并做好相关信息的录入工作。</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7.负责向上级定点医疗机构转诊疑难重症和耐药肺结核患者。</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8.开展对病原学阳性患者密切接触者和重点人群的筛查工作。</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9.实施和推广国家结核病实验室诊断标准和操作规程，开展结核分枝杆菌的涂片、分离培养和分子生物学检测，负责本地区结核病实验室质量控制。</w:t>
      </w:r>
      <w:r>
        <w:rPr>
          <w:rFonts w:ascii="Times New Roman" w:hAnsi="Times New Roman" w:eastAsia="方正仿宋_GBK" w:cs="宋体"/>
          <w:sz w:val="32"/>
          <w:szCs w:val="32"/>
        </w:rPr>
        <w:tab/>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10.开展辖区内结核病健康教育工作，并开展肺结核患者和家属的健康教育。</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11.制定抗结核药品和设备的需求计划，及时供应和调剂药品，设立药品和设备账目，专人管理。</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12.开展结核病防治应用性研究工作。</w:t>
      </w:r>
    </w:p>
    <w:p>
      <w:pPr>
        <w:keepNext w:val="0"/>
        <w:keepLines w:val="0"/>
        <w:pageBreakBefore w:val="0"/>
        <w:shd w:val="clear" w:color="auto" w:fill="FFFFFF"/>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13.完成上级机构和本级卫生行政部门交办的其他工作。</w:t>
      </w:r>
    </w:p>
    <w:p>
      <w:pPr>
        <w:keepNext w:val="0"/>
        <w:keepLines w:val="0"/>
        <w:pageBreakBefore w:val="0"/>
        <w:shd w:val="clear" w:color="auto" w:fill="FFFFFF"/>
        <w:kinsoku/>
        <w:wordWrap/>
        <w:overflowPunct/>
        <w:topLinePunct w:val="0"/>
        <w:autoSpaceDN/>
        <w:bidi w:val="0"/>
        <w:adjustRightInd/>
        <w:spacing w:line="560" w:lineRule="exact"/>
        <w:ind w:firstLine="640" w:firstLineChars="200"/>
        <w:textAlignment w:val="auto"/>
        <w:rPr>
          <w:rFonts w:hint="default" w:ascii="方正楷体_GBK" w:eastAsia="方正楷体_GBK" w:cs="宋体"/>
          <w:bCs/>
          <w:sz w:val="32"/>
          <w:szCs w:val="32"/>
        </w:rPr>
      </w:pPr>
      <w:r>
        <w:rPr>
          <w:rFonts w:ascii="方正楷体_GBK" w:eastAsia="方正楷体_GBK" w:cs="宋体"/>
          <w:bCs/>
          <w:sz w:val="32"/>
          <w:szCs w:val="32"/>
        </w:rPr>
        <w:t>（二）机构设置</w:t>
      </w:r>
    </w:p>
    <w:p>
      <w:pPr>
        <w:keepNext w:val="0"/>
        <w:keepLines w:val="0"/>
        <w:pageBreakBefore w:val="0"/>
        <w:shd w:val="clear" w:color="auto" w:fill="FFFFFF"/>
        <w:kinsoku/>
        <w:wordWrap/>
        <w:overflowPunct/>
        <w:topLinePunct w:val="0"/>
        <w:autoSpaceDN/>
        <w:bidi w:val="0"/>
        <w:adjustRightInd/>
        <w:spacing w:line="560" w:lineRule="exact"/>
        <w:ind w:firstLine="640" w:firstLineChars="200"/>
        <w:textAlignment w:val="auto"/>
        <w:rPr>
          <w:rStyle w:val="7"/>
          <w:rFonts w:hint="default" w:ascii="方正黑体_GBK" w:hAnsi="黑体" w:eastAsia="方正黑体_GBK" w:cs="黑体"/>
          <w:b w:val="0"/>
          <w:sz w:val="32"/>
          <w:szCs w:val="32"/>
          <w:shd w:val="clear" w:color="auto" w:fill="FFFFFF"/>
        </w:rPr>
      </w:pPr>
      <w:r>
        <w:rPr>
          <w:rFonts w:ascii="Times New Roman" w:hAnsi="Times New Roman" w:eastAsia="方正仿宋_GBK" w:cs="宋体"/>
          <w:sz w:val="32"/>
          <w:szCs w:val="32"/>
        </w:rPr>
        <w:t>重庆市綦江区结核病防治所是公益一类事业单位，正科级。财政全额拨款事业单位。事业编制17名，实有人数13人；设所长1名、副所长1名。</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7"/>
          <w:rFonts w:hint="default" w:ascii="方正黑体_GBK" w:hAnsi="黑体" w:eastAsia="方正黑体_GBK" w:cs="黑体"/>
          <w:b w:val="0"/>
          <w:sz w:val="32"/>
          <w:szCs w:val="32"/>
          <w:shd w:val="clear" w:color="auto" w:fill="FFFFFF"/>
        </w:rPr>
      </w:pPr>
      <w:r>
        <w:rPr>
          <w:rStyle w:val="7"/>
          <w:rFonts w:ascii="方正黑体_GBK" w:hAnsi="黑体" w:eastAsia="方正黑体_GBK" w:cs="黑体"/>
          <w:sz w:val="32"/>
          <w:szCs w:val="32"/>
          <w:shd w:val="clear" w:color="auto" w:fill="FFFFFF"/>
        </w:rPr>
        <w:t>二、部门决算收支情况说明</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pPr>
        <w:keepNext w:val="0"/>
        <w:keepLines w:val="0"/>
        <w:pageBreakBefore w:val="0"/>
        <w:shd w:val="clear" w:color="auto" w:fill="FFFFFF"/>
        <w:kinsoku/>
        <w:wordWrap/>
        <w:overflowPunct/>
        <w:topLinePunct w:val="0"/>
        <w:autoSpaceDN/>
        <w:bidi w:val="0"/>
        <w:adjustRightInd/>
        <w:spacing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535.89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收、支与2023年度相比，增加69.23万元，增长14.8%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财政补助增加50.23万元，增幅12.9%</w:t>
      </w:r>
      <w:r>
        <w:rPr>
          <w:rFonts w:hint="eastAsia" w:ascii="Times New Roman" w:hAnsi="Times New Roman" w:eastAsia="方正仿宋_GBK" w:cs="宋体"/>
          <w:sz w:val="32"/>
          <w:szCs w:val="32"/>
          <w:lang w:eastAsia="zh-CN"/>
        </w:rPr>
        <w:t>；</w:t>
      </w:r>
      <w:r>
        <w:rPr>
          <w:rFonts w:ascii="Times New Roman" w:hAnsi="Times New Roman" w:eastAsia="方正仿宋_GBK" w:cs="宋体"/>
          <w:sz w:val="32"/>
          <w:szCs w:val="32"/>
        </w:rPr>
        <w:t>业务收入增加19万元，增幅28.9%，2023年无结转和结余。</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7"/>
          <w:rFonts w:ascii="Times New Roman" w:hAnsi="Times New Roman"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535.89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与2023年度相比，增加69.23万元，增长14.8%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财政补助增加50.23万元，业务收入增加19万元。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451.20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84.2%</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84.69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15.8%</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7"/>
          <w:rFonts w:ascii="Times New Roman" w:hAnsi="Times New Roman"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508.31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与2023年度相比，增加41.85万元，增长9.0%</w:t>
      </w:r>
      <w:r>
        <w:rPr>
          <w:rFonts w:ascii="方正仿宋_GBK" w:hAnsi="方正仿宋_GBK" w:eastAsia="方正仿宋_GBK" w:cs="方正仿宋_GBK"/>
          <w:sz w:val="32"/>
          <w:szCs w:val="32"/>
          <w:shd w:val="clear" w:color="auto" w:fill="FFFFFF"/>
        </w:rPr>
        <w:t>，</w:t>
      </w:r>
      <w:r>
        <w:rPr>
          <w:rFonts w:ascii="Times New Roman" w:hAnsi="Times New Roman" w:eastAsia="方正仿宋_GBK" w:cs="宋体"/>
          <w:sz w:val="32"/>
          <w:szCs w:val="32"/>
        </w:rPr>
        <w:t>主要原因是卫生健康支出增加41.85万元，增幅8.9%。</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429.39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78.92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宋体"/>
          <w:sz w:val="32"/>
          <w:szCs w:val="32"/>
        </w:rPr>
      </w:pPr>
      <w:r>
        <w:rPr>
          <w:rStyle w:val="7"/>
          <w:rFonts w:ascii="Times New Roman" w:hAnsi="Times New Roman" w:eastAsia="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无年末结转和结余。</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（二）财政拨款收入支出决算总体情况说明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宋体"/>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451.20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财政拨款收、支总计各增加50.23万元，增长12.5%</w:t>
      </w:r>
      <w:r>
        <w:rPr>
          <w:rFonts w:ascii="方正仿宋_GBK" w:hAnsi="方正仿宋_GBK" w:eastAsia="方正仿宋_GBK" w:cs="方正仿宋_GBK"/>
          <w:sz w:val="32"/>
          <w:szCs w:val="32"/>
          <w:shd w:val="clear" w:color="auto" w:fill="FFFFFF"/>
        </w:rPr>
        <w:t>。</w:t>
      </w:r>
      <w:r>
        <w:rPr>
          <w:rFonts w:ascii="Times New Roman" w:hAnsi="Times New Roman" w:eastAsia="方正仿宋_GBK" w:cs="宋体"/>
          <w:sz w:val="32"/>
          <w:szCs w:val="32"/>
        </w:rPr>
        <w:t>主要原因是一般公共预算财政拨款增加50.23万元。</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（三）一般公共预算财政拨款收入支出决算情况说明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hint="default" w:ascii="Times New Roman" w:hAnsi="Times New Roman"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451.20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与2023年度相比，增加50.23万元，增长12.5%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社会保障和就业支出增加18.68万元,增幅42.8%；卫生健康支出增加22.46万元，增幅5.5%；住房保障支出增加0.71万元，增幅4.8%。</w:t>
      </w:r>
      <w:r>
        <w:rPr>
          <w:rFonts w:hint="default" w:ascii="Times New Roman" w:hAnsi="Times New Roman" w:eastAsia="方正仿宋_GBK"/>
          <w:sz w:val="32"/>
          <w:szCs w:val="32"/>
          <w:shd w:val="clear" w:color="auto" w:fill="FFFFFF"/>
        </w:rPr>
        <w:t>较年初预算数增加9.62万元，增长2.2%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社会保障和就业支出增加13.41万元，增幅27.4%</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7"/>
          <w:rFonts w:hint="default" w:ascii="Times New Roman" w:hAnsi="Times New Roman"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451.20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与2023年度相比，增加50.23万元，增长12.5%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社会保障和就业支出增加18.68万元;增幅42.8%；卫生健康支出增加22.46万元，增幅5.5%；住房保障支出增加0.71万元，增幅4.8%。</w:t>
      </w:r>
      <w:r>
        <w:rPr>
          <w:rFonts w:hint="default" w:ascii="Times New Roman" w:hAnsi="Times New Roman" w:eastAsia="方正仿宋_GBK"/>
          <w:sz w:val="32"/>
          <w:szCs w:val="32"/>
          <w:shd w:val="clear" w:color="auto" w:fill="FFFFFF"/>
        </w:rPr>
        <w:t>较年初预算数增加9.62万元，增长2.2%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社会保障和就业支出增加13.41万元，增幅27.4%</w:t>
      </w:r>
      <w:r>
        <w:rPr>
          <w:rFonts w:ascii="方正仿宋_GBK" w:hAnsi="方正仿宋_GBK" w:eastAsia="方正仿宋_GBK" w:cs="方正仿宋_GBK"/>
          <w:sz w:val="32"/>
          <w:szCs w:val="32"/>
          <w:shd w:val="clear" w:color="auto" w:fill="FFFFFF"/>
        </w:rPr>
        <w:t>。一般公共预算财政拨款支出主要用途如下：</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宋体"/>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62.32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较年初预算数增加13.41万元，增长27.4%</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cs="宋体"/>
          <w:sz w:val="32"/>
          <w:szCs w:val="32"/>
        </w:rPr>
        <w:t>是年中预算调整增加。</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373.48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较年初预算数减少3.83万元，下降1.0%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主要原因是年中预算调整减少。</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宋体"/>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较年初预算数增加0.05万元，增长0.3%</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cs="宋体"/>
          <w:sz w:val="32"/>
          <w:szCs w:val="32"/>
        </w:rPr>
        <w:t>是年中公积金调整。</w:t>
      </w:r>
    </w:p>
    <w:p>
      <w:pPr>
        <w:keepNext w:val="0"/>
        <w:keepLines w:val="0"/>
        <w:pageBreakBefore w:val="0"/>
        <w:kinsoku/>
        <w:wordWrap/>
        <w:overflowPunct/>
        <w:topLinePunct w:val="0"/>
        <w:autoSpaceDN/>
        <w:bidi w:val="0"/>
        <w:adjustRightInd/>
        <w:snapToGrid w:val="0"/>
        <w:spacing w:line="560" w:lineRule="exact"/>
        <w:ind w:firstLine="643" w:firstLineChars="200"/>
        <w:jc w:val="both"/>
        <w:textAlignment w:val="auto"/>
        <w:rPr>
          <w:rFonts w:hint="default" w:ascii="Times New Roman" w:hAnsi="Times New Roman" w:eastAsia="方正仿宋_GBK" w:cs="宋体"/>
          <w:sz w:val="32"/>
          <w:szCs w:val="32"/>
        </w:rPr>
      </w:pPr>
      <w:r>
        <w:rPr>
          <w:rStyle w:val="7"/>
          <w:rFonts w:hint="default" w:ascii="Times New Roman" w:hAnsi="Times New Roman" w:eastAsia="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无年末结转和结余。</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（四）一般公共预算财政拨款基本支出决算情况说明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宋体"/>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372.28</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323.81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与2023年度相比，增加53.67万元，增长19.9%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社会保障和就业支出增加18.68万元;增幅42.8%，卫生健康支出增加22.46万元，增幅5.5%；住房保障支出增加0.71万元，增幅4.8%。人员经费用途主要包括基本工资、津贴补贴、奖金、绩效工资等。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48.48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与2023年度相比，增加7.88万元，增长19.4%</w:t>
      </w:r>
      <w:r>
        <w:rPr>
          <w:rFonts w:ascii="方正仿宋_GBK" w:hAnsi="方正仿宋_GBK" w:eastAsia="方正仿宋_GBK" w:cs="方正仿宋_GBK"/>
          <w:sz w:val="32"/>
          <w:szCs w:val="32"/>
          <w:shd w:val="clear" w:color="auto" w:fill="FFFFFF"/>
        </w:rPr>
        <w:t>，</w:t>
      </w:r>
      <w:r>
        <w:rPr>
          <w:rFonts w:ascii="Times New Roman" w:hAnsi="Times New Roman" w:eastAsia="方正仿宋_GBK" w:cs="宋体"/>
          <w:sz w:val="32"/>
          <w:szCs w:val="32"/>
        </w:rPr>
        <w:t>主要原因是专用材料费、劳务费等增加。公用经费用途主要包括办公费、邮电费、劳务费、公务用车运行维护费等。</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（五）政府性基金预算收支决算情况说明</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cs="宋体"/>
          <w:sz w:val="32"/>
          <w:szCs w:val="32"/>
        </w:rPr>
        <w:t>本单位2024年度无政府性基金预算财政拨款收支。</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（六）国有资本经营预算财政拨款支出决算情况说明</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黑体_GBK" w:hAnsi="方正仿宋_GBK" w:eastAsia="方正黑体_GBK" w:cs="方正仿宋_GBK"/>
          <w:sz w:val="32"/>
          <w:szCs w:val="32"/>
          <w:shd w:val="clear" w:color="auto" w:fill="FFFFFF"/>
        </w:rPr>
      </w:pPr>
      <w:r>
        <w:rPr>
          <w:rFonts w:ascii="Times New Roman" w:hAnsi="Times New Roman" w:eastAsia="方正仿宋_GBK"/>
          <w:sz w:val="32"/>
          <w:szCs w:val="32"/>
          <w:shd w:val="clear" w:color="auto" w:fill="FFFFFF"/>
        </w:rPr>
        <w:t>本单位2024年度</w:t>
      </w:r>
      <w:r>
        <w:rPr>
          <w:rFonts w:ascii="Times New Roman" w:hAnsi="Times New Roman" w:eastAsia="方正仿宋_GBK" w:cs="宋体"/>
          <w:sz w:val="32"/>
          <w:szCs w:val="32"/>
        </w:rPr>
        <w:t>无国有资本经营预算财政拨款支出。</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7"/>
          <w:rFonts w:hint="default" w:ascii="方正黑体_GBK" w:hAnsi="黑体" w:eastAsia="方正黑体_GBK" w:cs="黑体"/>
          <w:b w:val="0"/>
          <w:sz w:val="32"/>
          <w:szCs w:val="32"/>
          <w:shd w:val="clear" w:color="auto" w:fill="FFFFFF"/>
        </w:rPr>
      </w:pPr>
      <w:r>
        <w:rPr>
          <w:rStyle w:val="7"/>
          <w:rFonts w:ascii="方正黑体_GBK" w:hAnsi="黑体" w:eastAsia="方正黑体_GBK" w:cs="黑体"/>
          <w:sz w:val="32"/>
          <w:szCs w:val="32"/>
          <w:shd w:val="clear" w:color="auto" w:fill="FFFFFF"/>
        </w:rPr>
        <w:t>三、财政拨款“三公”经费情况说明</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（一）“三公”经费支出总体情况说明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楷体" w:hAnsi="楷体" w:eastAsia="楷体" w:cs="楷体"/>
          <w:bCs/>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较年初预算数减少2.38万元，下降60.6%</w:t>
      </w:r>
      <w:r>
        <w:rPr>
          <w:rFonts w:ascii="方正仿宋_GBK" w:hAnsi="方正仿宋_GBK" w:eastAsia="方正仿宋_GBK" w:cs="方正仿宋_GBK"/>
          <w:sz w:val="32"/>
          <w:szCs w:val="32"/>
          <w:shd w:val="clear" w:color="auto" w:fill="FFFFFF"/>
        </w:rPr>
        <w:t>，</w:t>
      </w:r>
      <w:r>
        <w:rPr>
          <w:rFonts w:ascii="Times New Roman" w:hAnsi="Times New Roman" w:eastAsia="方正仿宋_GBK" w:cs="宋体"/>
          <w:sz w:val="32"/>
          <w:szCs w:val="32"/>
        </w:rPr>
        <w:t>主要原因是单位严格“三公经费”预算管理，从严控制，减少相关支出。公务车运行维护费用</w:t>
      </w:r>
      <w:r>
        <w:rPr>
          <w:rFonts w:hint="default" w:ascii="Times New Roman" w:hAnsi="Times New Roman" w:eastAsia="方正仿宋_GBK"/>
          <w:sz w:val="32"/>
          <w:szCs w:val="32"/>
          <w:shd w:val="clear" w:color="auto" w:fill="FFFFFF"/>
        </w:rPr>
        <w:t>较上年支出数减少2.23万元，下降59.0%</w:t>
      </w:r>
      <w:r>
        <w:rPr>
          <w:rFonts w:ascii="方正仿宋_GBK" w:hAnsi="方正仿宋_GBK" w:eastAsia="方正仿宋_GBK" w:cs="方正仿宋_GBK"/>
          <w:sz w:val="32"/>
          <w:szCs w:val="32"/>
          <w:shd w:val="clear" w:color="auto" w:fill="FFFFFF"/>
        </w:rPr>
        <w:t>，主要原因是单位贯彻落实中央八项规定</w:t>
      </w:r>
      <w:r>
        <w:rPr>
          <w:rFonts w:hint="eastAsia" w:ascii="方正仿宋_GBK" w:hAnsi="方正仿宋_GBK" w:eastAsia="方正仿宋_GBK" w:cs="方正仿宋_GBK"/>
          <w:sz w:val="32"/>
          <w:szCs w:val="32"/>
          <w:shd w:val="clear" w:color="auto" w:fill="FFFFFF"/>
          <w:lang w:eastAsia="zh-CN"/>
        </w:rPr>
        <w:t>精神</w:t>
      </w:r>
      <w:r>
        <w:rPr>
          <w:rFonts w:ascii="方正仿宋_GBK" w:hAnsi="方正仿宋_GBK" w:eastAsia="方正仿宋_GBK" w:cs="方正仿宋_GBK"/>
          <w:sz w:val="32"/>
          <w:szCs w:val="32"/>
          <w:shd w:val="clear" w:color="auto" w:fill="FFFFFF"/>
        </w:rPr>
        <w:t>和</w:t>
      </w:r>
      <w:r>
        <w:rPr>
          <w:rFonts w:ascii="Times New Roman" w:hAnsi="Times New Roman" w:eastAsia="方正仿宋_GBK" w:cs="宋体"/>
          <w:sz w:val="32"/>
          <w:szCs w:val="32"/>
        </w:rPr>
        <w:t>厉行节约有关要求，加强公务车管理</w:t>
      </w:r>
      <w:bookmarkStart w:id="0" w:name="_GoBack"/>
      <w:bookmarkEnd w:id="0"/>
      <w:r>
        <w:rPr>
          <w:rFonts w:ascii="Times New Roman" w:hAnsi="Times New Roman" w:eastAsia="方正仿宋_GBK" w:cs="宋体"/>
          <w:sz w:val="32"/>
          <w:szCs w:val="32"/>
        </w:rPr>
        <w:t>。</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（二）“三公”经费分项支出情况</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宋体"/>
          <w:sz w:val="32"/>
          <w:szCs w:val="32"/>
        </w:rPr>
        <w:t>公务车油费、维修费、高速公路通行费、保险费等。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较年初预算数减少2.38万元，下降68.0%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厉行节约，规范</w:t>
      </w:r>
      <w:r>
        <w:rPr>
          <w:rFonts w:hint="eastAsia" w:ascii="Times New Roman" w:hAnsi="Times New Roman" w:eastAsia="方正仿宋_GBK" w:cs="宋体"/>
          <w:sz w:val="32"/>
          <w:szCs w:val="32"/>
          <w:lang w:eastAsia="zh-CN"/>
        </w:rPr>
        <w:t>使用</w:t>
      </w:r>
      <w:r>
        <w:rPr>
          <w:rFonts w:ascii="Times New Roman" w:hAnsi="Times New Roman" w:eastAsia="方正仿宋_GBK" w:cs="宋体"/>
          <w:sz w:val="32"/>
          <w:szCs w:val="32"/>
        </w:rPr>
        <w:t>。</w:t>
      </w:r>
      <w:r>
        <w:rPr>
          <w:rFonts w:hint="default" w:ascii="Times New Roman" w:hAnsi="Times New Roman" w:eastAsia="方正仿宋_GBK"/>
          <w:sz w:val="32"/>
          <w:szCs w:val="32"/>
          <w:shd w:val="clear" w:color="auto" w:fill="FFFFFF"/>
        </w:rPr>
        <w:t>较上年支出数减少2.38万元，下降68.0%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宋体"/>
          <w:sz w:val="32"/>
          <w:szCs w:val="32"/>
        </w:rPr>
        <w:t>加强公务车管理，减少不必要的使用。</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0.43</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宋体"/>
          <w:sz w:val="32"/>
          <w:szCs w:val="32"/>
        </w:rPr>
        <w:t>接待市公卫中心结核病防治督导检查</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，主要原因是强化公务接待支出管理，严格遵守公务接待开支范围和标准。</w:t>
      </w:r>
      <w:r>
        <w:rPr>
          <w:rFonts w:hint="default" w:ascii="Times New Roman" w:hAnsi="Times New Roman" w:eastAsia="方正仿宋_GBK"/>
          <w:sz w:val="32"/>
          <w:szCs w:val="32"/>
          <w:shd w:val="clear" w:color="auto" w:fill="FFFFFF"/>
        </w:rPr>
        <w:t>较上年支出数增加0.15万元，增长53.6%</w:t>
      </w:r>
      <w:r>
        <w:rPr>
          <w:rFonts w:ascii="方正仿宋_GBK" w:hAnsi="方正仿宋_GBK" w:eastAsia="方正仿宋_GBK" w:cs="方正仿宋_GBK"/>
          <w:sz w:val="32"/>
          <w:szCs w:val="32"/>
          <w:shd w:val="clear" w:color="auto" w:fill="FFFFFF"/>
        </w:rPr>
        <w:t>，主要原因是上级督导检查次数增加。</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（三）“三公”经费实物量情况</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7"/>
          <w:rFonts w:hint="default" w:ascii="方正黑体_GBK" w:hAnsi="黑体" w:eastAsia="方正黑体_GBK" w:cs="黑体"/>
          <w:b w:val="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68</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63.24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万元。</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7"/>
          <w:rFonts w:hint="default" w:ascii="方正黑体_GBK" w:hAnsi="黑体" w:eastAsia="方正黑体_GBK" w:cs="黑体"/>
          <w:b w:val="0"/>
          <w:bCs/>
          <w:sz w:val="32"/>
          <w:szCs w:val="32"/>
          <w:shd w:val="clear" w:color="auto" w:fill="FFFFFF"/>
        </w:rPr>
      </w:pPr>
      <w:r>
        <w:rPr>
          <w:rStyle w:val="7"/>
          <w:rFonts w:ascii="方正黑体_GBK" w:hAnsi="黑体" w:eastAsia="方正黑体_GBK" w:cs="黑体"/>
          <w:b w:val="0"/>
          <w:bCs/>
          <w:sz w:val="32"/>
          <w:szCs w:val="32"/>
          <w:shd w:val="clear" w:color="auto" w:fill="FFFFFF"/>
        </w:rPr>
        <w:t>四、其他需要说明的事项</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（一）财政拨款会议费、培训费和差旅费情况说明</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与2023年度相比，减少0.37万元，下降48.7%</w:t>
      </w:r>
      <w:r>
        <w:rPr>
          <w:rFonts w:ascii="方正仿宋_GBK" w:hAnsi="方正仿宋_GBK" w:eastAsia="方正仿宋_GBK" w:cs="方正仿宋_GBK"/>
          <w:sz w:val="32"/>
          <w:szCs w:val="32"/>
          <w:shd w:val="clear" w:color="auto" w:fill="FFFFFF"/>
        </w:rPr>
        <w:t>，</w:t>
      </w:r>
      <w:r>
        <w:rPr>
          <w:rFonts w:ascii="Times New Roman" w:hAnsi="Times New Roman" w:eastAsia="方正仿宋_GBK" w:cs="宋体"/>
          <w:sz w:val="32"/>
          <w:szCs w:val="32"/>
        </w:rPr>
        <w:t>主要原因是本年职工业务培训会议减少。</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与2023年度相比，减少0.07万元，下降7.1%</w:t>
      </w:r>
      <w:r>
        <w:rPr>
          <w:rFonts w:ascii="方正仿宋_GBK" w:hAnsi="方正仿宋_GBK" w:eastAsia="方正仿宋_GBK" w:cs="方正仿宋_GBK"/>
          <w:sz w:val="32"/>
          <w:szCs w:val="32"/>
          <w:shd w:val="clear" w:color="auto" w:fill="FFFFFF"/>
        </w:rPr>
        <w:t>，主要原因是厉行节约控制费用。本年度差旅费支出</w:t>
      </w:r>
      <w:r>
        <w:rPr>
          <w:rFonts w:hint="default" w:ascii="Times New Roman" w:hAnsi="Times New Roman" w:eastAsia="方正仿宋_GBK"/>
          <w:sz w:val="32"/>
          <w:szCs w:val="32"/>
          <w:shd w:val="clear" w:color="auto" w:fill="FFFFFF"/>
        </w:rPr>
        <w:t>0.26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与2023年度相比，减少0.57万元，下降68.7%</w:t>
      </w:r>
      <w:r>
        <w:rPr>
          <w:rFonts w:ascii="方正仿宋_GBK" w:hAnsi="方正仿宋_GBK" w:eastAsia="方正仿宋_GBK" w:cs="方正仿宋_GBK"/>
          <w:sz w:val="32"/>
          <w:szCs w:val="32"/>
          <w:shd w:val="clear" w:color="auto" w:fill="FFFFFF"/>
        </w:rPr>
        <w:t>，主要原因是加强管理，减少非必要差旅费支出。</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宋体"/>
          <w:sz w:val="32"/>
          <w:szCs w:val="32"/>
        </w:rPr>
        <w:t>按照部门决算列报口径，我单位不在机</w:t>
      </w:r>
      <w:r>
        <w:rPr>
          <w:rFonts w:ascii="Times New Roman" w:hAnsi="Times New Roman" w:eastAsia="方正仿宋_GBK"/>
          <w:sz w:val="32"/>
          <w:szCs w:val="32"/>
        </w:rPr>
        <w:t>关运行经费统计范围之内。</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kinsoku/>
        <w:wordWrap/>
        <w:overflowPunct/>
        <w:topLinePunct w:val="0"/>
        <w:autoSpaceDE w:val="0"/>
        <w:autoSpaceDN/>
        <w:bidi w:val="0"/>
        <w:adjustRightInd/>
        <w:spacing w:line="560" w:lineRule="exact"/>
        <w:ind w:firstLine="640"/>
        <w:textAlignment w:val="auto"/>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年度我单位未发生政府采购事项，无相关经费支出。</w:t>
      </w:r>
    </w:p>
    <w:p>
      <w:pPr>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0" w:firstLineChars="200"/>
        <w:jc w:val="both"/>
        <w:textAlignment w:val="auto"/>
        <w:rPr>
          <w:rFonts w:hint="default" w:ascii="方正黑体_GBK" w:hAnsi="Times New Roman" w:eastAsia="方正黑体_GBK"/>
          <w:kern w:val="2"/>
          <w:sz w:val="32"/>
          <w:szCs w:val="32"/>
        </w:rPr>
      </w:pPr>
      <w:r>
        <w:rPr>
          <w:rFonts w:ascii="方正黑体_GBK" w:hAnsi="Times New Roman" w:eastAsia="方正黑体_GBK"/>
          <w:kern w:val="2"/>
          <w:sz w:val="32"/>
          <w:szCs w:val="32"/>
        </w:rPr>
        <w:t>五、</w:t>
      </w:r>
      <w:r>
        <w:rPr>
          <w:rFonts w:hint="default" w:ascii="方正黑体_GBK" w:hAnsi="Times New Roman" w:eastAsia="方正黑体_GBK"/>
          <w:kern w:val="2"/>
          <w:sz w:val="32"/>
          <w:szCs w:val="32"/>
        </w:rPr>
        <w:t>预算绩效管理情况说明</w:t>
      </w:r>
    </w:p>
    <w:p>
      <w:pPr>
        <w:keepNext w:val="0"/>
        <w:keepLines w:val="0"/>
        <w:pageBreakBefore w:val="0"/>
        <w:shd w:val="clear" w:color="auto" w:fill="FFFFFF"/>
        <w:kinsoku/>
        <w:wordWrap/>
        <w:overflowPunct/>
        <w:topLinePunct w:val="0"/>
        <w:autoSpaceDN/>
        <w:bidi w:val="0"/>
        <w:adjustRightInd/>
        <w:spacing w:line="560" w:lineRule="exact"/>
        <w:ind w:firstLine="640" w:firstLineChars="200"/>
        <w:textAlignment w:val="auto"/>
        <w:rPr>
          <w:rFonts w:hint="default" w:ascii="方正楷体_GBK" w:eastAsia="方正楷体_GBK" w:cs="宋体"/>
          <w:sz w:val="32"/>
          <w:szCs w:val="32"/>
        </w:rPr>
      </w:pPr>
      <w:r>
        <w:rPr>
          <w:rFonts w:ascii="方正楷体_GBK" w:eastAsia="方正楷体_GBK" w:cs="宋体"/>
          <w:sz w:val="32"/>
          <w:szCs w:val="32"/>
        </w:rPr>
        <w:t>（一）预算绩效管理工作开展情况</w:t>
      </w:r>
    </w:p>
    <w:p>
      <w:pPr>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宋体"/>
          <w:sz w:val="32"/>
          <w:szCs w:val="32"/>
        </w:rPr>
      </w:pPr>
      <w:r>
        <w:rPr>
          <w:rFonts w:ascii="Times New Roman" w:hAnsi="Times New Roman" w:eastAsia="方正仿宋_GBK" w:cs="宋体"/>
          <w:sz w:val="32"/>
          <w:szCs w:val="32"/>
        </w:rPr>
        <w:t>根据预算绩效管理要求，我单位对4个项目开展了绩效自评，其中，以填报绩效自评表形式开展自评4项，涉及资金126.92万元；以委托第三方出具</w:t>
      </w:r>
      <w:r>
        <w:rPr>
          <w:rFonts w:hint="default" w:ascii="Times New Roman" w:hAnsi="Times New Roman" w:eastAsia="方正仿宋_GBK" w:cs="宋体"/>
          <w:sz w:val="32"/>
          <w:szCs w:val="32"/>
        </w:rPr>
        <w:t>报告的方式</w:t>
      </w:r>
      <w:r>
        <w:rPr>
          <w:rFonts w:ascii="Times New Roman" w:hAnsi="Times New Roman" w:eastAsia="方正仿宋_GBK" w:cs="宋体"/>
          <w:sz w:val="32"/>
          <w:szCs w:val="32"/>
        </w:rPr>
        <w:t>开展绩效评价</w:t>
      </w:r>
      <w:r>
        <w:rPr>
          <w:rFonts w:ascii="Times New Roman" w:hAnsi="Times New Roman" w:eastAsia="方正仿宋_GBK"/>
          <w:sz w:val="32"/>
          <w:szCs w:val="32"/>
        </w:rPr>
        <w:t>0</w:t>
      </w:r>
      <w:r>
        <w:rPr>
          <w:rFonts w:ascii="Times New Roman" w:hAnsi="Times New Roman" w:eastAsia="方正仿宋_GBK" w:cs="宋体"/>
          <w:sz w:val="32"/>
          <w:szCs w:val="32"/>
        </w:rPr>
        <w:t>项，涉及资金0万元。</w:t>
      </w:r>
    </w:p>
    <w:p>
      <w:pPr>
        <w:keepNext w:val="0"/>
        <w:keepLines w:val="0"/>
        <w:pageBreakBefore w:val="0"/>
        <w:shd w:val="clear" w:color="auto" w:fill="FFFFFF"/>
        <w:kinsoku/>
        <w:wordWrap/>
        <w:overflowPunct/>
        <w:topLinePunct w:val="0"/>
        <w:autoSpaceDN/>
        <w:bidi w:val="0"/>
        <w:adjustRightInd/>
        <w:spacing w:line="560" w:lineRule="exact"/>
        <w:ind w:firstLine="640" w:firstLineChars="200"/>
        <w:textAlignment w:val="auto"/>
        <w:rPr>
          <w:rFonts w:hint="default" w:ascii="方正楷体_GBK" w:eastAsia="方正楷体_GBK" w:cs="宋体"/>
          <w:sz w:val="32"/>
          <w:szCs w:val="32"/>
        </w:rPr>
      </w:pPr>
      <w:r>
        <w:rPr>
          <w:rFonts w:ascii="方正楷体_GBK" w:eastAsia="方正楷体_GBK" w:cs="宋体"/>
          <w:sz w:val="32"/>
          <w:szCs w:val="32"/>
        </w:rPr>
        <w:t>（二）绩效自评结果</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1.绩效目标自评表</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详见公开表。</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2.绩效自评报告或案例</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无。</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3.关于绩效自评结果的说明</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本年度重大传染病中央补助资金等各项工作顺利完成，达到了年初工作计划，自评绩效目标完成度较好。</w:t>
      </w:r>
    </w:p>
    <w:p>
      <w:pPr>
        <w:keepNext w:val="0"/>
        <w:keepLines w:val="0"/>
        <w:pageBreakBefore w:val="0"/>
        <w:shd w:val="clear" w:color="auto" w:fill="FFFFFF"/>
        <w:kinsoku/>
        <w:wordWrap/>
        <w:overflowPunct/>
        <w:topLinePunct w:val="0"/>
        <w:autoSpaceDN/>
        <w:bidi w:val="0"/>
        <w:adjustRightInd/>
        <w:spacing w:line="560" w:lineRule="exact"/>
        <w:ind w:firstLine="640" w:firstLineChars="200"/>
        <w:textAlignment w:val="auto"/>
        <w:rPr>
          <w:rFonts w:hint="default" w:ascii="方正楷体_GBK" w:eastAsia="方正楷体_GBK" w:cs="宋体"/>
          <w:sz w:val="32"/>
          <w:szCs w:val="32"/>
        </w:rPr>
      </w:pPr>
      <w:r>
        <w:rPr>
          <w:rFonts w:ascii="方正楷体_GBK" w:eastAsia="方正楷体_GBK" w:cs="宋体"/>
          <w:sz w:val="32"/>
          <w:szCs w:val="32"/>
        </w:rPr>
        <w:t>（三）财政绩效评价情况</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财政局未委托第三方对我单位开展绩效评价。</w:t>
      </w:r>
    </w:p>
    <w:p>
      <w:pPr>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0" w:firstLineChars="200"/>
        <w:jc w:val="both"/>
        <w:textAlignment w:val="auto"/>
        <w:rPr>
          <w:rFonts w:hint="default" w:ascii="方正黑体_GBK" w:hAnsi="Times New Roman" w:eastAsia="方正黑体_GBK"/>
          <w:kern w:val="2"/>
          <w:sz w:val="32"/>
          <w:szCs w:val="32"/>
        </w:rPr>
      </w:pPr>
      <w:r>
        <w:rPr>
          <w:rFonts w:hint="default" w:ascii="方正黑体_GBK" w:hAnsi="Times New Roman" w:eastAsia="方正黑体_GBK"/>
          <w:kern w:val="2"/>
          <w:sz w:val="32"/>
          <w:szCs w:val="32"/>
        </w:rPr>
        <w:t>六、专业名词解释</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（一）财政拨款收入：指本年度从本级财政部门取得的财政拨款，包括一般公共预算财政拨款和政府性基金预算财政拨款。</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（二）事业收入：指事业单位开展专业业务活动及其辅助活动取得的现金流入；事业单位收到的财政专户实际核拨的教育收费等资金在此反映。</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（三）经营收入：指事业单位在专业业务活动及其辅助活动之外开展非独立核算经营活动取得的现金流入。</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（六）年初结转和结余：指单位上年结转本年使用的基本支出结转、项目支出结转和结余、经营结余。</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（七）结余分配：指单位按照国家有关规定，缴纳所得税、提取专用基金、转入非财政拨款结余等当年结余的分配情况。</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（八）年末结转和结余：指单位结转下年的基本支出结转、项目支出结转和结余、经营结余。</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（十）项目支出：指在基本支出之外为完成特定行政任务和事业发展目标所发生的支出。</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（十一）经营支出：指事业单位在专业业务活动及其辅助活动之外开展非独立核算经营活动发生的支出。</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sz w:val="32"/>
          <w:szCs w:val="32"/>
          <w:shd w:val="clear" w:color="auto" w:fill="FFFFFF"/>
        </w:rPr>
        <w:t>（十四）工资福利支出（支出经济分类科目类级）：</w:t>
      </w:r>
      <w:r>
        <w:rPr>
          <w:rFonts w:ascii="方正仿宋_GBK" w:hAnsi="方正仿宋_GBK" w:eastAsia="方正仿宋_GBK" w:cs="方正仿宋_GBK"/>
          <w:bCs/>
          <w:sz w:val="32"/>
          <w:szCs w:val="32"/>
          <w:shd w:val="clear" w:color="auto" w:fill="FFFFFF"/>
        </w:rPr>
        <w:t>反映单位开支的在职职工和编制外长期聘用人员的各类劳动报酬，以及为上述人员缴纳的各项社会保险费等。</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sz w:val="32"/>
          <w:szCs w:val="32"/>
          <w:shd w:val="clear" w:color="auto" w:fill="FFFFFF"/>
        </w:rPr>
        <w:t>（十五）商品和服务支出（支出经济分类科目类级）：</w:t>
      </w:r>
      <w:r>
        <w:rPr>
          <w:rFonts w:ascii="方正仿宋_GBK" w:hAnsi="方正仿宋_GBK" w:eastAsia="方正仿宋_GBK" w:cs="方正仿宋_GBK"/>
          <w:bCs/>
          <w:sz w:val="32"/>
          <w:szCs w:val="32"/>
          <w:shd w:val="clear" w:color="auto" w:fill="FFFFFF"/>
        </w:rPr>
        <w:t>反映单位购买商品和服务的支出（不包括用于购置固定资产的支出、战略性和应急储备支出）。</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（十六）对个人和家庭的补助（支出经济分类科目类级）：</w:t>
      </w:r>
      <w:r>
        <w:rPr>
          <w:rFonts w:ascii="方正仿宋_GBK" w:hAnsi="方正仿宋_GBK" w:eastAsia="方正仿宋_GBK" w:cs="方正仿宋_GBK"/>
          <w:bCs/>
          <w:sz w:val="32"/>
          <w:szCs w:val="32"/>
          <w:shd w:val="clear" w:color="auto" w:fill="FFFFFF"/>
        </w:rPr>
        <w:t>反映用于对个人和家庭的补助支出。</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sz w:val="32"/>
          <w:szCs w:val="32"/>
          <w:shd w:val="clear" w:color="auto" w:fill="FFFFFF"/>
        </w:rPr>
        <w:t>（十七）其他资本性支出（支出经济分类科目类级）：</w:t>
      </w:r>
      <w:r>
        <w:rPr>
          <w:rFonts w:ascii="方正仿宋_GBK" w:hAnsi="方正仿宋_GBK" w:eastAsia="方正仿宋_GBK" w:cs="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kinsoku/>
        <w:wordWrap/>
        <w:overflowPunct/>
        <w:topLinePunct w:val="0"/>
        <w:autoSpaceDN/>
        <w:bidi w:val="0"/>
        <w:adjustRightInd/>
        <w:spacing w:line="560" w:lineRule="exact"/>
        <w:textAlignment w:val="auto"/>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七、决算公开联系方式及信息反馈渠道</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本单位决算公开信息反馈和联系方式：023-85895669</w:t>
      </w:r>
    </w:p>
    <w:p>
      <w:pPr>
        <w:keepNext w:val="0"/>
        <w:keepLines w:val="0"/>
        <w:pageBreakBefore w:val="0"/>
        <w:kinsoku/>
        <w:wordWrap/>
        <w:overflowPunct/>
        <w:topLinePunct w:val="0"/>
        <w:autoSpaceDN/>
        <w:bidi w:val="0"/>
        <w:adjustRightInd/>
        <w:spacing w:line="560" w:lineRule="exact"/>
        <w:textAlignment w:val="auto"/>
        <w:rPr>
          <w:rFonts w:hint="default"/>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26593"/>
      <w:docPartObj>
        <w:docPartGallery w:val="autotext"/>
      </w:docPartObj>
    </w:sdtPr>
    <w:sdtContent>
      <w:p>
        <w:pPr>
          <w:pStyle w:val="2"/>
          <w:jc w:val="center"/>
          <w:rPr>
            <w:rFonts w:hint="default"/>
          </w:rPr>
        </w:pPr>
      </w:p>
      <w:p>
        <w:pPr>
          <w:pStyle w:val="2"/>
          <w:jc w:val="center"/>
          <w:rPr>
            <w:rFonts w:hint="default"/>
          </w:rPr>
        </w:pPr>
        <w:r>
          <w:rPr>
            <w:rFonts w:hint="default"/>
          </w:rPr>
          <w:fldChar w:fldCharType="begin"/>
        </w:r>
        <w:r>
          <w:instrText xml:space="preserve"> PAGE   \* MERGEFORMAT </w:instrText>
        </w:r>
        <w:r>
          <w:rPr>
            <w:rFonts w:hint="default"/>
          </w:rPr>
          <w:fldChar w:fldCharType="separate"/>
        </w:r>
        <w:r>
          <w:rPr>
            <w:rFonts w:hint="default"/>
            <w:lang w:val="zh-CN"/>
          </w:rPr>
          <w:t>10</w:t>
        </w:r>
        <w:r>
          <w:rPr>
            <w:rFonts w:hint="default"/>
            <w:lang w:val="zh-CN"/>
          </w:rPr>
          <w:fldChar w:fldCharType="end"/>
        </w:r>
      </w:p>
    </w:sdtContent>
  </w:sdt>
  <w:p>
    <w:pPr>
      <w:pStyle w:val="2"/>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6FDA"/>
    <w:rsid w:val="000217C2"/>
    <w:rsid w:val="000844AF"/>
    <w:rsid w:val="000F7ADE"/>
    <w:rsid w:val="001B4D8B"/>
    <w:rsid w:val="001D1ED2"/>
    <w:rsid w:val="002120DC"/>
    <w:rsid w:val="0037312B"/>
    <w:rsid w:val="003A6FDA"/>
    <w:rsid w:val="00405085"/>
    <w:rsid w:val="00533200"/>
    <w:rsid w:val="005D50E1"/>
    <w:rsid w:val="007616B9"/>
    <w:rsid w:val="00A248D1"/>
    <w:rsid w:val="00BD556C"/>
    <w:rsid w:val="00E44E09"/>
    <w:rsid w:val="10581340"/>
    <w:rsid w:val="17DB53B1"/>
    <w:rsid w:val="26ED64C7"/>
    <w:rsid w:val="31FE4F8D"/>
    <w:rsid w:val="39380E0B"/>
    <w:rsid w:val="44796A19"/>
    <w:rsid w:val="49245C6C"/>
    <w:rsid w:val="49887304"/>
    <w:rsid w:val="53AE5C76"/>
    <w:rsid w:val="62F3144E"/>
    <w:rsid w:val="68F14D31"/>
    <w:rsid w:val="6F493898"/>
    <w:rsid w:val="74CA34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character" w:customStyle="1" w:styleId="9">
    <w:name w:val="页眉 Char"/>
    <w:basedOn w:val="6"/>
    <w:link w:val="3"/>
    <w:semiHidden/>
    <w:qFormat/>
    <w:uiPriority w:val="99"/>
    <w:rPr>
      <w:rFonts w:ascii="宋体" w:hAnsi="宋体" w:eastAsia="宋体" w:cs="Times New Roman"/>
      <w:kern w:val="0"/>
      <w:sz w:val="18"/>
      <w:szCs w:val="18"/>
    </w:rPr>
  </w:style>
  <w:style w:type="character" w:customStyle="1" w:styleId="10">
    <w:name w:val="页脚 Char"/>
    <w:basedOn w:val="6"/>
    <w:link w:val="2"/>
    <w:qFormat/>
    <w:uiPriority w:val="99"/>
    <w:rPr>
      <w:rFonts w:ascii="宋体" w:hAnsi="宋体"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802</Words>
  <Characters>4575</Characters>
  <Lines>38</Lines>
  <Paragraphs>10</Paragraphs>
  <TotalTime>136</TotalTime>
  <ScaleCrop>false</ScaleCrop>
  <LinksUpToDate>false</LinksUpToDate>
  <CharactersWithSpaces>5367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2025-10-17T08:25:00Z</dcterms:created>
  <dc:creator>e</dc:creator>
  <cp:lastModifiedBy>Administrator</cp:lastModifiedBy>
  <dcterms:modified xsi:type="dcterms:W3CDTF">2025-10-20T03:24:32Z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