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华文中宋" w:hAnsi="华文中宋" w:eastAsia="华文中宋" w:cs="华文中宋"/>
          <w:sz w:val="44"/>
          <w:szCs w:val="44"/>
        </w:rPr>
      </w:pPr>
      <w:bookmarkStart w:id="0" w:name="_GoBack"/>
      <w:bookmarkEnd w:id="0"/>
      <w:r>
        <w:rPr>
          <w:rFonts w:hint="eastAsia" w:ascii="华文中宋" w:hAnsi="华文中宋" w:eastAsia="华文中宋" w:cs="华文中宋"/>
          <w:sz w:val="44"/>
          <w:szCs w:val="44"/>
        </w:rPr>
        <w:t>重庆市綦江区森林病虫防治检疫站</w:t>
      </w:r>
    </w:p>
    <w:p>
      <w:pPr>
        <w:spacing w:line="600" w:lineRule="exact"/>
        <w:ind w:firstLine="880" w:firstLineChars="200"/>
        <w:jc w:val="center"/>
        <w:rPr>
          <w:rFonts w:ascii="华文中宋" w:hAnsi="华文中宋" w:eastAsia="华文中宋" w:cs="华文中宋"/>
          <w:sz w:val="44"/>
          <w:szCs w:val="44"/>
        </w:rPr>
      </w:pPr>
      <w:r>
        <w:rPr>
          <w:rFonts w:hint="eastAsia" w:ascii="华文中宋" w:hAnsi="华文中宋" w:eastAsia="华文中宋" w:cs="华文中宋"/>
          <w:sz w:val="44"/>
          <w:szCs w:val="44"/>
        </w:rPr>
        <w:t>2021年部门预算情况说明</w:t>
      </w:r>
    </w:p>
    <w:p>
      <w:pPr>
        <w:spacing w:line="600" w:lineRule="exact"/>
        <w:ind w:firstLine="880" w:firstLineChars="200"/>
        <w:jc w:val="center"/>
        <w:rPr>
          <w:rFonts w:ascii="华文中宋" w:hAnsi="华文中宋" w:eastAsia="华文中宋"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（一）职能职责</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w:t>
      </w:r>
      <w:r>
        <w:rPr>
          <w:rFonts w:ascii="仿宋_GB2312" w:hAnsi="仿宋_GB2312" w:eastAsia="仿宋_GB2312" w:cs="仿宋_GB2312"/>
          <w:sz w:val="32"/>
        </w:rPr>
        <w:t>贯彻执行国家、地方森林病虫害防治和植物检疫的法律法规；</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w:t>
      </w:r>
      <w:r>
        <w:rPr>
          <w:rFonts w:ascii="仿宋_GB2312" w:hAnsi="仿宋_GB2312" w:eastAsia="仿宋_GB2312" w:cs="仿宋_GB2312"/>
          <w:sz w:val="32"/>
        </w:rPr>
        <w:t>负责森林病虫害的预测、预报、调查，疫情监测调查，定期发布森林病虫害信息；</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w:t>
      </w:r>
      <w:r>
        <w:rPr>
          <w:rFonts w:ascii="仿宋_GB2312" w:hAnsi="仿宋_GB2312" w:eastAsia="仿宋_GB2312" w:cs="仿宋_GB2312"/>
          <w:sz w:val="32"/>
        </w:rPr>
        <w:t>负责组织指导森林病虫害防治工作；</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4</w:t>
      </w:r>
      <w:r>
        <w:rPr>
          <w:rFonts w:hint="eastAsia" w:ascii="仿宋_GB2312" w:hAnsi="仿宋_GB2312" w:eastAsia="仿宋_GB2312" w:cs="仿宋_GB2312"/>
          <w:sz w:val="32"/>
        </w:rPr>
        <w:t>、</w:t>
      </w:r>
      <w:r>
        <w:rPr>
          <w:rFonts w:ascii="仿宋_GB2312" w:hAnsi="仿宋_GB2312" w:eastAsia="仿宋_GB2312" w:cs="仿宋_GB2312"/>
          <w:sz w:val="32"/>
        </w:rPr>
        <w:t>依照规定实施现场检疫或复检；</w:t>
      </w:r>
    </w:p>
    <w:p>
      <w:pPr>
        <w:spacing w:line="600" w:lineRule="exact"/>
        <w:ind w:left="1118" w:leftChars="304" w:hanging="480" w:hangingChars="150"/>
        <w:rPr>
          <w:rFonts w:ascii="仿宋_GB2312" w:hAnsi="仿宋_GB2312" w:eastAsia="仿宋_GB2312" w:cs="仿宋_GB2312"/>
          <w:sz w:val="32"/>
        </w:rPr>
      </w:pPr>
      <w:r>
        <w:rPr>
          <w:rFonts w:ascii="仿宋_GB2312" w:hAnsi="仿宋_GB2312" w:eastAsia="仿宋_GB2312" w:cs="仿宋_GB2312"/>
          <w:sz w:val="32"/>
        </w:rPr>
        <w:t>5</w:t>
      </w:r>
      <w:r>
        <w:rPr>
          <w:rFonts w:hint="eastAsia" w:ascii="仿宋_GB2312" w:hAnsi="仿宋_GB2312" w:eastAsia="仿宋_GB2312" w:cs="仿宋_GB2312"/>
          <w:sz w:val="32"/>
        </w:rPr>
        <w:t>、</w:t>
      </w:r>
      <w:r>
        <w:rPr>
          <w:rFonts w:ascii="仿宋_GB2312" w:hAnsi="仿宋_GB2312" w:eastAsia="仿宋_GB2312" w:cs="仿宋_GB2312"/>
          <w:sz w:val="32"/>
        </w:rPr>
        <w:t>依法监督有关单位或者个人对森林植物及其产品消毒处理、除害处理、隔离试种、封销和消灭；</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6</w:t>
      </w:r>
      <w:r>
        <w:rPr>
          <w:rFonts w:hint="eastAsia" w:ascii="仿宋_GB2312" w:hAnsi="仿宋_GB2312" w:eastAsia="仿宋_GB2312" w:cs="仿宋_GB2312"/>
          <w:sz w:val="32"/>
        </w:rPr>
        <w:t>、</w:t>
      </w:r>
      <w:r>
        <w:rPr>
          <w:rFonts w:ascii="仿宋_GB2312" w:hAnsi="仿宋_GB2312" w:eastAsia="仿宋_GB2312" w:cs="仿宋_GB2312"/>
          <w:sz w:val="32"/>
        </w:rPr>
        <w:t>完成上级主管部门交办的其他工作。</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（二）单位构成</w:t>
      </w:r>
    </w:p>
    <w:p>
      <w:pPr>
        <w:spacing w:line="600" w:lineRule="exact"/>
        <w:ind w:firstLine="480" w:firstLineChars="150"/>
        <w:rPr>
          <w:rFonts w:ascii="仿宋_GB2312" w:hAnsi="仿宋_GB2312" w:eastAsia="仿宋_GB2312" w:cs="仿宋_GB2312"/>
          <w:sz w:val="32"/>
        </w:rPr>
      </w:pPr>
      <w:r>
        <w:rPr>
          <w:rFonts w:ascii="仿宋_GB2312" w:hAnsi="仿宋_GB2312" w:eastAsia="仿宋_GB2312" w:cs="仿宋_GB2312"/>
          <w:sz w:val="32"/>
        </w:rPr>
        <w:t>重庆市綦江区森林病虫防治检疫站财政全额拨款事业编制12名</w:t>
      </w:r>
      <w:r>
        <w:rPr>
          <w:rFonts w:hint="eastAsia" w:ascii="仿宋_GB2312" w:hAnsi="仿宋_GB2312" w:eastAsia="仿宋_GB2312" w:cs="仿宋_GB2312"/>
          <w:sz w:val="32"/>
        </w:rPr>
        <w:t>。其中</w:t>
      </w:r>
      <w:r>
        <w:rPr>
          <w:rFonts w:ascii="仿宋_GB2312" w:hAnsi="仿宋_GB2312" w:eastAsia="仿宋_GB2312" w:cs="仿宋_GB2312"/>
          <w:sz w:val="32"/>
        </w:rPr>
        <w:t>科级领导职数3名。</w:t>
      </w:r>
    </w:p>
    <w:p>
      <w:pPr>
        <w:spacing w:line="600" w:lineRule="exact"/>
        <w:ind w:firstLine="640" w:firstLineChars="200"/>
        <w:rPr>
          <w:rFonts w:ascii="黑体" w:hAnsi="黑体" w:eastAsia="黑体" w:cs="仿宋_GB2312"/>
          <w:sz w:val="32"/>
        </w:rPr>
      </w:pPr>
      <w:r>
        <w:rPr>
          <w:rFonts w:hint="eastAsia" w:ascii="黑体" w:hAnsi="黑体" w:eastAsia="黑体" w:cs="仿宋_GB2312"/>
          <w:sz w:val="32"/>
        </w:rPr>
        <w:t>二、部门收支总体情况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（一）收入预算：20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1年年初预算数217.06万元，其中：一般公共预算拨款217.06万元，政府性基金预算拨款0万元，国有资本经营预算收入0万元，事业收入0万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事业单位经营收入0万元</w:t>
      </w:r>
      <w:r>
        <w:rPr>
          <w:rFonts w:ascii="仿宋_GB2312" w:hAnsi="仿宋_GB2312" w:eastAsia="仿宋_GB2312" w:cs="仿宋_GB2312"/>
          <w:sz w:val="32"/>
        </w:rPr>
        <w:t>，其他收入</w:t>
      </w:r>
      <w:r>
        <w:rPr>
          <w:rFonts w:hint="eastAsia" w:ascii="仿宋_GB2312" w:hAnsi="仿宋_GB2312" w:eastAsia="仿宋_GB2312" w:cs="仿宋_GB2312"/>
          <w:sz w:val="32"/>
        </w:rPr>
        <w:t>0万元。收入较去年减少246.78万元，主要是农林水支出人员经费减少214.34万元，项目支出支出减少32.44万元。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（二）支出预算：20</w:t>
      </w:r>
      <w:r>
        <w:rPr>
          <w:rFonts w:ascii="仿宋_GB2312" w:hAnsi="仿宋_GB2312" w:eastAsia="仿宋_GB2312" w:cs="仿宋_GB2312"/>
          <w:sz w:val="32"/>
        </w:rPr>
        <w:t>2</w:t>
      </w:r>
      <w:r>
        <w:rPr>
          <w:rFonts w:hint="eastAsia" w:ascii="仿宋_GB2312" w:hAnsi="仿宋_GB2312" w:eastAsia="仿宋_GB2312" w:cs="仿宋_GB2312"/>
          <w:sz w:val="32"/>
        </w:rPr>
        <w:t>1年年初预算数217.06万元，其中：社会保障和就业支出20.82万元，医疗卫生与计划生育支出9.11万元，农林水支出168.06万元，住房保障支出9.32万元。支出较去年减少246.78万元，主要是基本支出减少214.34万元，项目支出减少32.44万元。</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三、部门预算情况说明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2021年一般公共预算财政拨款收入217.06万元，一般公共预算财政拨款支出217.06万元，比2020年减少246.78万元。其中</w:t>
      </w:r>
      <w:r>
        <w:rPr>
          <w:rFonts w:ascii="仿宋_GB2312" w:hAnsi="仿宋_GB2312" w:eastAsia="仿宋_GB2312" w:cs="仿宋_GB2312"/>
          <w:sz w:val="32"/>
        </w:rPr>
        <w:t>：</w:t>
      </w:r>
      <w:r>
        <w:rPr>
          <w:rFonts w:hint="eastAsia" w:ascii="仿宋_GB2312" w:hAnsi="仿宋_GB2312" w:eastAsia="仿宋_GB2312" w:cs="仿宋_GB2312"/>
          <w:sz w:val="32"/>
        </w:rPr>
        <w:t>基本支出207.31万元，比2020年减少214.34万元，主要原因是因为机构改革，人员减少，行政运行、职工医疗、以及退休人员工资等支出减少，主要用于</w:t>
      </w:r>
      <w:r>
        <w:rPr>
          <w:rFonts w:ascii="仿宋_GB2312" w:hAnsi="仿宋_GB2312" w:eastAsia="仿宋_GB2312" w:cs="仿宋_GB2312"/>
          <w:sz w:val="32"/>
        </w:rPr>
        <w:t>保障</w:t>
      </w:r>
      <w:r>
        <w:rPr>
          <w:rFonts w:hint="eastAsia" w:ascii="仿宋_GB2312" w:hAnsi="仿宋_GB2312" w:eastAsia="仿宋_GB2312" w:cs="仿宋_GB2312"/>
          <w:sz w:val="32"/>
        </w:rPr>
        <w:t xml:space="preserve">在职人员工资福利及社会保险缴费，保障部门正常运转的各项商品服务支出；项目支出9.75万元，比2020年减少32.44万元，主要原因是减少森林资源管理项目支出、行业业务管理等支出。 </w:t>
      </w:r>
    </w:p>
    <w:p>
      <w:pPr>
        <w:ind w:firstLine="480" w:firstLineChars="150"/>
        <w:rPr>
          <w:rFonts w:ascii="仿宋_GB2312" w:hAnsi="仿宋_GB2312" w:eastAsia="仿宋_GB2312" w:cs="仿宋_GB2312"/>
          <w:sz w:val="32"/>
        </w:rPr>
      </w:pPr>
      <w:r>
        <w:rPr>
          <w:rFonts w:hint="eastAsia" w:ascii="仿宋_GB2312" w:hAnsi="仿宋_GB2312" w:eastAsia="仿宋_GB2312" w:cs="仿宋_GB2312"/>
          <w:sz w:val="32"/>
        </w:rPr>
        <w:t>2021年未</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rPr>
        <w:t>。</w:t>
      </w:r>
    </w:p>
    <w:p>
      <w:pPr>
        <w:spacing w:line="600" w:lineRule="exact"/>
        <w:ind w:firstLine="480" w:firstLineChars="150"/>
        <w:rPr>
          <w:rFonts w:ascii="黑体" w:hAnsi="黑体" w:eastAsia="黑体" w:cs="仿宋_GB2312"/>
          <w:sz w:val="32"/>
        </w:rPr>
      </w:pPr>
      <w:r>
        <w:rPr>
          <w:rFonts w:hint="eastAsia" w:ascii="黑体" w:hAnsi="黑体" w:eastAsia="黑体" w:cs="仿宋_GB2312"/>
          <w:sz w:val="32"/>
        </w:rPr>
        <w:t>四、“三公”经费情况说明</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 xml:space="preserve"> 2021年“三公”经费预算3.85万元，比2020年增加1.85万元。其中：因公出国（境）费用0万元，与2020年相比无变化，公务接待费0.35万元，比2020年减少1.65万元；主要原因是</w:t>
      </w:r>
      <w:r>
        <w:rPr>
          <w:rFonts w:hint="eastAsia" w:ascii="仿宋_GB2312" w:hAnsi="仿宋_GB2312" w:eastAsia="仿宋_GB2312" w:cs="仿宋_GB2312"/>
          <w:sz w:val="32"/>
          <w:lang w:eastAsia="zh-CN"/>
        </w:rPr>
        <w:t>厉行节约</w:t>
      </w:r>
      <w:r>
        <w:rPr>
          <w:rFonts w:hint="eastAsia" w:ascii="仿宋_GB2312" w:hAnsi="仿宋_GB2312" w:eastAsia="仿宋_GB2312" w:cs="仿宋_GB2312"/>
          <w:sz w:val="32"/>
        </w:rPr>
        <w:t>以及机构改革在职人员减少。公务用车运行维护费3.5万元，比2020年增加3.5万元；主要原因是划拨公务车辆一台。</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购置费</w:t>
      </w:r>
      <w:r>
        <w:rPr>
          <w:rFonts w:hint="eastAsia" w:ascii="仿宋_GB2312" w:hAnsi="仿宋_GB2312" w:eastAsia="仿宋_GB2312" w:cs="仿宋_GB2312"/>
          <w:sz w:val="32"/>
        </w:rPr>
        <w:t xml:space="preserve"> 0万元，与2020年相比无变化。</w:t>
      </w:r>
    </w:p>
    <w:p>
      <w:pPr>
        <w:pStyle w:val="7"/>
        <w:numPr>
          <w:ilvl w:val="0"/>
          <w:numId w:val="2"/>
        </w:numPr>
        <w:spacing w:line="600" w:lineRule="exact"/>
        <w:ind w:firstLineChars="0"/>
        <w:rPr>
          <w:rFonts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1</w:t>
      </w:r>
      <w:r>
        <w:rPr>
          <w:rFonts w:hint="eastAsia" w:ascii="仿宋_GB2312" w:hAnsi="仿宋_GB2312" w:eastAsia="仿宋_GB2312" w:cs="仿宋_GB2312"/>
          <w:sz w:val="32"/>
        </w:rPr>
        <w:t>、部门运行经费（即</w:t>
      </w:r>
      <w:r>
        <w:rPr>
          <w:rFonts w:ascii="仿宋_GB2312" w:hAnsi="仿宋_GB2312" w:eastAsia="仿宋_GB2312" w:cs="仿宋_GB2312"/>
          <w:sz w:val="32"/>
        </w:rPr>
        <w:t>公用经费）</w:t>
      </w:r>
      <w:r>
        <w:rPr>
          <w:rFonts w:hint="eastAsia" w:ascii="仿宋_GB2312" w:hAnsi="仿宋_GB2312" w:eastAsia="仿宋_GB2312" w:cs="仿宋_GB2312"/>
          <w:sz w:val="32"/>
        </w:rPr>
        <w:t>。2021年一般公共</w:t>
      </w:r>
      <w:r>
        <w:rPr>
          <w:rFonts w:ascii="仿宋_GB2312" w:hAnsi="仿宋_GB2312" w:eastAsia="仿宋_GB2312" w:cs="仿宋_GB2312"/>
          <w:sz w:val="32"/>
        </w:rPr>
        <w:t>预算财政拨款</w:t>
      </w:r>
      <w:r>
        <w:rPr>
          <w:rFonts w:hint="eastAsia" w:ascii="仿宋_GB2312" w:hAnsi="仿宋_GB2312" w:eastAsia="仿宋_GB2312" w:cs="仿宋_GB2312"/>
          <w:sz w:val="32"/>
        </w:rPr>
        <w:t>运行经费41.28万元，比2020年减少8万元。主要原因为人员减少，运行费用降低。主要用于：办公费及</w:t>
      </w:r>
      <w:r>
        <w:rPr>
          <w:rFonts w:ascii="仿宋_GB2312" w:hAnsi="仿宋_GB2312" w:eastAsia="仿宋_GB2312" w:cs="仿宋_GB2312"/>
          <w:sz w:val="32"/>
        </w:rPr>
        <w:t>印刷费</w:t>
      </w:r>
      <w:r>
        <w:rPr>
          <w:rFonts w:hint="eastAsia" w:ascii="仿宋_GB2312" w:hAnsi="仿宋_GB2312" w:eastAsia="仿宋_GB2312" w:cs="仿宋_GB2312"/>
          <w:sz w:val="32"/>
        </w:rPr>
        <w:t>、邮电费、差旅费、其他商品和服务支出等运行经费。</w:t>
      </w:r>
    </w:p>
    <w:p>
      <w:pPr>
        <w:ind w:firstLine="640" w:firstLineChars="2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、政府采购情况。无</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3、绩效目标设置情况。</w:t>
      </w:r>
      <w:r>
        <w:rPr>
          <w:rFonts w:hint="eastAsia" w:ascii="仿宋_GB2312" w:hAnsi="仿宋_GB2312" w:eastAsia="仿宋_GB2312" w:cs="仿宋_GB2312"/>
          <w:color w:val="000000"/>
          <w:sz w:val="32"/>
        </w:rPr>
        <w:t>无</w:t>
      </w:r>
    </w:p>
    <w:p>
      <w:pPr>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sz w:val="32"/>
        </w:rPr>
        <w:t>4、国有资产占用使用情况。截止2020年12月,本单位共有车辆1</w:t>
      </w:r>
      <w:r>
        <w:rPr>
          <w:rFonts w:hint="eastAsia" w:ascii="仿宋_GB2312" w:hAnsi="仿宋_GB2312" w:eastAsia="仿宋_GB2312" w:cs="仿宋_GB2312"/>
          <w:color w:val="000000"/>
          <w:sz w:val="32"/>
        </w:rPr>
        <w:t>辆, 其中机要通信用车1辆、应急保障用车0辆、执勤执法用车0辆。 20</w:t>
      </w:r>
      <w:r>
        <w:rPr>
          <w:rFonts w:ascii="仿宋_GB2312" w:hAnsi="仿宋_GB2312" w:eastAsia="仿宋_GB2312" w:cs="仿宋_GB2312"/>
          <w:color w:val="000000"/>
          <w:sz w:val="32"/>
        </w:rPr>
        <w:t>2</w:t>
      </w:r>
      <w:r>
        <w:rPr>
          <w:rFonts w:hint="eastAsia" w:ascii="仿宋_GB2312" w:hAnsi="仿宋_GB2312" w:eastAsia="仿宋_GB2312" w:cs="仿宋_GB2312"/>
          <w:color w:val="000000"/>
          <w:sz w:val="32"/>
        </w:rPr>
        <w:t>1年一般公共预算安排购置车辆0辆，其中一般公务用车0辆、执勤执法用车0辆。</w:t>
      </w:r>
    </w:p>
    <w:p>
      <w:pPr>
        <w:spacing w:line="520" w:lineRule="exact"/>
        <w:ind w:firstLine="480" w:firstLineChars="150"/>
        <w:rPr>
          <w:rFonts w:ascii="黑体" w:hAnsi="黑体" w:eastAsia="黑体" w:cs="仿宋_GB2312"/>
          <w:sz w:val="32"/>
        </w:rPr>
      </w:pPr>
      <w:r>
        <w:rPr>
          <w:rFonts w:hint="eastAsia" w:ascii="黑体" w:hAnsi="黑体" w:eastAsia="黑体" w:cs="仿宋_GB2312"/>
          <w:sz w:val="32"/>
        </w:rPr>
        <w:t>六、专业性名词</w:t>
      </w:r>
      <w:r>
        <w:rPr>
          <w:rFonts w:ascii="黑体" w:hAnsi="黑体" w:eastAsia="黑体" w:cs="仿宋_GB2312"/>
          <w:sz w:val="32"/>
        </w:rPr>
        <w:t>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以下为常见专业名词解释：</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（三</w:t>
      </w:r>
      <w:r>
        <w:rPr>
          <w:rFonts w:ascii="仿宋_GB2312" w:hAnsi="仿宋_GB2312" w:eastAsia="仿宋_GB2312" w:cs="仿宋_GB2312"/>
          <w:sz w:val="32"/>
        </w:rPr>
        <w:t>）基</w:t>
      </w:r>
      <w:r>
        <w:rPr>
          <w:rFonts w:hint="eastAsia" w:ascii="仿宋_GB2312" w:hAnsi="仿宋_GB2312" w:eastAsia="仿宋_GB2312" w:cs="仿宋_GB2312"/>
          <w:sz w:val="32"/>
        </w:rPr>
        <w:t>本支出：指为保障机构正常运转、完成日常工作任务而发生的人员经费和公用经费。</w:t>
      </w:r>
    </w:p>
    <w:p>
      <w:pPr>
        <w:pStyle w:val="7"/>
        <w:tabs>
          <w:tab w:val="center" w:pos="4153"/>
          <w:tab w:val="left" w:pos="7275"/>
        </w:tabs>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（四）项目支出：指在基本支出之外为完成特定行政任务和事业发展目标所发生的支出。</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
    <w:p>
      <w:pPr>
        <w:rPr>
          <w:rFonts w:ascii="方正仿宋_GBK" w:eastAsia="方正仿宋_GBK"/>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杨梅    联系方式</w:t>
      </w:r>
      <w:r>
        <w:rPr>
          <w:rFonts w:ascii="仿宋_GB2312" w:hAnsi="仿宋_GB2312" w:eastAsia="仿宋_GB2312" w:cs="仿宋_GB2312"/>
          <w:b/>
          <w:sz w:val="32"/>
        </w:rPr>
        <w:t>：</w:t>
      </w:r>
      <w:r>
        <w:rPr>
          <w:rFonts w:hint="eastAsia" w:ascii="方正仿宋_GBK" w:eastAsia="方正仿宋_GBK"/>
          <w:b/>
          <w:sz w:val="32"/>
        </w:rPr>
        <w:t>（电话：023-48671689）</w:t>
      </w:r>
    </w:p>
    <w:p>
      <w:pPr>
        <w:rPr>
          <w:rFonts w:ascii="方正仿宋_GBK" w:eastAsia="方正仿宋_GBK"/>
          <w:b/>
          <w:sz w:val="32"/>
        </w:rPr>
      </w:pPr>
    </w:p>
    <w:p>
      <w:pPr>
        <w:rPr>
          <w:rFonts w:ascii="方正仿宋_GBK" w:eastAsia="方正仿宋_GBK"/>
          <w:b/>
          <w:sz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2FD23920"/>
    <w:multiLevelType w:val="multilevel"/>
    <w:tmpl w:val="2FD2392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mFhMjJjYThhMGE0MmYzZDc3ZTQxZTZmODEyNjUifQ=="/>
  </w:docVars>
  <w:rsids>
    <w:rsidRoot w:val="00653C5D"/>
    <w:rsid w:val="00003F57"/>
    <w:rsid w:val="00020635"/>
    <w:rsid w:val="00020EAD"/>
    <w:rsid w:val="0002212B"/>
    <w:rsid w:val="00031EB2"/>
    <w:rsid w:val="00040D8D"/>
    <w:rsid w:val="00060A14"/>
    <w:rsid w:val="0006560C"/>
    <w:rsid w:val="00073A55"/>
    <w:rsid w:val="00074791"/>
    <w:rsid w:val="00074B8C"/>
    <w:rsid w:val="00075CA8"/>
    <w:rsid w:val="00076AD6"/>
    <w:rsid w:val="00077F26"/>
    <w:rsid w:val="00081E2B"/>
    <w:rsid w:val="00090269"/>
    <w:rsid w:val="00091D45"/>
    <w:rsid w:val="00091E13"/>
    <w:rsid w:val="0009525A"/>
    <w:rsid w:val="000B3C88"/>
    <w:rsid w:val="000C3767"/>
    <w:rsid w:val="000D3A04"/>
    <w:rsid w:val="000D5F21"/>
    <w:rsid w:val="000F35F8"/>
    <w:rsid w:val="0010427B"/>
    <w:rsid w:val="00112975"/>
    <w:rsid w:val="001415EF"/>
    <w:rsid w:val="0014361D"/>
    <w:rsid w:val="001465C7"/>
    <w:rsid w:val="00147022"/>
    <w:rsid w:val="00154ED9"/>
    <w:rsid w:val="00160FDC"/>
    <w:rsid w:val="001820DC"/>
    <w:rsid w:val="001920A2"/>
    <w:rsid w:val="001A2422"/>
    <w:rsid w:val="001B0740"/>
    <w:rsid w:val="001B12FC"/>
    <w:rsid w:val="001C0A6D"/>
    <w:rsid w:val="001D785D"/>
    <w:rsid w:val="001D7973"/>
    <w:rsid w:val="001E146F"/>
    <w:rsid w:val="002005B1"/>
    <w:rsid w:val="00213447"/>
    <w:rsid w:val="00217AE7"/>
    <w:rsid w:val="002209D5"/>
    <w:rsid w:val="002260BC"/>
    <w:rsid w:val="00227A34"/>
    <w:rsid w:val="00232102"/>
    <w:rsid w:val="0023675F"/>
    <w:rsid w:val="00240607"/>
    <w:rsid w:val="00250205"/>
    <w:rsid w:val="0025198B"/>
    <w:rsid w:val="002545AD"/>
    <w:rsid w:val="00262B1E"/>
    <w:rsid w:val="002765C6"/>
    <w:rsid w:val="00277BCB"/>
    <w:rsid w:val="00290A20"/>
    <w:rsid w:val="00291B28"/>
    <w:rsid w:val="002B357A"/>
    <w:rsid w:val="002C4481"/>
    <w:rsid w:val="002D11E5"/>
    <w:rsid w:val="002E52CF"/>
    <w:rsid w:val="002F7A0B"/>
    <w:rsid w:val="00314FC4"/>
    <w:rsid w:val="00321C09"/>
    <w:rsid w:val="003252CB"/>
    <w:rsid w:val="00327C8B"/>
    <w:rsid w:val="00361982"/>
    <w:rsid w:val="00362BF6"/>
    <w:rsid w:val="003637A2"/>
    <w:rsid w:val="00363C02"/>
    <w:rsid w:val="00364CE3"/>
    <w:rsid w:val="0037096A"/>
    <w:rsid w:val="003720DA"/>
    <w:rsid w:val="00386597"/>
    <w:rsid w:val="003948F8"/>
    <w:rsid w:val="00397407"/>
    <w:rsid w:val="003A035F"/>
    <w:rsid w:val="003A0A56"/>
    <w:rsid w:val="003A61B1"/>
    <w:rsid w:val="003A709D"/>
    <w:rsid w:val="003B2A47"/>
    <w:rsid w:val="003C09CE"/>
    <w:rsid w:val="003D4259"/>
    <w:rsid w:val="003E5583"/>
    <w:rsid w:val="00411274"/>
    <w:rsid w:val="0041162B"/>
    <w:rsid w:val="00413D99"/>
    <w:rsid w:val="00431DAD"/>
    <w:rsid w:val="00431FB0"/>
    <w:rsid w:val="00452608"/>
    <w:rsid w:val="00467F39"/>
    <w:rsid w:val="004715B6"/>
    <w:rsid w:val="00472AD1"/>
    <w:rsid w:val="004869C1"/>
    <w:rsid w:val="00487D66"/>
    <w:rsid w:val="00495FE6"/>
    <w:rsid w:val="004A161F"/>
    <w:rsid w:val="004A35A2"/>
    <w:rsid w:val="004A4EB3"/>
    <w:rsid w:val="004B3B80"/>
    <w:rsid w:val="004B7CE5"/>
    <w:rsid w:val="004C4FE2"/>
    <w:rsid w:val="004E146E"/>
    <w:rsid w:val="004E1A3A"/>
    <w:rsid w:val="004F3EFF"/>
    <w:rsid w:val="005115F1"/>
    <w:rsid w:val="00515C8A"/>
    <w:rsid w:val="005472AE"/>
    <w:rsid w:val="00552346"/>
    <w:rsid w:val="005603F9"/>
    <w:rsid w:val="005747C5"/>
    <w:rsid w:val="00574FE4"/>
    <w:rsid w:val="00580AE1"/>
    <w:rsid w:val="00593A51"/>
    <w:rsid w:val="005A2D35"/>
    <w:rsid w:val="005A644C"/>
    <w:rsid w:val="005B2C9C"/>
    <w:rsid w:val="005B7EED"/>
    <w:rsid w:val="005D0C65"/>
    <w:rsid w:val="005D24C4"/>
    <w:rsid w:val="005D26A7"/>
    <w:rsid w:val="005E0D5B"/>
    <w:rsid w:val="005E1011"/>
    <w:rsid w:val="005E21F3"/>
    <w:rsid w:val="005E7BFF"/>
    <w:rsid w:val="005E7FCF"/>
    <w:rsid w:val="005F1357"/>
    <w:rsid w:val="006071F8"/>
    <w:rsid w:val="006266E3"/>
    <w:rsid w:val="00633466"/>
    <w:rsid w:val="00640211"/>
    <w:rsid w:val="00641173"/>
    <w:rsid w:val="006425B2"/>
    <w:rsid w:val="00653C5D"/>
    <w:rsid w:val="00656A4A"/>
    <w:rsid w:val="00660E98"/>
    <w:rsid w:val="006614DC"/>
    <w:rsid w:val="00666A53"/>
    <w:rsid w:val="0067716E"/>
    <w:rsid w:val="006929CD"/>
    <w:rsid w:val="006A5B50"/>
    <w:rsid w:val="006B1580"/>
    <w:rsid w:val="006B1C79"/>
    <w:rsid w:val="006C5F31"/>
    <w:rsid w:val="006D4B08"/>
    <w:rsid w:val="006D6C42"/>
    <w:rsid w:val="006E3D8B"/>
    <w:rsid w:val="006F204D"/>
    <w:rsid w:val="006F38AB"/>
    <w:rsid w:val="00700A62"/>
    <w:rsid w:val="00704046"/>
    <w:rsid w:val="00713A9E"/>
    <w:rsid w:val="00720DAC"/>
    <w:rsid w:val="0072457B"/>
    <w:rsid w:val="007349A8"/>
    <w:rsid w:val="00734C6B"/>
    <w:rsid w:val="007430DA"/>
    <w:rsid w:val="0074408C"/>
    <w:rsid w:val="00744DE1"/>
    <w:rsid w:val="00752A4F"/>
    <w:rsid w:val="00755AD4"/>
    <w:rsid w:val="007623F3"/>
    <w:rsid w:val="00772566"/>
    <w:rsid w:val="007752F6"/>
    <w:rsid w:val="00776385"/>
    <w:rsid w:val="007A1F2F"/>
    <w:rsid w:val="007A32D1"/>
    <w:rsid w:val="007A4038"/>
    <w:rsid w:val="007C6436"/>
    <w:rsid w:val="007D6B43"/>
    <w:rsid w:val="007E07DC"/>
    <w:rsid w:val="007E1899"/>
    <w:rsid w:val="007F3B9D"/>
    <w:rsid w:val="0080002D"/>
    <w:rsid w:val="00800115"/>
    <w:rsid w:val="00812153"/>
    <w:rsid w:val="0081624D"/>
    <w:rsid w:val="00817BAB"/>
    <w:rsid w:val="00850E2D"/>
    <w:rsid w:val="00862329"/>
    <w:rsid w:val="0086267B"/>
    <w:rsid w:val="008740E4"/>
    <w:rsid w:val="00875E1E"/>
    <w:rsid w:val="00886927"/>
    <w:rsid w:val="008D02AD"/>
    <w:rsid w:val="008D6272"/>
    <w:rsid w:val="008E166C"/>
    <w:rsid w:val="008E5C2D"/>
    <w:rsid w:val="00900261"/>
    <w:rsid w:val="00903204"/>
    <w:rsid w:val="00907A53"/>
    <w:rsid w:val="00915BEF"/>
    <w:rsid w:val="009327EB"/>
    <w:rsid w:val="00936F32"/>
    <w:rsid w:val="00940365"/>
    <w:rsid w:val="009465AA"/>
    <w:rsid w:val="00964656"/>
    <w:rsid w:val="0096763E"/>
    <w:rsid w:val="00967702"/>
    <w:rsid w:val="00970AFE"/>
    <w:rsid w:val="009833D5"/>
    <w:rsid w:val="009839D9"/>
    <w:rsid w:val="0098641C"/>
    <w:rsid w:val="009871EA"/>
    <w:rsid w:val="009979A9"/>
    <w:rsid w:val="009A7CFD"/>
    <w:rsid w:val="009B687F"/>
    <w:rsid w:val="009C38FA"/>
    <w:rsid w:val="009C5799"/>
    <w:rsid w:val="009D12C1"/>
    <w:rsid w:val="009E11F6"/>
    <w:rsid w:val="009E2B7F"/>
    <w:rsid w:val="009F2BA4"/>
    <w:rsid w:val="009F6392"/>
    <w:rsid w:val="00A00124"/>
    <w:rsid w:val="00A03005"/>
    <w:rsid w:val="00A348B3"/>
    <w:rsid w:val="00A36312"/>
    <w:rsid w:val="00A473EA"/>
    <w:rsid w:val="00A52BFD"/>
    <w:rsid w:val="00A64D71"/>
    <w:rsid w:val="00A73119"/>
    <w:rsid w:val="00A824AE"/>
    <w:rsid w:val="00A84CB3"/>
    <w:rsid w:val="00A93424"/>
    <w:rsid w:val="00AA0E38"/>
    <w:rsid w:val="00AC04F0"/>
    <w:rsid w:val="00AC2704"/>
    <w:rsid w:val="00AD12BE"/>
    <w:rsid w:val="00AF32AA"/>
    <w:rsid w:val="00B017BD"/>
    <w:rsid w:val="00B050F3"/>
    <w:rsid w:val="00B11132"/>
    <w:rsid w:val="00B322E7"/>
    <w:rsid w:val="00B3602E"/>
    <w:rsid w:val="00B365D5"/>
    <w:rsid w:val="00B85441"/>
    <w:rsid w:val="00B97630"/>
    <w:rsid w:val="00BA14B8"/>
    <w:rsid w:val="00BA7AD6"/>
    <w:rsid w:val="00BA7F6A"/>
    <w:rsid w:val="00BC0AD1"/>
    <w:rsid w:val="00BE0460"/>
    <w:rsid w:val="00BE526D"/>
    <w:rsid w:val="00BF40C9"/>
    <w:rsid w:val="00C0207A"/>
    <w:rsid w:val="00C062B1"/>
    <w:rsid w:val="00C064C4"/>
    <w:rsid w:val="00C3052B"/>
    <w:rsid w:val="00C32150"/>
    <w:rsid w:val="00C32C56"/>
    <w:rsid w:val="00C41265"/>
    <w:rsid w:val="00C44864"/>
    <w:rsid w:val="00C47F0C"/>
    <w:rsid w:val="00C55CC5"/>
    <w:rsid w:val="00C5646C"/>
    <w:rsid w:val="00C625EE"/>
    <w:rsid w:val="00C62BA3"/>
    <w:rsid w:val="00C704CC"/>
    <w:rsid w:val="00C71149"/>
    <w:rsid w:val="00C77465"/>
    <w:rsid w:val="00C775CC"/>
    <w:rsid w:val="00C77DCF"/>
    <w:rsid w:val="00C77F42"/>
    <w:rsid w:val="00C96DDC"/>
    <w:rsid w:val="00CB14BB"/>
    <w:rsid w:val="00CB42CB"/>
    <w:rsid w:val="00CC4832"/>
    <w:rsid w:val="00CD22EA"/>
    <w:rsid w:val="00CD6A8A"/>
    <w:rsid w:val="00CE34E4"/>
    <w:rsid w:val="00D21F62"/>
    <w:rsid w:val="00D22EC5"/>
    <w:rsid w:val="00D279C1"/>
    <w:rsid w:val="00D32ADC"/>
    <w:rsid w:val="00D47358"/>
    <w:rsid w:val="00D54DCE"/>
    <w:rsid w:val="00D56D81"/>
    <w:rsid w:val="00D8187B"/>
    <w:rsid w:val="00D835FF"/>
    <w:rsid w:val="00D904B3"/>
    <w:rsid w:val="00D91696"/>
    <w:rsid w:val="00D9650F"/>
    <w:rsid w:val="00DA2551"/>
    <w:rsid w:val="00DC30C6"/>
    <w:rsid w:val="00DD314C"/>
    <w:rsid w:val="00DD3F23"/>
    <w:rsid w:val="00DD613E"/>
    <w:rsid w:val="00DF08FE"/>
    <w:rsid w:val="00E210D6"/>
    <w:rsid w:val="00E24DF5"/>
    <w:rsid w:val="00E2713D"/>
    <w:rsid w:val="00E34959"/>
    <w:rsid w:val="00E5614D"/>
    <w:rsid w:val="00E61352"/>
    <w:rsid w:val="00E618C5"/>
    <w:rsid w:val="00E770A8"/>
    <w:rsid w:val="00E86F90"/>
    <w:rsid w:val="00E87F54"/>
    <w:rsid w:val="00EA03D2"/>
    <w:rsid w:val="00EA460E"/>
    <w:rsid w:val="00EA4CC5"/>
    <w:rsid w:val="00EB5210"/>
    <w:rsid w:val="00EC0367"/>
    <w:rsid w:val="00ED79C6"/>
    <w:rsid w:val="00EE2584"/>
    <w:rsid w:val="00EE552E"/>
    <w:rsid w:val="00EE609E"/>
    <w:rsid w:val="00F04F69"/>
    <w:rsid w:val="00F237A2"/>
    <w:rsid w:val="00F61F8A"/>
    <w:rsid w:val="00F67377"/>
    <w:rsid w:val="00F74DDE"/>
    <w:rsid w:val="00F76360"/>
    <w:rsid w:val="00F813B3"/>
    <w:rsid w:val="00F95AE0"/>
    <w:rsid w:val="00FB7B4F"/>
    <w:rsid w:val="00FC57E7"/>
    <w:rsid w:val="00FD33B9"/>
    <w:rsid w:val="00FF4408"/>
    <w:rsid w:val="00FF4454"/>
    <w:rsid w:val="0B787BA4"/>
    <w:rsid w:val="10F907D9"/>
    <w:rsid w:val="169F7F25"/>
    <w:rsid w:val="175A1536"/>
    <w:rsid w:val="1A5B51B5"/>
    <w:rsid w:val="1D891452"/>
    <w:rsid w:val="1EA30BF3"/>
    <w:rsid w:val="2044663D"/>
    <w:rsid w:val="26976EA8"/>
    <w:rsid w:val="2DC92CD7"/>
    <w:rsid w:val="2F162B18"/>
    <w:rsid w:val="31AD03AD"/>
    <w:rsid w:val="32FB7178"/>
    <w:rsid w:val="370A6901"/>
    <w:rsid w:val="37356148"/>
    <w:rsid w:val="39AD1668"/>
    <w:rsid w:val="3CA000E1"/>
    <w:rsid w:val="3CB9162F"/>
    <w:rsid w:val="42FF1E6D"/>
    <w:rsid w:val="461F23DC"/>
    <w:rsid w:val="4B77266E"/>
    <w:rsid w:val="4E603A82"/>
    <w:rsid w:val="51247C4F"/>
    <w:rsid w:val="521D5DBC"/>
    <w:rsid w:val="53530230"/>
    <w:rsid w:val="55AC791F"/>
    <w:rsid w:val="588C1A4E"/>
    <w:rsid w:val="5B4E6C0E"/>
    <w:rsid w:val="62E6262B"/>
    <w:rsid w:val="638F73CB"/>
    <w:rsid w:val="64BA179E"/>
    <w:rsid w:val="65504868"/>
    <w:rsid w:val="67F03B72"/>
    <w:rsid w:val="6A575D6D"/>
    <w:rsid w:val="6D712D5D"/>
    <w:rsid w:val="6FDC3C7F"/>
    <w:rsid w:val="71F34BFF"/>
    <w:rsid w:val="72660B98"/>
    <w:rsid w:val="74F01AA4"/>
    <w:rsid w:val="76F32FE5"/>
    <w:rsid w:val="7998490F"/>
    <w:rsid w:val="7ED85E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rPr>
      <w:rFonts w:asciiTheme="minorHAnsi" w:hAnsiTheme="minorHAnsi" w:cstheme="minorBidi"/>
      <w:szCs w:val="24"/>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Times New Roman" w:hAnsi="Times New Roman"/>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uiPriority w:val="99"/>
    <w:rPr>
      <w:rFonts w:ascii="Calibri" w:hAnsi="Calibri" w:eastAsia="宋体" w:cs="Times New Roman"/>
      <w:sz w:val="18"/>
      <w:szCs w:val="18"/>
    </w:rPr>
  </w:style>
  <w:style w:type="paragraph" w:customStyle="1" w:styleId="10">
    <w:name w:val="Char"/>
    <w:basedOn w:val="1"/>
    <w:uiPriority w:val="0"/>
    <w:rPr>
      <w:rFonts w:ascii="Times New Roman" w:hAnsi="Times New Roman" w:eastAsia="仿宋_GB2312"/>
      <w:sz w:val="32"/>
      <w:szCs w:val="32"/>
    </w:rPr>
  </w:style>
  <w:style w:type="character" w:customStyle="1" w:styleId="11">
    <w:name w:val="日期 Char"/>
    <w:basedOn w:val="6"/>
    <w:link w:val="2"/>
    <w:locked/>
    <w:uiPriority w:val="0"/>
    <w:rPr>
      <w:rFonts w:eastAsia="宋体"/>
      <w:szCs w:val="24"/>
    </w:rPr>
  </w:style>
  <w:style w:type="character" w:customStyle="1" w:styleId="12">
    <w:name w:val="日期 Char1"/>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262</Words>
  <Characters>1500</Characters>
  <Lines>12</Lines>
  <Paragraphs>3</Paragraphs>
  <TotalTime>25</TotalTime>
  <ScaleCrop>false</ScaleCrop>
  <LinksUpToDate>false</LinksUpToDate>
  <CharactersWithSpaces>1759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2018-02-11T06:56:00Z</dcterms:created>
  <dc:creator>黄廷玉</dc:creator>
  <cp:lastModifiedBy>邓颖</cp:lastModifiedBy>
  <dcterms:modified xsi:type="dcterms:W3CDTF">2022-11-21T09:56:23Z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114C37526A4B4F5388A07DDD26DC3C16</vt:lpwstr>
  </property>
</Properties>
</file>