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jc w:val="center"/>
        <w:rPr>
          <w:rFonts w:ascii="华文中宋" w:hAnsi="华文中宋" w:eastAsia="华文中宋" w:cs="华文中宋"/>
          <w:sz w:val="44"/>
          <w:szCs w:val="44"/>
        </w:rPr>
      </w:pPr>
      <w:bookmarkStart w:id="0" w:name="_GoBack"/>
      <w:r>
        <w:rPr>
          <w:rFonts w:hint="eastAsia" w:ascii="华文中宋" w:hAnsi="华文中宋" w:eastAsia="华文中宋" w:cs="华文中宋"/>
          <w:sz w:val="44"/>
          <w:szCs w:val="44"/>
        </w:rPr>
        <w:t>重庆市綦江区自然保护地管理中心</w:t>
      </w:r>
      <w:bookmarkEnd w:id="0"/>
    </w:p>
    <w:p>
      <w:pPr>
        <w:spacing w:line="600" w:lineRule="exact"/>
        <w:ind w:firstLine="880" w:firstLineChars="200"/>
        <w:jc w:val="center"/>
        <w:rPr>
          <w:rFonts w:ascii="华文中宋" w:hAnsi="华文中宋" w:eastAsia="华文中宋" w:cs="华文中宋"/>
          <w:sz w:val="44"/>
          <w:szCs w:val="44"/>
        </w:rPr>
      </w:pPr>
      <w:r>
        <w:rPr>
          <w:rFonts w:hint="eastAsia" w:ascii="华文中宋" w:hAnsi="华文中宋" w:eastAsia="华文中宋" w:cs="华文中宋"/>
          <w:sz w:val="44"/>
          <w:szCs w:val="44"/>
        </w:rPr>
        <w:t>2021年部门预算情况说明</w:t>
      </w:r>
    </w:p>
    <w:p>
      <w:pPr>
        <w:spacing w:line="600" w:lineRule="exact"/>
        <w:ind w:firstLine="880" w:firstLineChars="200"/>
        <w:jc w:val="center"/>
        <w:rPr>
          <w:rFonts w:ascii="华文中宋" w:hAnsi="华文中宋" w:eastAsia="华文中宋" w:cs="华文中宋"/>
          <w:sz w:val="44"/>
          <w:szCs w:val="44"/>
        </w:rPr>
      </w:pPr>
    </w:p>
    <w:p>
      <w:pPr>
        <w:numPr>
          <w:ilvl w:val="0"/>
          <w:numId w:val="1"/>
        </w:numPr>
        <w:spacing w:line="600" w:lineRule="exact"/>
        <w:ind w:firstLine="640" w:firstLineChars="200"/>
        <w:rPr>
          <w:rFonts w:ascii="黑体" w:hAnsi="黑体" w:eastAsia="黑体" w:cs="仿宋_GB2312"/>
          <w:sz w:val="32"/>
        </w:rPr>
      </w:pPr>
      <w:r>
        <w:rPr>
          <w:rFonts w:hint="eastAsia" w:ascii="黑体" w:hAnsi="黑体" w:eastAsia="黑体" w:cs="仿宋_GB2312"/>
          <w:sz w:val="32"/>
        </w:rPr>
        <w:t>单位基本情况</w:t>
      </w:r>
    </w:p>
    <w:p>
      <w:pPr>
        <w:spacing w:line="600" w:lineRule="exact"/>
        <w:rPr>
          <w:rFonts w:ascii="仿宋_GB2312" w:hAnsi="仿宋_GB2312" w:eastAsia="仿宋_GB2312" w:cs="仿宋_GB2312"/>
          <w:sz w:val="32"/>
        </w:rPr>
      </w:pPr>
      <w:r>
        <w:rPr>
          <w:rFonts w:hint="eastAsia" w:ascii="仿宋_GB2312" w:hAnsi="仿宋_GB2312" w:eastAsia="仿宋_GB2312" w:cs="仿宋_GB2312"/>
          <w:sz w:val="32"/>
        </w:rPr>
        <w:t xml:space="preserve">  （一）职能职责</w:t>
      </w:r>
    </w:p>
    <w:p>
      <w:pPr>
        <w:spacing w:line="600" w:lineRule="exact"/>
        <w:ind w:left="1118" w:leftChars="304" w:hanging="480" w:hangingChars="150"/>
        <w:rPr>
          <w:rFonts w:ascii="仿宋_GB2312" w:hAnsi="仿宋_GB2312" w:eastAsia="仿宋_GB2312" w:cs="仿宋_GB2312"/>
          <w:sz w:val="32"/>
        </w:rPr>
      </w:pPr>
      <w:r>
        <w:rPr>
          <w:rFonts w:hint="eastAsia" w:ascii="仿宋_GB2312" w:hAnsi="仿宋_GB2312" w:eastAsia="仿宋_GB2312" w:cs="仿宋_GB2312"/>
          <w:sz w:val="32"/>
        </w:rPr>
        <w:t>1.</w:t>
      </w:r>
      <w:r>
        <w:rPr>
          <w:rFonts w:ascii="仿宋_GB2312" w:hAnsi="仿宋_GB2312" w:eastAsia="仿宋_GB2312" w:cs="仿宋_GB2312"/>
          <w:sz w:val="32"/>
        </w:rPr>
        <w:t>主要负责区内的自然保护区、森林公园、湿地公园、地质公园及风景名胜区基础设施建设的</w:t>
      </w:r>
    </w:p>
    <w:p>
      <w:pPr>
        <w:spacing w:line="600" w:lineRule="exact"/>
        <w:ind w:left="1118" w:leftChars="304" w:hanging="480" w:hangingChars="150"/>
        <w:rPr>
          <w:rFonts w:ascii="仿宋_GB2312" w:hAnsi="仿宋_GB2312" w:eastAsia="仿宋_GB2312" w:cs="仿宋_GB2312"/>
          <w:sz w:val="32"/>
        </w:rPr>
      </w:pPr>
      <w:r>
        <w:rPr>
          <w:rFonts w:hint="eastAsia" w:ascii="仿宋_GB2312" w:hAnsi="仿宋_GB2312" w:eastAsia="仿宋_GB2312" w:cs="仿宋_GB2312"/>
          <w:sz w:val="32"/>
        </w:rPr>
        <w:t>综</w:t>
      </w:r>
      <w:r>
        <w:rPr>
          <w:rFonts w:ascii="仿宋_GB2312" w:hAnsi="仿宋_GB2312" w:eastAsia="仿宋_GB2312" w:cs="仿宋_GB2312"/>
          <w:sz w:val="32"/>
        </w:rPr>
        <w:t>合管理</w:t>
      </w:r>
      <w:r>
        <w:rPr>
          <w:rFonts w:hint="eastAsia" w:ascii="仿宋_GB2312" w:hAnsi="仿宋_GB2312" w:eastAsia="仿宋_GB2312" w:cs="仿宋_GB2312"/>
          <w:sz w:val="32"/>
        </w:rPr>
        <w:t>。</w:t>
      </w:r>
    </w:p>
    <w:p>
      <w:pPr>
        <w:spacing w:line="600" w:lineRule="exact"/>
        <w:ind w:left="1118" w:leftChars="304" w:hanging="480" w:hangingChars="150"/>
        <w:rPr>
          <w:rFonts w:ascii="仿宋_GB2312" w:hAnsi="仿宋_GB2312" w:eastAsia="仿宋_GB2312" w:cs="仿宋_GB2312"/>
          <w:sz w:val="32"/>
        </w:rPr>
      </w:pPr>
      <w:r>
        <w:rPr>
          <w:rFonts w:hint="eastAsia" w:ascii="仿宋_GB2312" w:hAnsi="仿宋_GB2312" w:eastAsia="仿宋_GB2312" w:cs="仿宋_GB2312"/>
          <w:sz w:val="32"/>
        </w:rPr>
        <w:t>2.</w:t>
      </w:r>
      <w:r>
        <w:rPr>
          <w:rFonts w:ascii="仿宋_GB2312" w:hAnsi="仿宋_GB2312" w:eastAsia="仿宋_GB2312" w:cs="仿宋_GB2312"/>
          <w:sz w:val="32"/>
        </w:rPr>
        <w:t>贯彻执行国家、地方的有关法律、法规和方针政策；协助主管部门制定所属保护区、公园、</w:t>
      </w:r>
      <w:r>
        <w:rPr>
          <w:rFonts w:hint="eastAsia" w:ascii="仿宋_GB2312" w:hAnsi="仿宋_GB2312" w:eastAsia="仿宋_GB2312" w:cs="仿宋_GB2312"/>
          <w:sz w:val="32"/>
        </w:rPr>
        <w:t>风</w:t>
      </w:r>
    </w:p>
    <w:p>
      <w:pPr>
        <w:spacing w:line="600" w:lineRule="exact"/>
        <w:ind w:left="1118" w:leftChars="304" w:hanging="480" w:hangingChars="150"/>
        <w:rPr>
          <w:rFonts w:ascii="仿宋_GB2312" w:hAnsi="仿宋_GB2312" w:eastAsia="仿宋_GB2312" w:cs="仿宋_GB2312"/>
          <w:sz w:val="32"/>
        </w:rPr>
      </w:pPr>
      <w:r>
        <w:rPr>
          <w:rFonts w:ascii="仿宋_GB2312" w:hAnsi="仿宋_GB2312" w:eastAsia="仿宋_GB2312" w:cs="仿宋_GB2312"/>
          <w:sz w:val="32"/>
        </w:rPr>
        <w:t>景名胜区的规划，并组织实施</w:t>
      </w:r>
      <w:r>
        <w:rPr>
          <w:rFonts w:hint="eastAsia" w:ascii="仿宋_GB2312" w:hAnsi="仿宋_GB2312" w:eastAsia="仿宋_GB2312" w:cs="仿宋_GB2312"/>
          <w:sz w:val="32"/>
        </w:rPr>
        <w:t>。</w:t>
      </w:r>
    </w:p>
    <w:p>
      <w:pPr>
        <w:spacing w:line="600" w:lineRule="exact"/>
        <w:ind w:left="1118" w:leftChars="304" w:hanging="480" w:hangingChars="150"/>
        <w:rPr>
          <w:rFonts w:ascii="仿宋_GB2312" w:hAnsi="仿宋_GB2312" w:eastAsia="仿宋_GB2312" w:cs="仿宋_GB2312"/>
          <w:sz w:val="32"/>
        </w:rPr>
      </w:pPr>
      <w:r>
        <w:rPr>
          <w:rFonts w:hint="eastAsia" w:ascii="仿宋_GB2312" w:hAnsi="仿宋_GB2312" w:eastAsia="仿宋_GB2312" w:cs="仿宋_GB2312"/>
          <w:sz w:val="32"/>
        </w:rPr>
        <w:t>3.</w:t>
      </w:r>
      <w:r>
        <w:rPr>
          <w:rFonts w:ascii="仿宋_GB2312" w:hAnsi="仿宋_GB2312" w:eastAsia="仿宋_GB2312" w:cs="仿宋_GB2312"/>
          <w:sz w:val="32"/>
        </w:rPr>
        <w:t>自然资源的保护、利用及管理，各种</w:t>
      </w:r>
      <w:r>
        <w:rPr>
          <w:rFonts w:hint="eastAsia" w:ascii="仿宋_GB2312" w:hAnsi="仿宋_GB2312" w:eastAsia="仿宋_GB2312" w:cs="仿宋_GB2312"/>
          <w:sz w:val="32"/>
        </w:rPr>
        <w:t>野生</w:t>
      </w:r>
      <w:r>
        <w:rPr>
          <w:rFonts w:ascii="仿宋_GB2312" w:hAnsi="仿宋_GB2312" w:eastAsia="仿宋_GB2312" w:cs="仿宋_GB2312"/>
          <w:sz w:val="32"/>
        </w:rPr>
        <w:t>动植物生活习性的调查和研究等工作的综合管理；</w:t>
      </w:r>
      <w:r>
        <w:rPr>
          <w:rFonts w:hint="eastAsia" w:ascii="仿宋_GB2312" w:hAnsi="仿宋_GB2312" w:eastAsia="仿宋_GB2312" w:cs="仿宋_GB2312"/>
          <w:sz w:val="32"/>
        </w:rPr>
        <w:t>组</w:t>
      </w:r>
    </w:p>
    <w:p>
      <w:pPr>
        <w:spacing w:line="600" w:lineRule="exact"/>
        <w:ind w:left="1118" w:leftChars="304" w:hanging="480" w:hangingChars="150"/>
        <w:rPr>
          <w:rFonts w:ascii="仿宋_GB2312" w:hAnsi="仿宋_GB2312" w:eastAsia="仿宋_GB2312" w:cs="仿宋_GB2312"/>
          <w:sz w:val="32"/>
        </w:rPr>
      </w:pPr>
      <w:r>
        <w:rPr>
          <w:rFonts w:ascii="仿宋_GB2312" w:hAnsi="仿宋_GB2312" w:eastAsia="仿宋_GB2312" w:cs="仿宋_GB2312"/>
          <w:sz w:val="32"/>
        </w:rPr>
        <w:t>织或协助有关部门开展</w:t>
      </w:r>
      <w:r>
        <w:rPr>
          <w:rFonts w:hint="eastAsia" w:ascii="仿宋_GB2312" w:hAnsi="仿宋_GB2312" w:eastAsia="仿宋_GB2312" w:cs="仿宋_GB2312"/>
          <w:sz w:val="32"/>
        </w:rPr>
        <w:t>野生</w:t>
      </w:r>
      <w:r>
        <w:rPr>
          <w:rFonts w:ascii="仿宋_GB2312" w:hAnsi="仿宋_GB2312" w:eastAsia="仿宋_GB2312" w:cs="仿宋_GB2312"/>
          <w:sz w:val="32"/>
        </w:rPr>
        <w:t>动植物科学研究工作</w:t>
      </w:r>
      <w:r>
        <w:rPr>
          <w:rFonts w:hint="eastAsia" w:ascii="仿宋_GB2312" w:hAnsi="仿宋_GB2312" w:eastAsia="仿宋_GB2312" w:cs="仿宋_GB2312"/>
          <w:sz w:val="32"/>
        </w:rPr>
        <w:t>。</w:t>
      </w:r>
    </w:p>
    <w:p>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4.</w:t>
      </w:r>
      <w:r>
        <w:rPr>
          <w:rFonts w:ascii="仿宋_GB2312" w:hAnsi="仿宋_GB2312" w:eastAsia="仿宋_GB2312" w:cs="仿宋_GB2312"/>
          <w:sz w:val="32"/>
        </w:rPr>
        <w:t>制定各项管理制度，落实保护和管理责任</w:t>
      </w:r>
      <w:r>
        <w:rPr>
          <w:rFonts w:hint="eastAsia" w:ascii="仿宋_GB2312" w:hAnsi="仿宋_GB2312" w:eastAsia="仿宋_GB2312" w:cs="仿宋_GB2312"/>
          <w:sz w:val="32"/>
        </w:rPr>
        <w:t>。</w:t>
      </w:r>
    </w:p>
    <w:p>
      <w:pPr>
        <w:spacing w:line="600" w:lineRule="exact"/>
        <w:ind w:left="479" w:leftChars="228" w:firstLine="160" w:firstLineChars="50"/>
        <w:rPr>
          <w:rFonts w:ascii="仿宋_GB2312" w:hAnsi="仿宋_GB2312" w:eastAsia="仿宋_GB2312" w:cs="仿宋_GB2312"/>
          <w:sz w:val="32"/>
        </w:rPr>
      </w:pPr>
      <w:r>
        <w:rPr>
          <w:rFonts w:hint="eastAsia" w:ascii="仿宋_GB2312" w:hAnsi="仿宋_GB2312" w:eastAsia="仿宋_GB2312" w:cs="仿宋_GB2312"/>
          <w:sz w:val="32"/>
        </w:rPr>
        <w:t>5.</w:t>
      </w:r>
      <w:r>
        <w:rPr>
          <w:rFonts w:ascii="仿宋_GB2312" w:hAnsi="仿宋_GB2312" w:eastAsia="仿宋_GB2312" w:cs="仿宋_GB2312"/>
          <w:sz w:val="32"/>
        </w:rPr>
        <w:t>调查保护区内的野生动植物资源并建立档案，组织环境监测，保护自然保护区内的生态环境和自然资源</w:t>
      </w:r>
      <w:r>
        <w:rPr>
          <w:rFonts w:hint="eastAsia" w:ascii="仿宋_GB2312" w:hAnsi="仿宋_GB2312" w:eastAsia="仿宋_GB2312" w:cs="仿宋_GB2312"/>
          <w:sz w:val="32"/>
        </w:rPr>
        <w:t>。</w:t>
      </w:r>
    </w:p>
    <w:p>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6.</w:t>
      </w:r>
      <w:r>
        <w:rPr>
          <w:rFonts w:ascii="仿宋_GB2312" w:hAnsi="仿宋_GB2312" w:eastAsia="仿宋_GB2312" w:cs="仿宋_GB2312"/>
          <w:sz w:val="32"/>
        </w:rPr>
        <w:t>争取国家或地方相关项目，加强自然保护区能力建设</w:t>
      </w:r>
      <w:r>
        <w:rPr>
          <w:rFonts w:hint="eastAsia" w:ascii="仿宋_GB2312" w:hAnsi="仿宋_GB2312" w:eastAsia="仿宋_GB2312" w:cs="仿宋_GB2312"/>
          <w:sz w:val="32"/>
        </w:rPr>
        <w:t>。</w:t>
      </w:r>
    </w:p>
    <w:p>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7.</w:t>
      </w:r>
      <w:r>
        <w:rPr>
          <w:rFonts w:ascii="仿宋_GB2312" w:hAnsi="仿宋_GB2312" w:eastAsia="仿宋_GB2312" w:cs="仿宋_GB2312"/>
          <w:sz w:val="32"/>
        </w:rPr>
        <w:t>负责建立自然保护区</w:t>
      </w:r>
      <w:r>
        <w:rPr>
          <w:rFonts w:hint="eastAsia" w:ascii="仿宋_GB2312" w:hAnsi="仿宋_GB2312" w:eastAsia="仿宋_GB2312" w:cs="仿宋_GB2312"/>
          <w:sz w:val="32"/>
        </w:rPr>
        <w:t>野生</w:t>
      </w:r>
      <w:r>
        <w:rPr>
          <w:rFonts w:ascii="仿宋_GB2312" w:hAnsi="仿宋_GB2312" w:eastAsia="仿宋_GB2312" w:cs="仿宋_GB2312"/>
          <w:sz w:val="32"/>
        </w:rPr>
        <w:t>动植物疫源疫病等各种监测系统和信息网络</w:t>
      </w:r>
      <w:r>
        <w:rPr>
          <w:rFonts w:hint="eastAsia" w:ascii="仿宋_GB2312" w:hAnsi="仿宋_GB2312" w:eastAsia="仿宋_GB2312" w:cs="仿宋_GB2312"/>
          <w:sz w:val="32"/>
        </w:rPr>
        <w:t>。</w:t>
      </w:r>
    </w:p>
    <w:p>
      <w:pPr>
        <w:spacing w:line="600" w:lineRule="exact"/>
        <w:ind w:left="479" w:leftChars="228" w:firstLine="160" w:firstLineChars="50"/>
        <w:rPr>
          <w:rFonts w:ascii="仿宋_GB2312" w:hAnsi="仿宋_GB2312" w:eastAsia="仿宋_GB2312" w:cs="仿宋_GB2312"/>
          <w:sz w:val="32"/>
        </w:rPr>
      </w:pPr>
      <w:r>
        <w:rPr>
          <w:rFonts w:hint="eastAsia" w:ascii="仿宋_GB2312" w:hAnsi="仿宋_GB2312" w:eastAsia="仿宋_GB2312" w:cs="仿宋_GB2312"/>
          <w:sz w:val="32"/>
        </w:rPr>
        <w:t>8.</w:t>
      </w:r>
      <w:r>
        <w:rPr>
          <w:rFonts w:ascii="仿宋_GB2312" w:hAnsi="仿宋_GB2312" w:eastAsia="仿宋_GB2312" w:cs="仿宋_GB2312"/>
          <w:sz w:val="32"/>
        </w:rPr>
        <w:t>负责国家地质公园对外宣传，组织开展科研、科普教育活动，挖掘地质公园科学内涵，促进公众社会地球知识科学普及水平提升</w:t>
      </w:r>
      <w:r>
        <w:rPr>
          <w:rFonts w:hint="eastAsia" w:ascii="仿宋_GB2312" w:hAnsi="仿宋_GB2312" w:eastAsia="仿宋_GB2312" w:cs="仿宋_GB2312"/>
          <w:sz w:val="32"/>
        </w:rPr>
        <w:t>。</w:t>
      </w:r>
    </w:p>
    <w:p>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9.</w:t>
      </w:r>
      <w:r>
        <w:rPr>
          <w:rFonts w:ascii="仿宋_GB2312" w:hAnsi="仿宋_GB2312" w:eastAsia="仿宋_GB2312" w:cs="仿宋_GB2312"/>
          <w:sz w:val="32"/>
        </w:rPr>
        <w:t>完成上级主管部门交办的其他工作</w:t>
      </w:r>
      <w:r>
        <w:rPr>
          <w:rFonts w:hint="eastAsia" w:ascii="仿宋_GB2312" w:hAnsi="仿宋_GB2312" w:eastAsia="仿宋_GB2312" w:cs="仿宋_GB2312"/>
          <w:sz w:val="32"/>
        </w:rPr>
        <w:t>。</w:t>
      </w:r>
    </w:p>
    <w:p>
      <w:pPr>
        <w:spacing w:line="600" w:lineRule="exact"/>
        <w:rPr>
          <w:rFonts w:ascii="仿宋_GB2312" w:hAnsi="仿宋_GB2312" w:eastAsia="仿宋_GB2312" w:cs="仿宋_GB2312"/>
          <w:sz w:val="32"/>
        </w:rPr>
      </w:pPr>
      <w:r>
        <w:rPr>
          <w:rFonts w:hint="eastAsia" w:ascii="仿宋_GB2312" w:hAnsi="仿宋_GB2312" w:eastAsia="仿宋_GB2312" w:cs="仿宋_GB2312"/>
          <w:sz w:val="32"/>
        </w:rPr>
        <w:t xml:space="preserve">  （二）单位构成</w:t>
      </w:r>
    </w:p>
    <w:p>
      <w:pPr>
        <w:spacing w:line="560" w:lineRule="exact"/>
        <w:ind w:firstLine="640" w:firstLineChars="200"/>
        <w:rPr>
          <w:rFonts w:ascii="仿宋_GB2312" w:hAnsi="仿宋_GB2312" w:eastAsia="仿宋_GB2312" w:cs="仿宋_GB2312"/>
          <w:sz w:val="32"/>
        </w:rPr>
      </w:pPr>
      <w:r>
        <w:rPr>
          <w:rFonts w:ascii="仿宋_GB2312" w:hAnsi="仿宋_GB2312" w:eastAsia="仿宋_GB2312" w:cs="仿宋_GB2312"/>
          <w:sz w:val="32"/>
        </w:rPr>
        <w:t>重庆市綦江区自然保护地管理中心财政全额拨款事业编制2</w:t>
      </w:r>
      <w:r>
        <w:rPr>
          <w:rFonts w:hint="eastAsia" w:ascii="仿宋_GB2312" w:hAnsi="仿宋_GB2312" w:eastAsia="仿宋_GB2312" w:cs="仿宋_GB2312"/>
          <w:sz w:val="32"/>
        </w:rPr>
        <w:t>1</w:t>
      </w:r>
      <w:r>
        <w:rPr>
          <w:rFonts w:ascii="仿宋_GB2312" w:hAnsi="仿宋_GB2312" w:eastAsia="仿宋_GB2312" w:cs="仿宋_GB2312"/>
          <w:sz w:val="32"/>
        </w:rPr>
        <w:t>名</w:t>
      </w:r>
      <w:r>
        <w:rPr>
          <w:rFonts w:hint="eastAsia" w:ascii="仿宋_GB2312" w:hAnsi="仿宋_GB2312" w:eastAsia="仿宋_GB2312" w:cs="仿宋_GB2312"/>
          <w:sz w:val="32"/>
        </w:rPr>
        <w:t>。其中</w:t>
      </w:r>
      <w:r>
        <w:rPr>
          <w:rFonts w:ascii="仿宋_GB2312" w:hAnsi="仿宋_GB2312" w:eastAsia="仿宋_GB2312" w:cs="仿宋_GB2312"/>
          <w:sz w:val="32"/>
        </w:rPr>
        <w:t>科级领导职数4名。</w:t>
      </w:r>
    </w:p>
    <w:p>
      <w:pPr>
        <w:spacing w:line="600" w:lineRule="exact"/>
        <w:ind w:firstLine="640" w:firstLineChars="200"/>
        <w:rPr>
          <w:rFonts w:ascii="黑体" w:hAnsi="黑体" w:eastAsia="黑体" w:cs="仿宋_GB2312"/>
          <w:sz w:val="32"/>
        </w:rPr>
      </w:pPr>
      <w:r>
        <w:rPr>
          <w:rFonts w:hint="eastAsia" w:ascii="黑体" w:hAnsi="黑体" w:eastAsia="黑体" w:cs="仿宋_GB2312"/>
          <w:sz w:val="32"/>
        </w:rPr>
        <w:t>二、部门收支总体情况</w:t>
      </w:r>
    </w:p>
    <w:p>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（一）收入预算：20</w:t>
      </w:r>
      <w:r>
        <w:rPr>
          <w:rFonts w:ascii="仿宋_GB2312" w:hAnsi="仿宋_GB2312" w:eastAsia="仿宋_GB2312" w:cs="仿宋_GB2312"/>
          <w:sz w:val="32"/>
        </w:rPr>
        <w:t>2</w:t>
      </w:r>
      <w:r>
        <w:rPr>
          <w:rFonts w:hint="eastAsia" w:ascii="仿宋_GB2312" w:hAnsi="仿宋_GB2312" w:eastAsia="仿宋_GB2312" w:cs="仿宋_GB2312"/>
          <w:sz w:val="32"/>
        </w:rPr>
        <w:t>1年年初预算数463.03万元，其中：一般公共预算拨款463.03万元，政府性基金预算拨款0万元，国有资本经营预算收入0万元，事业收入0万</w:t>
      </w:r>
      <w:r>
        <w:rPr>
          <w:rFonts w:ascii="仿宋_GB2312" w:hAnsi="仿宋_GB2312" w:eastAsia="仿宋_GB2312" w:cs="仿宋_GB2312"/>
          <w:sz w:val="32"/>
        </w:rPr>
        <w:t>元，</w:t>
      </w:r>
      <w:r>
        <w:rPr>
          <w:rFonts w:hint="eastAsia" w:ascii="仿宋_GB2312" w:hAnsi="仿宋_GB2312" w:eastAsia="仿宋_GB2312" w:cs="仿宋_GB2312"/>
          <w:sz w:val="32"/>
        </w:rPr>
        <w:t>事业单位经营收入0万元</w:t>
      </w:r>
      <w:r>
        <w:rPr>
          <w:rFonts w:ascii="仿宋_GB2312" w:hAnsi="仿宋_GB2312" w:eastAsia="仿宋_GB2312" w:cs="仿宋_GB2312"/>
          <w:sz w:val="32"/>
        </w:rPr>
        <w:t>，其他收入</w:t>
      </w:r>
      <w:r>
        <w:rPr>
          <w:rFonts w:hint="eastAsia" w:ascii="仿宋_GB2312" w:hAnsi="仿宋_GB2312" w:eastAsia="仿宋_GB2312" w:cs="仿宋_GB2312"/>
          <w:sz w:val="32"/>
        </w:rPr>
        <w:t>0万元。收入较去年增加70.16万元，主要是农林水支出增加70.16万元。</w:t>
      </w:r>
    </w:p>
    <w:p>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（二）支出预算：20</w:t>
      </w:r>
      <w:r>
        <w:rPr>
          <w:rFonts w:ascii="仿宋_GB2312" w:hAnsi="仿宋_GB2312" w:eastAsia="仿宋_GB2312" w:cs="仿宋_GB2312"/>
          <w:sz w:val="32"/>
        </w:rPr>
        <w:t>2</w:t>
      </w:r>
      <w:r>
        <w:rPr>
          <w:rFonts w:hint="eastAsia" w:ascii="仿宋_GB2312" w:hAnsi="仿宋_GB2312" w:eastAsia="仿宋_GB2312" w:cs="仿宋_GB2312"/>
          <w:sz w:val="32"/>
        </w:rPr>
        <w:t>1年年初预算数463.03万元，其中：社会保障和就业支出40.21万元，医疗卫生与计划生育支出18.74万元，农林水支出385万元，住房保障支出19.08万元。支出较去年增加70.16万元，主要是基本支出增加96.06万元，项目支出减少25.9万元。</w:t>
      </w:r>
    </w:p>
    <w:p>
      <w:pPr>
        <w:spacing w:line="600" w:lineRule="exact"/>
        <w:ind w:firstLine="480" w:firstLineChars="150"/>
        <w:rPr>
          <w:rFonts w:ascii="黑体" w:hAnsi="黑体" w:eastAsia="黑体" w:cs="仿宋_GB2312"/>
          <w:sz w:val="32"/>
        </w:rPr>
      </w:pPr>
      <w:r>
        <w:rPr>
          <w:rFonts w:hint="eastAsia" w:ascii="黑体" w:hAnsi="黑体" w:eastAsia="黑体" w:cs="仿宋_GB2312"/>
          <w:sz w:val="32"/>
        </w:rPr>
        <w:t>三、部门预算情况说明</w:t>
      </w:r>
    </w:p>
    <w:p>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2021年一般公共预算财政拨款收入463.03万元，一般公共预算财政拨款支出463.03万元，比2020年增加70.16万元。其中</w:t>
      </w:r>
      <w:r>
        <w:rPr>
          <w:rFonts w:ascii="仿宋_GB2312" w:hAnsi="仿宋_GB2312" w:eastAsia="仿宋_GB2312" w:cs="仿宋_GB2312"/>
          <w:sz w:val="32"/>
        </w:rPr>
        <w:t>：</w:t>
      </w:r>
      <w:r>
        <w:rPr>
          <w:rFonts w:hint="eastAsia" w:ascii="仿宋_GB2312" w:hAnsi="仿宋_GB2312" w:eastAsia="仿宋_GB2312" w:cs="仿宋_GB2312"/>
          <w:sz w:val="32"/>
        </w:rPr>
        <w:t>基本支出442.08万元，比2020年增加96.06万元，主要原因是行政运行、职工医疗、以及退休人员工资等支出增加，主要用于</w:t>
      </w:r>
      <w:r>
        <w:rPr>
          <w:rFonts w:ascii="仿宋_GB2312" w:hAnsi="仿宋_GB2312" w:eastAsia="仿宋_GB2312" w:cs="仿宋_GB2312"/>
          <w:sz w:val="32"/>
        </w:rPr>
        <w:t>保障</w:t>
      </w:r>
      <w:r>
        <w:rPr>
          <w:rFonts w:hint="eastAsia" w:ascii="仿宋_GB2312" w:hAnsi="仿宋_GB2312" w:eastAsia="仿宋_GB2312" w:cs="仿宋_GB2312"/>
          <w:sz w:val="32"/>
        </w:rPr>
        <w:t xml:space="preserve">在职人员工资福利及社会保险缴费，保障部门正常运转的各项商品服务支出；项目支出20.95万元，比2020年减少25.9万元，主要原因是减少了行业业务管理等支出。 </w:t>
      </w:r>
    </w:p>
    <w:p>
      <w:pPr>
        <w:ind w:firstLine="480" w:firstLineChars="150"/>
        <w:rPr>
          <w:rFonts w:ascii="仿宋_GB2312" w:hAnsi="仿宋_GB2312" w:eastAsia="仿宋_GB2312" w:cs="仿宋_GB2312"/>
          <w:sz w:val="32"/>
        </w:rPr>
      </w:pPr>
      <w:r>
        <w:rPr>
          <w:rFonts w:hint="eastAsia" w:ascii="仿宋_GB2312" w:hAnsi="仿宋_GB2312" w:eastAsia="仿宋_GB2312" w:cs="仿宋_GB2312"/>
          <w:sz w:val="32"/>
        </w:rPr>
        <w:t>2021年未</w:t>
      </w:r>
      <w:r>
        <w:rPr>
          <w:rFonts w:ascii="仿宋_GB2312" w:hAnsi="仿宋_GB2312" w:eastAsia="仿宋_GB2312" w:cs="仿宋_GB2312"/>
          <w:sz w:val="32"/>
        </w:rPr>
        <w:t>使用政府性基金预算拨款安排的支出</w:t>
      </w:r>
      <w:r>
        <w:rPr>
          <w:rFonts w:hint="eastAsia" w:ascii="仿宋_GB2312" w:hAnsi="仿宋_GB2312" w:eastAsia="仿宋_GB2312" w:cs="仿宋_GB2312"/>
          <w:sz w:val="32"/>
        </w:rPr>
        <w:t>。</w:t>
      </w:r>
      <w:r>
        <w:rPr>
          <w:rFonts w:ascii="仿宋_GB2312" w:hAnsi="仿宋_GB2312" w:eastAsia="仿宋_GB2312" w:cs="仿宋_GB2312"/>
          <w:sz w:val="32"/>
        </w:rPr>
        <w:t xml:space="preserve"> </w:t>
      </w:r>
    </w:p>
    <w:p>
      <w:pPr>
        <w:spacing w:line="600" w:lineRule="exact"/>
        <w:ind w:firstLine="480" w:firstLineChars="150"/>
        <w:rPr>
          <w:rFonts w:ascii="黑体" w:hAnsi="黑体" w:eastAsia="黑体" w:cs="仿宋_GB2312"/>
          <w:sz w:val="32"/>
        </w:rPr>
      </w:pPr>
      <w:r>
        <w:rPr>
          <w:rFonts w:hint="eastAsia" w:ascii="黑体" w:hAnsi="黑体" w:eastAsia="黑体" w:cs="仿宋_GB2312"/>
          <w:sz w:val="32"/>
        </w:rPr>
        <w:t>四、“三公”经费情况说明</w:t>
      </w:r>
    </w:p>
    <w:p>
      <w:pPr>
        <w:spacing w:line="600" w:lineRule="exact"/>
        <w:rPr>
          <w:rFonts w:ascii="仿宋_GB2312" w:hAnsi="仿宋_GB2312" w:eastAsia="仿宋_GB2312" w:cs="仿宋_GB2312"/>
          <w:sz w:val="32"/>
        </w:rPr>
      </w:pPr>
      <w:r>
        <w:rPr>
          <w:rFonts w:hint="eastAsia" w:ascii="方正仿宋_GBK" w:eastAsia="方正仿宋_GBK"/>
          <w:sz w:val="32"/>
        </w:rPr>
        <w:t xml:space="preserve">   </w:t>
      </w:r>
      <w:r>
        <w:rPr>
          <w:rFonts w:hint="eastAsia" w:ascii="仿宋_GB2312" w:hAnsi="仿宋_GB2312" w:eastAsia="仿宋_GB2312" w:cs="仿宋_GB2312"/>
          <w:sz w:val="32"/>
        </w:rPr>
        <w:t xml:space="preserve"> 2021年“三公”经费预算4.28万元，比2020年减少4.72万元。其中：因公出国（境）费用</w:t>
      </w:r>
      <w:r>
        <w:rPr>
          <w:rFonts w:ascii="仿宋_GB2312" w:hAnsi="仿宋_GB2312" w:eastAsia="仿宋_GB2312" w:cs="仿宋_GB2312"/>
          <w:sz w:val="32"/>
        </w:rPr>
        <w:t xml:space="preserve"> </w:t>
      </w:r>
      <w:r>
        <w:rPr>
          <w:rFonts w:hint="eastAsia" w:ascii="仿宋_GB2312" w:hAnsi="仿宋_GB2312" w:eastAsia="仿宋_GB2312" w:cs="仿宋_GB2312"/>
          <w:sz w:val="32"/>
        </w:rPr>
        <w:t>0万元，与2020年相比无变化，公务接待费0.78万元，比2020年减少1.22万元；主要原因是</w:t>
      </w:r>
      <w:r>
        <w:rPr>
          <w:rFonts w:hint="eastAsia" w:ascii="仿宋_GB2312" w:hAnsi="仿宋_GB2312" w:eastAsia="仿宋_GB2312" w:cs="仿宋_GB2312"/>
          <w:sz w:val="32"/>
          <w:lang w:eastAsia="zh-CN"/>
        </w:rPr>
        <w:t>厉行节约</w:t>
      </w:r>
      <w:r>
        <w:rPr>
          <w:rFonts w:hint="eastAsia" w:ascii="仿宋_GB2312" w:hAnsi="仿宋_GB2312" w:eastAsia="仿宋_GB2312" w:cs="仿宋_GB2312"/>
          <w:sz w:val="32"/>
        </w:rPr>
        <w:t>。公务用车运行维护费3.5万元，比2020年减少3.5万元；主要原因是严格执行公务用车管理及</w:t>
      </w:r>
      <w:r>
        <w:rPr>
          <w:rFonts w:hint="eastAsia" w:ascii="仿宋_GB2312" w:hAnsi="仿宋_GB2312" w:eastAsia="仿宋_GB2312" w:cs="仿宋_GB2312"/>
          <w:sz w:val="32"/>
          <w:lang w:eastAsia="zh-CN"/>
        </w:rPr>
        <w:t>厉行节约</w:t>
      </w:r>
      <w:r>
        <w:rPr>
          <w:rFonts w:hint="eastAsia" w:ascii="仿宋_GB2312" w:hAnsi="仿宋_GB2312" w:eastAsia="仿宋_GB2312" w:cs="仿宋_GB2312"/>
          <w:sz w:val="32"/>
        </w:rPr>
        <w:t>。</w:t>
      </w:r>
      <w:r>
        <w:rPr>
          <w:rFonts w:ascii="仿宋_GB2312" w:hAnsi="仿宋_GB2312" w:eastAsia="仿宋_GB2312" w:cs="仿宋_GB2312"/>
          <w:sz w:val="32"/>
        </w:rPr>
        <w:t>公务</w:t>
      </w:r>
      <w:r>
        <w:rPr>
          <w:rFonts w:hint="eastAsia" w:ascii="仿宋_GB2312" w:hAnsi="仿宋_GB2312" w:eastAsia="仿宋_GB2312" w:cs="仿宋_GB2312"/>
          <w:sz w:val="32"/>
        </w:rPr>
        <w:t>用车</w:t>
      </w:r>
      <w:r>
        <w:rPr>
          <w:rFonts w:ascii="仿宋_GB2312" w:hAnsi="仿宋_GB2312" w:eastAsia="仿宋_GB2312" w:cs="仿宋_GB2312"/>
          <w:sz w:val="32"/>
        </w:rPr>
        <w:t>购置费</w:t>
      </w:r>
      <w:r>
        <w:rPr>
          <w:rFonts w:hint="eastAsia" w:ascii="仿宋_GB2312" w:hAnsi="仿宋_GB2312" w:eastAsia="仿宋_GB2312" w:cs="仿宋_GB2312"/>
          <w:sz w:val="32"/>
        </w:rPr>
        <w:t xml:space="preserve"> 0万元，与2020年相比无变化。</w:t>
      </w:r>
    </w:p>
    <w:p>
      <w:pPr>
        <w:pStyle w:val="7"/>
        <w:numPr>
          <w:ilvl w:val="0"/>
          <w:numId w:val="2"/>
        </w:numPr>
        <w:spacing w:line="600" w:lineRule="exact"/>
        <w:ind w:firstLineChars="0"/>
        <w:rPr>
          <w:rFonts w:ascii="黑体" w:hAnsi="黑体" w:eastAsia="黑体" w:cs="仿宋_GB2312"/>
          <w:sz w:val="32"/>
        </w:rPr>
      </w:pPr>
      <w:r>
        <w:rPr>
          <w:rFonts w:hint="eastAsia" w:ascii="黑体" w:hAnsi="黑体" w:eastAsia="黑体" w:cs="仿宋_GB2312"/>
          <w:sz w:val="32"/>
        </w:rPr>
        <w:t>其他重要</w:t>
      </w:r>
      <w:r>
        <w:rPr>
          <w:rFonts w:ascii="黑体" w:hAnsi="黑体" w:eastAsia="黑体" w:cs="仿宋_GB2312"/>
          <w:sz w:val="32"/>
        </w:rPr>
        <w:t>事项的情况说明</w:t>
      </w:r>
    </w:p>
    <w:p>
      <w:pPr>
        <w:ind w:firstLine="640" w:firstLineChars="200"/>
        <w:rPr>
          <w:rFonts w:ascii="仿宋_GB2312" w:hAnsi="仿宋_GB2312" w:eastAsia="仿宋_GB2312" w:cs="仿宋_GB2312"/>
          <w:sz w:val="32"/>
        </w:rPr>
      </w:pPr>
      <w:r>
        <w:rPr>
          <w:rFonts w:ascii="仿宋_GB2312" w:hAnsi="仿宋_GB2312" w:eastAsia="仿宋_GB2312" w:cs="仿宋_GB2312"/>
          <w:sz w:val="32"/>
        </w:rPr>
        <w:t>1</w:t>
      </w:r>
      <w:r>
        <w:rPr>
          <w:rFonts w:hint="eastAsia" w:ascii="仿宋_GB2312" w:hAnsi="仿宋_GB2312" w:eastAsia="仿宋_GB2312" w:cs="仿宋_GB2312"/>
          <w:sz w:val="32"/>
        </w:rPr>
        <w:t>、部门运行经费（即</w:t>
      </w:r>
      <w:r>
        <w:rPr>
          <w:rFonts w:ascii="仿宋_GB2312" w:hAnsi="仿宋_GB2312" w:eastAsia="仿宋_GB2312" w:cs="仿宋_GB2312"/>
          <w:sz w:val="32"/>
        </w:rPr>
        <w:t>公用经费）</w:t>
      </w:r>
      <w:r>
        <w:rPr>
          <w:rFonts w:hint="eastAsia" w:ascii="仿宋_GB2312" w:hAnsi="仿宋_GB2312" w:eastAsia="仿宋_GB2312" w:cs="仿宋_GB2312"/>
          <w:sz w:val="32"/>
        </w:rPr>
        <w:t>。2021年一般公共</w:t>
      </w:r>
      <w:r>
        <w:rPr>
          <w:rFonts w:ascii="仿宋_GB2312" w:hAnsi="仿宋_GB2312" w:eastAsia="仿宋_GB2312" w:cs="仿宋_GB2312"/>
          <w:sz w:val="32"/>
        </w:rPr>
        <w:t>预算财政拨款</w:t>
      </w:r>
      <w:r>
        <w:rPr>
          <w:rFonts w:hint="eastAsia" w:ascii="仿宋_GB2312" w:hAnsi="仿宋_GB2312" w:eastAsia="仿宋_GB2312" w:cs="仿宋_GB2312"/>
          <w:sz w:val="32"/>
        </w:rPr>
        <w:t>运行经费90.29万元，比2020年增加29.35万元。主要原因为用于生态保护发展方面支出增加。主要用于：办公费及</w:t>
      </w:r>
      <w:r>
        <w:rPr>
          <w:rFonts w:ascii="仿宋_GB2312" w:hAnsi="仿宋_GB2312" w:eastAsia="仿宋_GB2312" w:cs="仿宋_GB2312"/>
          <w:sz w:val="32"/>
        </w:rPr>
        <w:t>印刷费</w:t>
      </w:r>
      <w:r>
        <w:rPr>
          <w:rFonts w:hint="eastAsia" w:ascii="仿宋_GB2312" w:hAnsi="仿宋_GB2312" w:eastAsia="仿宋_GB2312" w:cs="仿宋_GB2312"/>
          <w:sz w:val="32"/>
        </w:rPr>
        <w:t>、邮电费、差旅费、其他商品和服务支出等运行经费。</w:t>
      </w:r>
    </w:p>
    <w:p>
      <w:pPr>
        <w:ind w:firstLine="640" w:firstLineChars="200"/>
        <w:rPr>
          <w:rFonts w:ascii="仿宋_GB2312" w:hAnsi="仿宋_GB2312" w:eastAsia="仿宋_GB2312" w:cs="仿宋_GB2312"/>
          <w:sz w:val="32"/>
        </w:rPr>
      </w:pPr>
      <w:r>
        <w:rPr>
          <w:rFonts w:ascii="仿宋_GB2312" w:hAnsi="仿宋_GB2312" w:eastAsia="仿宋_GB2312" w:cs="仿宋_GB2312"/>
          <w:sz w:val="32"/>
        </w:rPr>
        <w:t>2</w:t>
      </w:r>
      <w:r>
        <w:rPr>
          <w:rFonts w:hint="eastAsia" w:ascii="仿宋_GB2312" w:hAnsi="仿宋_GB2312" w:eastAsia="仿宋_GB2312" w:cs="仿宋_GB2312"/>
          <w:sz w:val="32"/>
        </w:rPr>
        <w:t>、政府采购情况。无。</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3、绩效目标设置情况。</w:t>
      </w:r>
      <w:r>
        <w:rPr>
          <w:rFonts w:hint="eastAsia" w:ascii="仿宋_GB2312" w:hAnsi="仿宋_GB2312" w:eastAsia="仿宋_GB2312" w:cs="仿宋_GB2312"/>
          <w:color w:val="000000"/>
          <w:sz w:val="32"/>
        </w:rPr>
        <w:t>无</w:t>
      </w:r>
      <w:r>
        <w:rPr>
          <w:rFonts w:hint="eastAsia" w:ascii="仿宋_GB2312" w:hAnsi="仿宋_GB2312" w:eastAsia="仿宋_GB2312" w:cs="仿宋_GB2312"/>
          <w:sz w:val="32"/>
        </w:rPr>
        <w:t>。</w:t>
      </w:r>
    </w:p>
    <w:p>
      <w:pPr>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sz w:val="32"/>
        </w:rPr>
        <w:t>4、国有资产占用使用情况。截止2020年12月,本单位</w:t>
      </w:r>
      <w:r>
        <w:rPr>
          <w:rFonts w:hint="eastAsia" w:ascii="仿宋_GB2312" w:hAnsi="仿宋_GB2312" w:eastAsia="仿宋_GB2312" w:cs="仿宋_GB2312"/>
          <w:color w:val="000000"/>
          <w:sz w:val="32"/>
        </w:rPr>
        <w:t>机要通信用车1辆。20</w:t>
      </w:r>
      <w:r>
        <w:rPr>
          <w:rFonts w:ascii="仿宋_GB2312" w:hAnsi="仿宋_GB2312" w:eastAsia="仿宋_GB2312" w:cs="仿宋_GB2312"/>
          <w:color w:val="000000"/>
          <w:sz w:val="32"/>
        </w:rPr>
        <w:t>2</w:t>
      </w:r>
      <w:r>
        <w:rPr>
          <w:rFonts w:hint="eastAsia" w:ascii="仿宋_GB2312" w:hAnsi="仿宋_GB2312" w:eastAsia="仿宋_GB2312" w:cs="仿宋_GB2312"/>
          <w:color w:val="000000"/>
          <w:sz w:val="32"/>
        </w:rPr>
        <w:t>1年一般公共预算安排购置车辆0辆，其中一般公务用车0辆、执勤执法用车0辆。</w:t>
      </w:r>
    </w:p>
    <w:p>
      <w:pPr>
        <w:spacing w:line="520" w:lineRule="exact"/>
        <w:ind w:firstLine="320" w:firstLineChars="100"/>
        <w:rPr>
          <w:rFonts w:ascii="黑体" w:hAnsi="黑体" w:eastAsia="黑体" w:cs="仿宋_GB2312"/>
          <w:sz w:val="32"/>
        </w:rPr>
      </w:pPr>
      <w:r>
        <w:rPr>
          <w:rFonts w:hint="eastAsia" w:ascii="黑体" w:hAnsi="黑体" w:eastAsia="黑体" w:cs="仿宋_GB2312"/>
          <w:sz w:val="32"/>
        </w:rPr>
        <w:t>六、专业性名词</w:t>
      </w:r>
      <w:r>
        <w:rPr>
          <w:rFonts w:ascii="黑体" w:hAnsi="黑体" w:eastAsia="黑体" w:cs="仿宋_GB2312"/>
          <w:sz w:val="32"/>
        </w:rPr>
        <w:t>解释</w:t>
      </w:r>
    </w:p>
    <w:p>
      <w:pPr>
        <w:pStyle w:val="7"/>
        <w:tabs>
          <w:tab w:val="center" w:pos="4153"/>
          <w:tab w:val="left" w:pos="7275"/>
        </w:tabs>
        <w:spacing w:line="600" w:lineRule="exact"/>
        <w:ind w:firstLine="640"/>
        <w:jc w:val="left"/>
        <w:rPr>
          <w:rFonts w:ascii="仿宋_GB2312" w:hAnsi="仿宋_GB2312" w:eastAsia="仿宋_GB2312" w:cs="仿宋_GB2312"/>
          <w:sz w:val="32"/>
        </w:rPr>
      </w:pPr>
      <w:r>
        <w:rPr>
          <w:rFonts w:hint="eastAsia" w:ascii="仿宋_GB2312" w:hAnsi="仿宋_GB2312" w:eastAsia="仿宋_GB2312" w:cs="仿宋_GB2312"/>
          <w:sz w:val="32"/>
        </w:rPr>
        <w:t>以下为常见专业名词解释：</w:t>
      </w:r>
    </w:p>
    <w:p>
      <w:pPr>
        <w:pStyle w:val="7"/>
        <w:tabs>
          <w:tab w:val="center" w:pos="4153"/>
          <w:tab w:val="left" w:pos="7275"/>
        </w:tabs>
        <w:spacing w:line="600" w:lineRule="exact"/>
        <w:ind w:firstLine="640"/>
        <w:jc w:val="left"/>
        <w:rPr>
          <w:rFonts w:ascii="仿宋_GB2312" w:hAnsi="仿宋_GB2312" w:eastAsia="仿宋_GB2312" w:cs="仿宋_GB2312"/>
          <w:sz w:val="32"/>
        </w:rPr>
      </w:pPr>
      <w:r>
        <w:rPr>
          <w:rFonts w:hint="eastAsia" w:ascii="仿宋_GB2312" w:hAnsi="仿宋_GB2312" w:eastAsia="仿宋_GB2312" w:cs="仿宋_GB2312"/>
          <w:sz w:val="32"/>
        </w:rPr>
        <w:t>（一）财政拨款收入：指本年度从本级财政部门取得的财政拨款，包括一般公共预算财政拨款和政府性基金预算财政拨款。</w:t>
      </w:r>
    </w:p>
    <w:p>
      <w:pPr>
        <w:pStyle w:val="7"/>
        <w:tabs>
          <w:tab w:val="center" w:pos="4153"/>
          <w:tab w:val="left" w:pos="7275"/>
        </w:tabs>
        <w:spacing w:line="600" w:lineRule="exact"/>
        <w:ind w:firstLine="640"/>
        <w:jc w:val="left"/>
        <w:rPr>
          <w:rFonts w:ascii="仿宋_GB2312" w:hAnsi="仿宋_GB2312" w:eastAsia="仿宋_GB2312" w:cs="仿宋_GB2312"/>
          <w:sz w:val="32"/>
        </w:rPr>
      </w:pPr>
      <w:r>
        <w:rPr>
          <w:rFonts w:hint="eastAsia" w:ascii="仿宋_GB2312" w:hAnsi="仿宋_GB2312" w:eastAsia="仿宋_GB2312" w:cs="仿宋_GB2312"/>
          <w:sz w:val="32"/>
        </w:rPr>
        <w:t>（二）其他收入：指单位取得的除“财政拨款收入”、“事业收入”、“经营收入”等以外的收入。</w:t>
      </w:r>
    </w:p>
    <w:p>
      <w:pPr>
        <w:pStyle w:val="7"/>
        <w:tabs>
          <w:tab w:val="center" w:pos="4153"/>
          <w:tab w:val="left" w:pos="7275"/>
        </w:tabs>
        <w:spacing w:line="600" w:lineRule="exact"/>
        <w:ind w:firstLine="640"/>
        <w:jc w:val="left"/>
        <w:rPr>
          <w:rFonts w:ascii="仿宋_GB2312" w:hAnsi="仿宋_GB2312" w:eastAsia="仿宋_GB2312" w:cs="仿宋_GB2312"/>
          <w:sz w:val="32"/>
        </w:rPr>
      </w:pPr>
      <w:r>
        <w:rPr>
          <w:rFonts w:hint="eastAsia" w:ascii="仿宋_GB2312" w:hAnsi="仿宋_GB2312" w:eastAsia="仿宋_GB2312" w:cs="仿宋_GB2312"/>
          <w:sz w:val="32"/>
        </w:rPr>
        <w:t>（三</w:t>
      </w:r>
      <w:r>
        <w:rPr>
          <w:rFonts w:ascii="仿宋_GB2312" w:hAnsi="仿宋_GB2312" w:eastAsia="仿宋_GB2312" w:cs="仿宋_GB2312"/>
          <w:sz w:val="32"/>
        </w:rPr>
        <w:t>）基</w:t>
      </w:r>
      <w:r>
        <w:rPr>
          <w:rFonts w:hint="eastAsia" w:ascii="仿宋_GB2312" w:hAnsi="仿宋_GB2312" w:eastAsia="仿宋_GB2312" w:cs="仿宋_GB2312"/>
          <w:sz w:val="32"/>
        </w:rPr>
        <w:t>本支出：指为保障机构正常运转、完成日常工作任务而发生的人员经费和公用经费。</w:t>
      </w:r>
    </w:p>
    <w:p>
      <w:pPr>
        <w:pStyle w:val="7"/>
        <w:tabs>
          <w:tab w:val="center" w:pos="4153"/>
          <w:tab w:val="left" w:pos="7275"/>
        </w:tabs>
        <w:spacing w:line="600" w:lineRule="exact"/>
        <w:ind w:firstLine="640"/>
        <w:jc w:val="left"/>
        <w:rPr>
          <w:rFonts w:ascii="仿宋_GB2312" w:hAnsi="仿宋_GB2312" w:eastAsia="仿宋_GB2312" w:cs="仿宋_GB2312"/>
          <w:sz w:val="32"/>
        </w:rPr>
      </w:pPr>
      <w:r>
        <w:rPr>
          <w:rFonts w:hint="eastAsia" w:ascii="仿宋_GB2312" w:hAnsi="仿宋_GB2312" w:eastAsia="仿宋_GB2312" w:cs="仿宋_GB2312"/>
          <w:sz w:val="32"/>
        </w:rPr>
        <w:t>（四）项目支出：指在基本支出之外为完成特定行政任务和事业发展目标所发生的支出。</w:t>
      </w:r>
    </w:p>
    <w:p>
      <w:pPr>
        <w:pStyle w:val="7"/>
        <w:tabs>
          <w:tab w:val="center" w:pos="4153"/>
          <w:tab w:val="left" w:pos="7275"/>
        </w:tabs>
        <w:spacing w:line="600" w:lineRule="exact"/>
        <w:ind w:firstLine="640"/>
        <w:jc w:val="left"/>
        <w:rPr>
          <w:rFonts w:ascii="仿宋_GB2312" w:hAnsi="仿宋_GB2312" w:eastAsia="仿宋_GB2312" w:cs="仿宋_GB2312"/>
          <w:sz w:val="32"/>
        </w:rPr>
      </w:pPr>
      <w:r>
        <w:rPr>
          <w:rFonts w:hint="eastAsia" w:ascii="仿宋_GB2312" w:hAnsi="仿宋_GB2312" w:eastAsia="仿宋_GB2312" w:cs="仿宋_GB2312"/>
          <w:sz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
    <w:p>
      <w:pPr>
        <w:rPr>
          <w:rFonts w:ascii="方正仿宋_GBK" w:eastAsia="方正仿宋_GBK"/>
          <w:b/>
          <w:sz w:val="32"/>
        </w:rPr>
      </w:pPr>
      <w:r>
        <w:rPr>
          <w:rFonts w:hint="eastAsia"/>
        </w:rPr>
        <w:t xml:space="preserve"> </w:t>
      </w:r>
      <w:r>
        <w:rPr>
          <w:rFonts w:hint="eastAsia" w:ascii="仿宋_GB2312" w:hAnsi="仿宋_GB2312" w:eastAsia="仿宋_GB2312" w:cs="仿宋_GB2312"/>
          <w:b/>
          <w:sz w:val="32"/>
        </w:rPr>
        <w:t>部门预算公开联系人</w:t>
      </w:r>
      <w:r>
        <w:rPr>
          <w:rFonts w:ascii="仿宋_GB2312" w:hAnsi="仿宋_GB2312" w:eastAsia="仿宋_GB2312" w:cs="仿宋_GB2312"/>
          <w:b/>
          <w:sz w:val="32"/>
        </w:rPr>
        <w:t>：</w:t>
      </w:r>
      <w:r>
        <w:rPr>
          <w:rFonts w:hint="eastAsia" w:ascii="仿宋_GB2312" w:hAnsi="仿宋_GB2312" w:eastAsia="仿宋_GB2312" w:cs="仿宋_GB2312"/>
          <w:b/>
          <w:sz w:val="32"/>
        </w:rPr>
        <w:t xml:space="preserve"> 杨梅    联系方式</w:t>
      </w:r>
      <w:r>
        <w:rPr>
          <w:rFonts w:ascii="仿宋_GB2312" w:hAnsi="仿宋_GB2312" w:eastAsia="仿宋_GB2312" w:cs="仿宋_GB2312"/>
          <w:b/>
          <w:sz w:val="32"/>
        </w:rPr>
        <w:t>：</w:t>
      </w:r>
      <w:r>
        <w:rPr>
          <w:rFonts w:hint="eastAsia" w:ascii="仿宋_GB2312" w:hAnsi="仿宋_GB2312" w:eastAsia="仿宋_GB2312" w:cs="仿宋_GB2312"/>
          <w:b/>
          <w:sz w:val="32"/>
        </w:rPr>
        <w:t xml:space="preserve">  </w:t>
      </w:r>
      <w:r>
        <w:rPr>
          <w:rFonts w:hint="eastAsia" w:ascii="方正仿宋_GBK" w:eastAsia="方正仿宋_GBK"/>
          <w:b/>
          <w:sz w:val="32"/>
        </w:rPr>
        <w:t>（电话：023-48671689）</w:t>
      </w:r>
    </w:p>
    <w:p>
      <w:pPr>
        <w:rPr>
          <w:rFonts w:ascii="方正仿宋_GBK" w:eastAsia="方正仿宋_GBK"/>
          <w:b/>
          <w:sz w:val="32"/>
        </w:rPr>
      </w:pPr>
    </w:p>
    <w:p>
      <w:pPr>
        <w:rPr>
          <w:rFonts w:ascii="方正仿宋_GBK" w:eastAsia="方正仿宋_GBK"/>
          <w:b/>
          <w:sz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chineseCounting"/>
      <w:suff w:val="nothing"/>
      <w:lvlText w:val="%1、"/>
      <w:lvlJc w:val="left"/>
    </w:lvl>
  </w:abstractNum>
  <w:abstractNum w:abstractNumId="1">
    <w:nsid w:val="2FD23920"/>
    <w:multiLevelType w:val="multilevel"/>
    <w:tmpl w:val="2FD23920"/>
    <w:lvl w:ilvl="0" w:tentative="0">
      <w:start w:val="5"/>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YmFhMjJjYThhMGE0MmYzZDc3ZTQxZTZmODEyNjUifQ=="/>
  </w:docVars>
  <w:rsids>
    <w:rsidRoot w:val="00653C5D"/>
    <w:rsid w:val="00003F57"/>
    <w:rsid w:val="00013A74"/>
    <w:rsid w:val="00020635"/>
    <w:rsid w:val="00020EAD"/>
    <w:rsid w:val="0002212B"/>
    <w:rsid w:val="00031EB2"/>
    <w:rsid w:val="00040D8D"/>
    <w:rsid w:val="00060A14"/>
    <w:rsid w:val="0006560C"/>
    <w:rsid w:val="00074791"/>
    <w:rsid w:val="00074B8C"/>
    <w:rsid w:val="00075CA8"/>
    <w:rsid w:val="00076AD6"/>
    <w:rsid w:val="00077F26"/>
    <w:rsid w:val="00081E2B"/>
    <w:rsid w:val="00090269"/>
    <w:rsid w:val="00091D45"/>
    <w:rsid w:val="00091E13"/>
    <w:rsid w:val="0009525A"/>
    <w:rsid w:val="000B3C88"/>
    <w:rsid w:val="000C3767"/>
    <w:rsid w:val="000D3A04"/>
    <w:rsid w:val="000D5F21"/>
    <w:rsid w:val="000F35F8"/>
    <w:rsid w:val="0010427B"/>
    <w:rsid w:val="00112975"/>
    <w:rsid w:val="001415EF"/>
    <w:rsid w:val="0014361D"/>
    <w:rsid w:val="001465C7"/>
    <w:rsid w:val="00147022"/>
    <w:rsid w:val="00154ED9"/>
    <w:rsid w:val="00160FDC"/>
    <w:rsid w:val="001820DC"/>
    <w:rsid w:val="001920A2"/>
    <w:rsid w:val="001A2422"/>
    <w:rsid w:val="001B0740"/>
    <w:rsid w:val="001B12FC"/>
    <w:rsid w:val="001C0A6D"/>
    <w:rsid w:val="001D785D"/>
    <w:rsid w:val="001D7973"/>
    <w:rsid w:val="002005B1"/>
    <w:rsid w:val="00213447"/>
    <w:rsid w:val="00217AE7"/>
    <w:rsid w:val="002209D5"/>
    <w:rsid w:val="002260BC"/>
    <w:rsid w:val="00227A34"/>
    <w:rsid w:val="00232102"/>
    <w:rsid w:val="00235FA4"/>
    <w:rsid w:val="0023675F"/>
    <w:rsid w:val="00240607"/>
    <w:rsid w:val="002422AB"/>
    <w:rsid w:val="00250205"/>
    <w:rsid w:val="0025198B"/>
    <w:rsid w:val="002545AD"/>
    <w:rsid w:val="00262B1E"/>
    <w:rsid w:val="002765C6"/>
    <w:rsid w:val="00277BCB"/>
    <w:rsid w:val="00290A20"/>
    <w:rsid w:val="00290F61"/>
    <w:rsid w:val="00291B28"/>
    <w:rsid w:val="002B357A"/>
    <w:rsid w:val="002C4481"/>
    <w:rsid w:val="002D11E5"/>
    <w:rsid w:val="002E52CF"/>
    <w:rsid w:val="002F7A0B"/>
    <w:rsid w:val="00310E77"/>
    <w:rsid w:val="00314FC4"/>
    <w:rsid w:val="00321C09"/>
    <w:rsid w:val="003252CB"/>
    <w:rsid w:val="00327C8B"/>
    <w:rsid w:val="0034225E"/>
    <w:rsid w:val="00361982"/>
    <w:rsid w:val="00362BF6"/>
    <w:rsid w:val="003637A2"/>
    <w:rsid w:val="00363C02"/>
    <w:rsid w:val="00364CE3"/>
    <w:rsid w:val="0037096A"/>
    <w:rsid w:val="003720DA"/>
    <w:rsid w:val="00386597"/>
    <w:rsid w:val="003948F8"/>
    <w:rsid w:val="00397407"/>
    <w:rsid w:val="003A035F"/>
    <w:rsid w:val="003A0A56"/>
    <w:rsid w:val="003A61B1"/>
    <w:rsid w:val="003A709D"/>
    <w:rsid w:val="003B2A47"/>
    <w:rsid w:val="003B4920"/>
    <w:rsid w:val="003C09CE"/>
    <w:rsid w:val="003D4259"/>
    <w:rsid w:val="003E5583"/>
    <w:rsid w:val="00411274"/>
    <w:rsid w:val="0041162B"/>
    <w:rsid w:val="00413D99"/>
    <w:rsid w:val="00431DAD"/>
    <w:rsid w:val="00431FB0"/>
    <w:rsid w:val="00452608"/>
    <w:rsid w:val="00467F39"/>
    <w:rsid w:val="004715B6"/>
    <w:rsid w:val="00472AD1"/>
    <w:rsid w:val="004869C1"/>
    <w:rsid w:val="00487D66"/>
    <w:rsid w:val="00495FE6"/>
    <w:rsid w:val="004A161F"/>
    <w:rsid w:val="004A35A2"/>
    <w:rsid w:val="004A4EB3"/>
    <w:rsid w:val="004B3B80"/>
    <w:rsid w:val="004B7CE5"/>
    <w:rsid w:val="004C4FE2"/>
    <w:rsid w:val="004E146E"/>
    <w:rsid w:val="004E1A3A"/>
    <w:rsid w:val="004F3EFF"/>
    <w:rsid w:val="005115F1"/>
    <w:rsid w:val="00515C8A"/>
    <w:rsid w:val="005472AE"/>
    <w:rsid w:val="00552346"/>
    <w:rsid w:val="005603F9"/>
    <w:rsid w:val="0056110C"/>
    <w:rsid w:val="00564D02"/>
    <w:rsid w:val="005747C5"/>
    <w:rsid w:val="00574FE4"/>
    <w:rsid w:val="00580AE1"/>
    <w:rsid w:val="00583F4D"/>
    <w:rsid w:val="00593A51"/>
    <w:rsid w:val="005A2D35"/>
    <w:rsid w:val="005A644C"/>
    <w:rsid w:val="005B2C9C"/>
    <w:rsid w:val="005B7EED"/>
    <w:rsid w:val="005D0C65"/>
    <w:rsid w:val="005D24C4"/>
    <w:rsid w:val="005D26A7"/>
    <w:rsid w:val="005E0D5B"/>
    <w:rsid w:val="005E1011"/>
    <w:rsid w:val="005E21F3"/>
    <w:rsid w:val="005E7BFF"/>
    <w:rsid w:val="005E7FCF"/>
    <w:rsid w:val="005F1357"/>
    <w:rsid w:val="006071F8"/>
    <w:rsid w:val="006266E3"/>
    <w:rsid w:val="00633466"/>
    <w:rsid w:val="00640211"/>
    <w:rsid w:val="00641173"/>
    <w:rsid w:val="006425B2"/>
    <w:rsid w:val="00653C5D"/>
    <w:rsid w:val="00656A4A"/>
    <w:rsid w:val="00660E98"/>
    <w:rsid w:val="006614DC"/>
    <w:rsid w:val="00666A53"/>
    <w:rsid w:val="0067716E"/>
    <w:rsid w:val="006929CD"/>
    <w:rsid w:val="006A5B50"/>
    <w:rsid w:val="006B1580"/>
    <w:rsid w:val="006B1C79"/>
    <w:rsid w:val="006C5F31"/>
    <w:rsid w:val="006D4B08"/>
    <w:rsid w:val="006D6C42"/>
    <w:rsid w:val="006E3D8B"/>
    <w:rsid w:val="006F204D"/>
    <w:rsid w:val="006F38AB"/>
    <w:rsid w:val="00700A62"/>
    <w:rsid w:val="00704046"/>
    <w:rsid w:val="00713A9E"/>
    <w:rsid w:val="00720DAC"/>
    <w:rsid w:val="0072457B"/>
    <w:rsid w:val="007349A8"/>
    <w:rsid w:val="00734C6B"/>
    <w:rsid w:val="007430DA"/>
    <w:rsid w:val="0074408C"/>
    <w:rsid w:val="00744DE1"/>
    <w:rsid w:val="00752A4F"/>
    <w:rsid w:val="00755AD4"/>
    <w:rsid w:val="007623F3"/>
    <w:rsid w:val="00772566"/>
    <w:rsid w:val="007752F6"/>
    <w:rsid w:val="00776385"/>
    <w:rsid w:val="007A1F2F"/>
    <w:rsid w:val="007A32D1"/>
    <w:rsid w:val="007A4038"/>
    <w:rsid w:val="007C2D20"/>
    <w:rsid w:val="007C6436"/>
    <w:rsid w:val="007D6B43"/>
    <w:rsid w:val="007E07DC"/>
    <w:rsid w:val="007E1899"/>
    <w:rsid w:val="007F3B9D"/>
    <w:rsid w:val="0080002D"/>
    <w:rsid w:val="00800115"/>
    <w:rsid w:val="00812153"/>
    <w:rsid w:val="0081624D"/>
    <w:rsid w:val="00817BAB"/>
    <w:rsid w:val="00850E2D"/>
    <w:rsid w:val="0086267B"/>
    <w:rsid w:val="008740E4"/>
    <w:rsid w:val="00886927"/>
    <w:rsid w:val="008D02AD"/>
    <w:rsid w:val="008D6272"/>
    <w:rsid w:val="008E166C"/>
    <w:rsid w:val="008E5C2D"/>
    <w:rsid w:val="00900261"/>
    <w:rsid w:val="00903204"/>
    <w:rsid w:val="00907A53"/>
    <w:rsid w:val="00915BEF"/>
    <w:rsid w:val="009327EB"/>
    <w:rsid w:val="00936F32"/>
    <w:rsid w:val="00940365"/>
    <w:rsid w:val="009465AA"/>
    <w:rsid w:val="00964656"/>
    <w:rsid w:val="0096763E"/>
    <w:rsid w:val="00967702"/>
    <w:rsid w:val="00970AFE"/>
    <w:rsid w:val="009833D5"/>
    <w:rsid w:val="009839D9"/>
    <w:rsid w:val="0098641C"/>
    <w:rsid w:val="009871EA"/>
    <w:rsid w:val="009979A9"/>
    <w:rsid w:val="009A7CFD"/>
    <w:rsid w:val="009B687F"/>
    <w:rsid w:val="009C38FA"/>
    <w:rsid w:val="009C5799"/>
    <w:rsid w:val="009D12C1"/>
    <w:rsid w:val="009E0CF6"/>
    <w:rsid w:val="009E11F6"/>
    <w:rsid w:val="009E2B7F"/>
    <w:rsid w:val="009F2BA4"/>
    <w:rsid w:val="009F6392"/>
    <w:rsid w:val="00A00124"/>
    <w:rsid w:val="00A03005"/>
    <w:rsid w:val="00A348B3"/>
    <w:rsid w:val="00A36312"/>
    <w:rsid w:val="00A46969"/>
    <w:rsid w:val="00A473EA"/>
    <w:rsid w:val="00A52BFD"/>
    <w:rsid w:val="00A56691"/>
    <w:rsid w:val="00A64D71"/>
    <w:rsid w:val="00A73119"/>
    <w:rsid w:val="00A824AE"/>
    <w:rsid w:val="00A84CB3"/>
    <w:rsid w:val="00A9250B"/>
    <w:rsid w:val="00A93424"/>
    <w:rsid w:val="00AA0E38"/>
    <w:rsid w:val="00AC04F0"/>
    <w:rsid w:val="00AC2704"/>
    <w:rsid w:val="00AD12BE"/>
    <w:rsid w:val="00AE0C3F"/>
    <w:rsid w:val="00AF32AA"/>
    <w:rsid w:val="00B017BD"/>
    <w:rsid w:val="00B11132"/>
    <w:rsid w:val="00B322E7"/>
    <w:rsid w:val="00B3602E"/>
    <w:rsid w:val="00B365D5"/>
    <w:rsid w:val="00B85441"/>
    <w:rsid w:val="00B97630"/>
    <w:rsid w:val="00BA0CA9"/>
    <w:rsid w:val="00BA14B8"/>
    <w:rsid w:val="00BA7AD6"/>
    <w:rsid w:val="00BA7F6A"/>
    <w:rsid w:val="00BC0AD1"/>
    <w:rsid w:val="00BC5279"/>
    <w:rsid w:val="00BE0460"/>
    <w:rsid w:val="00BE526D"/>
    <w:rsid w:val="00BF40C9"/>
    <w:rsid w:val="00C0207A"/>
    <w:rsid w:val="00C062B1"/>
    <w:rsid w:val="00C064C4"/>
    <w:rsid w:val="00C3052B"/>
    <w:rsid w:val="00C32150"/>
    <w:rsid w:val="00C32C56"/>
    <w:rsid w:val="00C41265"/>
    <w:rsid w:val="00C44864"/>
    <w:rsid w:val="00C47F0C"/>
    <w:rsid w:val="00C55CC5"/>
    <w:rsid w:val="00C5646C"/>
    <w:rsid w:val="00C625EE"/>
    <w:rsid w:val="00C62BA3"/>
    <w:rsid w:val="00C704CC"/>
    <w:rsid w:val="00C71149"/>
    <w:rsid w:val="00C77465"/>
    <w:rsid w:val="00C775CC"/>
    <w:rsid w:val="00C77DCF"/>
    <w:rsid w:val="00C77F42"/>
    <w:rsid w:val="00C9054C"/>
    <w:rsid w:val="00C96DDC"/>
    <w:rsid w:val="00CB14BB"/>
    <w:rsid w:val="00CB42CB"/>
    <w:rsid w:val="00CC4832"/>
    <w:rsid w:val="00CD22EA"/>
    <w:rsid w:val="00CD6A8A"/>
    <w:rsid w:val="00CE34E4"/>
    <w:rsid w:val="00CE41EC"/>
    <w:rsid w:val="00CF1F20"/>
    <w:rsid w:val="00D21F62"/>
    <w:rsid w:val="00D22EC5"/>
    <w:rsid w:val="00D2623D"/>
    <w:rsid w:val="00D279C1"/>
    <w:rsid w:val="00D32ADC"/>
    <w:rsid w:val="00D47358"/>
    <w:rsid w:val="00D54DCE"/>
    <w:rsid w:val="00D56D81"/>
    <w:rsid w:val="00D8187B"/>
    <w:rsid w:val="00D835FF"/>
    <w:rsid w:val="00D904B3"/>
    <w:rsid w:val="00D91696"/>
    <w:rsid w:val="00DA2551"/>
    <w:rsid w:val="00DC30C6"/>
    <w:rsid w:val="00DD314C"/>
    <w:rsid w:val="00DD3F23"/>
    <w:rsid w:val="00DD5432"/>
    <w:rsid w:val="00DD613E"/>
    <w:rsid w:val="00DF08FE"/>
    <w:rsid w:val="00E210D6"/>
    <w:rsid w:val="00E24DF5"/>
    <w:rsid w:val="00E2713D"/>
    <w:rsid w:val="00E34959"/>
    <w:rsid w:val="00E451A1"/>
    <w:rsid w:val="00E5614D"/>
    <w:rsid w:val="00E618C5"/>
    <w:rsid w:val="00E62FCE"/>
    <w:rsid w:val="00E86F90"/>
    <w:rsid w:val="00E87F54"/>
    <w:rsid w:val="00EA03D2"/>
    <w:rsid w:val="00EA460E"/>
    <w:rsid w:val="00EA4CC5"/>
    <w:rsid w:val="00EB5210"/>
    <w:rsid w:val="00EC0367"/>
    <w:rsid w:val="00ED79C6"/>
    <w:rsid w:val="00EE552E"/>
    <w:rsid w:val="00EE609E"/>
    <w:rsid w:val="00F04F69"/>
    <w:rsid w:val="00F237A2"/>
    <w:rsid w:val="00F61F8A"/>
    <w:rsid w:val="00F67377"/>
    <w:rsid w:val="00F74DDE"/>
    <w:rsid w:val="00F76360"/>
    <w:rsid w:val="00F813B3"/>
    <w:rsid w:val="00F95AE0"/>
    <w:rsid w:val="00FB7B4F"/>
    <w:rsid w:val="00FC57E7"/>
    <w:rsid w:val="00FD33B9"/>
    <w:rsid w:val="00FF4408"/>
    <w:rsid w:val="00FF4454"/>
    <w:rsid w:val="3E593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uiPriority w:val="0"/>
    <w:pPr>
      <w:ind w:left="100" w:leftChars="2500"/>
    </w:pPr>
    <w:rPr>
      <w:rFonts w:asciiTheme="minorHAnsi" w:hAnsiTheme="minorHAnsi" w:cstheme="minorBidi"/>
      <w:szCs w:val="24"/>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rPr>
      <w:rFonts w:ascii="Times New Roman" w:hAnsi="Times New Roman"/>
    </w:rPr>
  </w:style>
  <w:style w:type="character" w:customStyle="1" w:styleId="8">
    <w:name w:val="页眉 Char"/>
    <w:basedOn w:val="6"/>
    <w:link w:val="4"/>
    <w:semiHidden/>
    <w:uiPriority w:val="99"/>
    <w:rPr>
      <w:rFonts w:ascii="Calibri" w:hAnsi="Calibri" w:eastAsia="宋体" w:cs="Times New Roman"/>
      <w:sz w:val="18"/>
      <w:szCs w:val="18"/>
    </w:rPr>
  </w:style>
  <w:style w:type="character" w:customStyle="1" w:styleId="9">
    <w:name w:val="页脚 Char"/>
    <w:basedOn w:val="6"/>
    <w:link w:val="3"/>
    <w:semiHidden/>
    <w:uiPriority w:val="99"/>
    <w:rPr>
      <w:rFonts w:ascii="Calibri" w:hAnsi="Calibri" w:eastAsia="宋体" w:cs="Times New Roman"/>
      <w:sz w:val="18"/>
      <w:szCs w:val="18"/>
    </w:rPr>
  </w:style>
  <w:style w:type="paragraph" w:customStyle="1" w:styleId="10">
    <w:name w:val="Char"/>
    <w:basedOn w:val="1"/>
    <w:uiPriority w:val="0"/>
    <w:rPr>
      <w:rFonts w:ascii="Times New Roman" w:hAnsi="Times New Roman" w:eastAsia="仿宋_GB2312"/>
      <w:sz w:val="32"/>
      <w:szCs w:val="32"/>
    </w:rPr>
  </w:style>
  <w:style w:type="character" w:customStyle="1" w:styleId="11">
    <w:name w:val="日期 Char"/>
    <w:basedOn w:val="6"/>
    <w:link w:val="2"/>
    <w:qFormat/>
    <w:locked/>
    <w:uiPriority w:val="0"/>
    <w:rPr>
      <w:rFonts w:eastAsia="宋体"/>
      <w:szCs w:val="24"/>
    </w:rPr>
  </w:style>
  <w:style w:type="character" w:customStyle="1" w:styleId="12">
    <w:name w:val="日期 Char1"/>
    <w:basedOn w:val="6"/>
    <w:link w:val="2"/>
    <w:semiHidden/>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285</Words>
  <Characters>1627</Characters>
  <Lines>13</Lines>
  <Paragraphs>3</Paragraphs>
  <TotalTime>376</TotalTime>
  <ScaleCrop>false</ScaleCrop>
  <LinksUpToDate>false</LinksUpToDate>
  <CharactersWithSpaces>1909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2018-02-11T06:56:00Z</dcterms:created>
  <dc:creator>黄廷玉</dc:creator>
  <cp:lastModifiedBy>邓颖</cp:lastModifiedBy>
  <dcterms:modified xsi:type="dcterms:W3CDTF">2022-11-21T09:58:27Z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DBCB5F0547D14756BC4940214CDF459D</vt:lpwstr>
  </property>
</Properties>
</file>