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綦江区</w:t>
      </w:r>
      <w:r>
        <w:rPr>
          <w:rFonts w:hint="eastAsia" w:ascii="方正小标宋_GBK" w:hAnsi="方正小标宋_GBK" w:eastAsia="方正小标宋_GBK" w:cs="方正小标宋_GBK"/>
          <w:sz w:val="44"/>
          <w:szCs w:val="44"/>
          <w:shd w:val="clear" w:color="auto" w:fill="FFFFFF"/>
          <w:lang w:eastAsia="zh-CN"/>
        </w:rPr>
        <w:t>法学会</w:t>
      </w:r>
    </w:p>
    <w:p>
      <w:pPr>
        <w:spacing w:line="600" w:lineRule="exact"/>
        <w:jc w:val="center"/>
        <w:rPr>
          <w:rFonts w:ascii="方正小标宋_GBK" w:hAnsi="方正小标宋_GBK" w:eastAsia="方正小标宋_GBK" w:cs="方正小标宋_GBK"/>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1</w:t>
      </w:r>
      <w:r>
        <w:rPr>
          <w:rFonts w:hint="eastAsia" w:ascii="方正小标宋_GBK" w:hAnsi="华文中宋" w:eastAsia="方正小标宋_GBK" w:cs="华文中宋"/>
          <w:sz w:val="44"/>
          <w:szCs w:val="44"/>
        </w:rPr>
        <w:t>年部门预算情况说明</w:t>
      </w:r>
    </w:p>
    <w:p>
      <w:pPr>
        <w:pStyle w:val="14"/>
        <w:spacing w:before="0" w:beforeAutospacing="0" w:after="0" w:afterAutospacing="0"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p>
    <w:p>
      <w:pPr>
        <w:pStyle w:val="14"/>
        <w:spacing w:before="0" w:beforeAutospacing="0" w:after="0" w:afterAutospacing="0" w:line="576" w:lineRule="exact"/>
        <w:ind w:firstLine="640" w:firstLineChars="200"/>
        <w:jc w:val="both"/>
        <w:rPr>
          <w:rFonts w:ascii="方正黑体_GBK" w:hAnsi="方正黑体_GBK" w:eastAsia="方正黑体_GBK" w:cs="方正黑体_GBK"/>
          <w:bCs/>
          <w:sz w:val="32"/>
          <w:szCs w:val="32"/>
        </w:rPr>
      </w:pPr>
      <w:r>
        <w:rPr>
          <w:rStyle w:val="16"/>
          <w:rFonts w:hint="eastAsia" w:ascii="方正黑体_GBK" w:hAnsi="方正黑体_GBK" w:eastAsia="方正黑体_GBK" w:cs="方正黑体_GBK"/>
          <w:b w:val="0"/>
          <w:bCs/>
          <w:sz w:val="32"/>
          <w:szCs w:val="32"/>
          <w:shd w:val="clear" w:color="auto" w:fill="FFFFFF"/>
        </w:rPr>
        <w:t>一、部门基本情况</w:t>
      </w:r>
    </w:p>
    <w:p>
      <w:pPr>
        <w:pStyle w:val="14"/>
        <w:spacing w:before="0" w:beforeAutospacing="0" w:after="0" w:afterAutospacing="0"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（一）职能职责</w:t>
      </w:r>
    </w:p>
    <w:p>
      <w:pPr>
        <w:topLinePunct/>
        <w:spacing w:line="576"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坚持党的领导，始终坚持把法学会置于党的领导之下，自觉接受区委、区委政法委的领导，团结引领广大法学法律工作者坚决贯彻党的路线、方针、政策和区委的决策部署，严守政治纪律和政治规矩，紧密团结在党的周围，坚定不移地走中国特色社会主义道路。</w:t>
      </w:r>
    </w:p>
    <w:p>
      <w:pPr>
        <w:topLinePunct/>
        <w:spacing w:line="576"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强化政治引领，引领广大法学法律工作者用中国特色社会主义法治理论武装头脑、指导实践，在大是大非面前立场坚定、旗帜鲜明，始终与党中央保持高度一致，确保法学研究、法治教育、法治人才培养等各项工作沿着正确的政治方向和学术方向推进。</w:t>
      </w:r>
    </w:p>
    <w:p>
      <w:pPr>
        <w:topLinePunct/>
        <w:spacing w:line="576"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大力开展法治宣传，组织法学法律专家讲师团，开辟法治讲坛、政法讲坛等，深入机关、企业、学校、农村，广泛开展法治宣传教育，努力营造全民学法、尊法、守法的社会氛围。</w:t>
      </w:r>
    </w:p>
    <w:p>
      <w:pPr>
        <w:topLinePunct/>
        <w:spacing w:line="576"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扎实开展法律服务，充分利用法学会的资源优势，开展多种形式的法律服务，进一步规范和加强基层法律诊所、法律服务站和社区法律顾问等平台建设，不断提高为基层群众提供法律服务的能力水平。</w:t>
      </w:r>
    </w:p>
    <w:p>
      <w:pPr>
        <w:topLinePunct/>
        <w:spacing w:line="576"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积极推进依法治区，认真落实依法治区各项工作，深入研究风险防控、司法体制改革、执法司法规范化建设、提高法治宣传教育实效性等重大问题，切实发挥好智囊团和参谋助手作用。</w:t>
      </w:r>
    </w:p>
    <w:p>
      <w:pPr>
        <w:topLinePunct/>
        <w:spacing w:line="57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积极参与政府重大行政决策合法性审查和法律风险评估，做好政策解读和引导工作，积极承接政府下放职能，主动承担部分社会管理服务职能，积极参与政府购买公共服务，</w:t>
      </w:r>
      <w:r>
        <w:rPr>
          <w:rFonts w:hint="eastAsia" w:ascii="方正仿宋_GBK" w:hAnsi="方正仿宋_GBK" w:eastAsia="方正仿宋_GBK" w:cs="方正仿宋_GBK"/>
          <w:sz w:val="32"/>
          <w:szCs w:val="32"/>
        </w:rPr>
        <w:t>进一步拓展工作范围，延伸服务领域，为“四区一城”建设、供给侧结构性改革等提供有力的法治服务和保障。</w:t>
      </w:r>
    </w:p>
    <w:p>
      <w:pPr>
        <w:topLinePunct/>
        <w:spacing w:line="576"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bCs/>
          <w:sz w:val="32"/>
          <w:szCs w:val="32"/>
        </w:rPr>
        <w:t>区委、区政府和上级部门</w:t>
      </w:r>
      <w:r>
        <w:rPr>
          <w:rFonts w:hint="eastAsia" w:ascii="方正仿宋_GBK" w:hAnsi="方正仿宋_GBK" w:eastAsia="方正仿宋_GBK" w:cs="方正仿宋_GBK"/>
          <w:sz w:val="32"/>
          <w:szCs w:val="32"/>
        </w:rPr>
        <w:t>交办的其他事项。</w:t>
      </w:r>
    </w:p>
    <w:p>
      <w:pPr>
        <w:pStyle w:val="14"/>
        <w:spacing w:before="0" w:beforeAutospacing="0" w:after="0" w:afterAutospacing="0"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（二）机构设置</w:t>
      </w:r>
    </w:p>
    <w:p>
      <w:pPr>
        <w:pStyle w:val="14"/>
        <w:spacing w:before="0" w:beforeAutospacing="0" w:after="0" w:afterAutospacing="0" w:line="576"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设置秘书处，具体负责机关日常工作。</w:t>
      </w:r>
    </w:p>
    <w:p>
      <w:pPr>
        <w:numPr>
          <w:ilvl w:val="0"/>
          <w:numId w:val="1"/>
        </w:numPr>
        <w:spacing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单位构成</w:t>
      </w:r>
    </w:p>
    <w:p>
      <w:pPr>
        <w:spacing w:line="576"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从预算单位构成看，</w:t>
      </w:r>
      <w:r>
        <w:rPr>
          <w:rFonts w:hint="eastAsia" w:ascii="方正仿宋_GBK" w:hAnsi="方正仿宋_GBK" w:eastAsia="方正仿宋_GBK" w:cs="方正仿宋_GBK"/>
          <w:color w:val="auto"/>
          <w:sz w:val="32"/>
          <w:szCs w:val="32"/>
          <w:lang w:eastAsia="zh-CN"/>
        </w:rPr>
        <w:t>区法学会</w:t>
      </w:r>
      <w:r>
        <w:rPr>
          <w:rFonts w:hint="eastAsia" w:ascii="方正仿宋_GBK" w:hAnsi="方正仿宋_GBK" w:eastAsia="方正仿宋_GBK" w:cs="方正仿宋_GBK"/>
          <w:color w:val="auto"/>
          <w:sz w:val="32"/>
          <w:szCs w:val="32"/>
          <w:lang w:val="en-US" w:eastAsia="zh-CN"/>
        </w:rPr>
        <w:t>为</w:t>
      </w:r>
      <w:r>
        <w:rPr>
          <w:rFonts w:hint="eastAsia" w:ascii="方正仿宋_GBK" w:hAnsi="仿宋_GB2312" w:eastAsia="方正仿宋_GBK" w:cs="仿宋_GB2312"/>
          <w:sz w:val="32"/>
          <w:lang w:val="en-US" w:eastAsia="zh-CN"/>
        </w:rPr>
        <w:t>财政全额拨款正处级事业单位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方正仿宋_GBK"/>
          <w:sz w:val="32"/>
        </w:rPr>
      </w:pPr>
      <w:r>
        <w:rPr>
          <w:rFonts w:ascii="Times New Roman" w:hAnsi="Times New Roman" w:eastAsia="方正仿宋_GBK"/>
          <w:sz w:val="32"/>
        </w:rPr>
        <w:t>（一）收入预算：202</w:t>
      </w:r>
      <w:r>
        <w:rPr>
          <w:rFonts w:hint="eastAsia" w:ascii="Times New Roman" w:hAnsi="Times New Roman" w:eastAsia="方正仿宋_GBK"/>
          <w:sz w:val="32"/>
          <w:lang w:val="en-US" w:eastAsia="zh-CN"/>
        </w:rPr>
        <w:t>1</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52.1</w:t>
      </w:r>
      <w:r>
        <w:rPr>
          <w:rFonts w:ascii="Times New Roman" w:hAnsi="Times New Roman" w:eastAsia="方正仿宋_GBK"/>
          <w:sz w:val="32"/>
        </w:rPr>
        <w:t>万元，其中：一般公共预算拨款</w:t>
      </w:r>
      <w:r>
        <w:rPr>
          <w:rFonts w:hint="eastAsia" w:ascii="Times New Roman" w:hAnsi="Times New Roman" w:eastAsia="方正仿宋_GBK"/>
          <w:sz w:val="32"/>
          <w:lang w:val="en-US" w:eastAsia="zh-CN"/>
        </w:rPr>
        <w:t>52.1</w:t>
      </w:r>
      <w:r>
        <w:rPr>
          <w:rFonts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ascii="Times New Roman" w:hAnsi="Times New Roman" w:eastAsia="方正仿宋_GBK"/>
          <w:sz w:val="32"/>
        </w:rPr>
        <w:t>万元。收入较202</w:t>
      </w:r>
      <w:r>
        <w:rPr>
          <w:rFonts w:hint="eastAsia" w:ascii="Times New Roman" w:hAnsi="Times New Roman" w:eastAsia="方正仿宋_GBK"/>
          <w:sz w:val="32"/>
          <w:lang w:val="en-US" w:eastAsia="zh-CN"/>
        </w:rPr>
        <w:t>0</w:t>
      </w:r>
      <w:r>
        <w:rPr>
          <w:rFonts w:ascii="Times New Roman" w:hAnsi="Times New Roman" w:eastAsia="方正仿宋_GBK"/>
          <w:sz w:val="32"/>
        </w:rPr>
        <w:t>年增</w:t>
      </w:r>
      <w:r>
        <w:rPr>
          <w:rFonts w:hint="eastAsia" w:ascii="Times New Roman" w:hAnsi="Times New Roman" w:eastAsia="方正仿宋_GBK"/>
          <w:sz w:val="32"/>
          <w:lang w:eastAsia="zh-CN"/>
        </w:rPr>
        <w:t>加</w:t>
      </w:r>
      <w:r>
        <w:rPr>
          <w:rFonts w:hint="eastAsia" w:ascii="Times New Roman" w:hAnsi="Times New Roman" w:eastAsia="方正仿宋_GBK"/>
          <w:sz w:val="32"/>
          <w:lang w:val="en-US" w:eastAsia="zh-CN"/>
        </w:rPr>
        <w:t>16.28万元，增加原因为人员增加</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Style w:val="16"/>
          <w:rFonts w:hint="eastAsia" w:ascii="方正黑体_GBK" w:hAnsi="方正黑体_GBK" w:eastAsia="方正黑体_GBK" w:cs="方正黑体_GBK"/>
          <w:b w:val="0"/>
          <w:bCs/>
          <w:sz w:val="32"/>
          <w:szCs w:val="32"/>
          <w:shd w:val="clear" w:color="auto" w:fill="FFFFFF"/>
        </w:rPr>
      </w:pPr>
      <w:r>
        <w:rPr>
          <w:rFonts w:ascii="Times New Roman" w:hAnsi="Times New Roman" w:eastAsia="方正仿宋_GBK"/>
          <w:sz w:val="32"/>
        </w:rPr>
        <w:t>（二）支出预算：202</w:t>
      </w:r>
      <w:r>
        <w:rPr>
          <w:rFonts w:hint="eastAsia" w:ascii="Times New Roman" w:hAnsi="Times New Roman" w:eastAsia="方正仿宋_GBK"/>
          <w:sz w:val="32"/>
          <w:lang w:val="en-US" w:eastAsia="zh-CN"/>
        </w:rPr>
        <w:t>1</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52.1</w:t>
      </w:r>
      <w:r>
        <w:rPr>
          <w:rFonts w:ascii="Times New Roman" w:hAnsi="Times New Roman" w:eastAsia="方正仿宋_GBK"/>
          <w:sz w:val="32"/>
        </w:rPr>
        <w:t>万元，其中：一般公共服务支出预算</w:t>
      </w:r>
      <w:r>
        <w:rPr>
          <w:rFonts w:hint="eastAsia" w:ascii="Times New Roman" w:hAnsi="Times New Roman" w:eastAsia="方正仿宋_GBK"/>
          <w:sz w:val="32"/>
          <w:lang w:val="en-US" w:eastAsia="zh-CN"/>
        </w:rPr>
        <w:t>45.01</w:t>
      </w:r>
      <w:r>
        <w:rPr>
          <w:rFonts w:ascii="Times New Roman" w:hAnsi="Times New Roman" w:eastAsia="方正仿宋_GBK"/>
          <w:sz w:val="32"/>
        </w:rPr>
        <w:t>万元，教育支出预算</w:t>
      </w:r>
      <w:r>
        <w:rPr>
          <w:rFonts w:hint="eastAsia" w:ascii="Times New Roman" w:hAnsi="Times New Roman" w:eastAsia="方正仿宋_GBK"/>
          <w:sz w:val="32"/>
          <w:lang w:val="en-US" w:eastAsia="zh-CN"/>
        </w:rPr>
        <w:t>0</w:t>
      </w:r>
      <w:r>
        <w:rPr>
          <w:rFonts w:ascii="Times New Roman" w:hAnsi="Times New Roman" w:eastAsia="方正仿宋_GBK"/>
          <w:sz w:val="32"/>
        </w:rPr>
        <w:t>万元，社会保障和就业支出预算</w:t>
      </w:r>
      <w:r>
        <w:rPr>
          <w:rFonts w:hint="eastAsia" w:ascii="Times New Roman" w:hAnsi="Times New Roman" w:eastAsia="方正仿宋_GBK"/>
          <w:sz w:val="32"/>
          <w:lang w:val="en-US" w:eastAsia="zh-CN"/>
        </w:rPr>
        <w:t>3.5</w:t>
      </w:r>
      <w:r>
        <w:rPr>
          <w:rFonts w:ascii="Times New Roman" w:hAnsi="Times New Roman" w:eastAsia="方正仿宋_GBK"/>
          <w:sz w:val="32"/>
        </w:rPr>
        <w:t>万元，卫生健康支出预算</w:t>
      </w:r>
      <w:r>
        <w:rPr>
          <w:rFonts w:hint="eastAsia" w:ascii="Times New Roman" w:hAnsi="Times New Roman" w:eastAsia="方正仿宋_GBK"/>
          <w:sz w:val="32"/>
          <w:lang w:val="en-US" w:eastAsia="zh-CN"/>
        </w:rPr>
        <w:t>2.52</w:t>
      </w:r>
      <w:r>
        <w:rPr>
          <w:rFonts w:ascii="Times New Roman" w:hAnsi="Times New Roman" w:eastAsia="方正仿宋_GBK"/>
          <w:sz w:val="32"/>
        </w:rPr>
        <w:t>万元，住房保障支出预算</w:t>
      </w:r>
      <w:r>
        <w:rPr>
          <w:rFonts w:hint="eastAsia" w:ascii="Times New Roman" w:hAnsi="Times New Roman" w:eastAsia="方正仿宋_GBK"/>
          <w:sz w:val="32"/>
          <w:lang w:val="en-US" w:eastAsia="zh-CN"/>
        </w:rPr>
        <w:t>2.9</w:t>
      </w:r>
      <w:r>
        <w:rPr>
          <w:rFonts w:ascii="Times New Roman" w:hAnsi="Times New Roman" w:eastAsia="方正仿宋_GBK"/>
          <w:sz w:val="32"/>
        </w:rPr>
        <w:t>万元。支出预算较2021年增加</w:t>
      </w:r>
      <w:r>
        <w:rPr>
          <w:rFonts w:hint="eastAsia" w:ascii="Times New Roman" w:hAnsi="Times New Roman" w:eastAsia="方正仿宋_GBK"/>
          <w:sz w:val="32"/>
          <w:lang w:val="en-US" w:eastAsia="zh-CN"/>
        </w:rPr>
        <w:t>16.28</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27.08</w:t>
      </w:r>
      <w:r>
        <w:rPr>
          <w:rFonts w:hint="eastAsia" w:ascii="方正仿宋_GBK" w:hAnsi="仿宋_GB2312" w:eastAsia="方正仿宋_GBK" w:cs="仿宋_GB2312"/>
          <w:sz w:val="32"/>
        </w:rPr>
        <w:t xml:space="preserve"> 万元，项目支出预算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10.9</w:t>
      </w:r>
      <w:r>
        <w:rPr>
          <w:rFonts w:hint="eastAsia" w:ascii="方正仿宋_GBK" w:hAnsi="仿宋_GB2312" w:eastAsia="方正仿宋_GBK" w:cs="仿宋_GB2312"/>
          <w:sz w:val="32"/>
        </w:rPr>
        <w:t xml:space="preserve"> 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2022年一般公共预算财政拨款收入</w:t>
      </w:r>
      <w:r>
        <w:rPr>
          <w:rFonts w:hint="eastAsia" w:ascii="Times New Roman" w:hAnsi="Times New Roman" w:eastAsia="方正仿宋_GBK"/>
          <w:sz w:val="32"/>
          <w:lang w:val="en-US" w:eastAsia="zh-CN"/>
        </w:rPr>
        <w:t>52.1</w:t>
      </w:r>
      <w:r>
        <w:rPr>
          <w:rFonts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52.1</w:t>
      </w:r>
      <w:r>
        <w:rPr>
          <w:rFonts w:ascii="Times New Roman" w:hAnsi="Times New Roman" w:eastAsia="方正仿宋_GBK"/>
          <w:sz w:val="32"/>
        </w:rPr>
        <w:t>万元，比2021年增加</w:t>
      </w:r>
      <w:r>
        <w:rPr>
          <w:rFonts w:hint="eastAsia" w:ascii="Times New Roman" w:hAnsi="Times New Roman" w:eastAsia="方正仿宋_GBK"/>
          <w:sz w:val="32"/>
          <w:lang w:val="en-US" w:eastAsia="zh-CN"/>
        </w:rPr>
        <w:t>16.28</w:t>
      </w:r>
      <w:r>
        <w:rPr>
          <w:rFonts w:ascii="Times New Roman" w:hAnsi="Times New Roman" w:eastAsia="方正仿宋_GBK"/>
          <w:sz w:val="32"/>
        </w:rPr>
        <w:t xml:space="preserve">  万元。其中：基本支出</w:t>
      </w:r>
      <w:r>
        <w:rPr>
          <w:rFonts w:hint="eastAsia" w:ascii="Times New Roman" w:hAnsi="Times New Roman" w:eastAsia="方正仿宋_GBK"/>
          <w:sz w:val="32"/>
          <w:lang w:val="en-US" w:eastAsia="zh-CN"/>
        </w:rPr>
        <w:t>52.1</w:t>
      </w:r>
      <w:r>
        <w:rPr>
          <w:rFonts w:ascii="Times New Roman" w:hAnsi="Times New Roman" w:eastAsia="方正仿宋_GBK"/>
          <w:sz w:val="32"/>
        </w:rPr>
        <w:t>万元，比2021年增加</w:t>
      </w:r>
      <w:r>
        <w:rPr>
          <w:rFonts w:hint="eastAsia" w:ascii="Times New Roman" w:hAnsi="Times New Roman" w:eastAsia="方正仿宋_GBK"/>
          <w:sz w:val="32"/>
          <w:lang w:val="en-US" w:eastAsia="zh-CN"/>
        </w:rPr>
        <w:t>16.28</w:t>
      </w:r>
      <w:r>
        <w:rPr>
          <w:rFonts w:ascii="Times New Roman" w:hAnsi="Times New Roman" w:eastAsia="方正仿宋_GBK"/>
          <w:sz w:val="32"/>
        </w:rPr>
        <w:t>万元，主要原因是</w:t>
      </w:r>
      <w:r>
        <w:rPr>
          <w:rFonts w:hint="eastAsia" w:ascii="Times New Roman" w:hAnsi="Times New Roman" w:eastAsia="方正仿宋_GBK"/>
          <w:sz w:val="32"/>
          <w:lang w:eastAsia="zh-CN"/>
        </w:rPr>
        <w:t>人员增加</w:t>
      </w:r>
      <w:r>
        <w:rPr>
          <w:rFonts w:ascii="Times New Roman" w:hAnsi="Times New Roman" w:eastAsia="方正仿宋_GBK"/>
          <w:sz w:val="32"/>
        </w:rPr>
        <w:t>等，主要用于保障在职人员工资福利及社会保险缴费，离休人员离休费，退休人员补助等，保障部门正常运转的各项商品服务支出；项目支出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lang w:val="en-US" w:eastAsia="zh-CN"/>
        </w:rPr>
        <w:t>7</w:t>
      </w:r>
      <w:r>
        <w:rPr>
          <w:rFonts w:ascii="Times New Roman" w:hAnsi="Times New Roman" w:eastAsia="方正仿宋_GBK"/>
          <w:sz w:val="32"/>
        </w:rPr>
        <w:t>万元，比2021年减少</w:t>
      </w:r>
      <w:r>
        <w:rPr>
          <w:rFonts w:hint="eastAsia" w:ascii="Times New Roman" w:hAnsi="Times New Roman" w:eastAsia="方正仿宋_GBK"/>
          <w:sz w:val="32"/>
          <w:lang w:val="en-US" w:eastAsia="zh-CN"/>
        </w:rPr>
        <w:t>10.9</w:t>
      </w:r>
      <w:r>
        <w:rPr>
          <w:rFonts w:ascii="Times New Roman" w:hAnsi="Times New Roman" w:eastAsia="方正仿宋_GBK"/>
          <w:sz w:val="32"/>
        </w:rPr>
        <w:t>万元，主要原因</w:t>
      </w:r>
      <w:r>
        <w:rPr>
          <w:rFonts w:hint="eastAsia" w:ascii="Times New Roman" w:hAnsi="Times New Roman" w:eastAsia="方正仿宋_GBK"/>
          <w:sz w:val="32"/>
          <w:lang w:eastAsia="zh-CN"/>
        </w:rPr>
        <w:t>其他其他群众团体事务支出变成人员补丁</w:t>
      </w:r>
      <w:r>
        <w:rPr>
          <w:rFonts w:ascii="Times New Roman" w:hAnsi="Times New Roman" w:eastAsia="方正仿宋_GBK"/>
          <w:sz w:val="32"/>
        </w:rPr>
        <w:t>等，主要用于</w:t>
      </w:r>
      <w:r>
        <w:rPr>
          <w:rFonts w:hint="eastAsia" w:ascii="Times New Roman" w:hAnsi="Times New Roman" w:eastAsia="方正仿宋_GBK"/>
          <w:sz w:val="32"/>
          <w:lang w:eastAsia="zh-CN"/>
        </w:rPr>
        <w:t>人员补丁</w:t>
      </w:r>
      <w:r>
        <w:rPr>
          <w:rFonts w:ascii="Times New Roman" w:hAnsi="Times New Roman" w:eastAsia="方正仿宋_GBK"/>
          <w:sz w:val="32"/>
        </w:rPr>
        <w:t>工作。</w:t>
      </w:r>
    </w:p>
    <w:p>
      <w:pPr>
        <w:spacing w:line="600" w:lineRule="exact"/>
        <w:ind w:firstLine="640" w:firstLineChars="200"/>
        <w:rPr>
          <w:rFonts w:hint="eastAsia" w:ascii="方正仿宋_GBK" w:hAnsi="仿宋_GB2312" w:eastAsia="方正仿宋_GBK" w:cs="仿宋_GB2312"/>
          <w:sz w:val="32"/>
        </w:rPr>
      </w:pPr>
      <w:r>
        <w:rPr>
          <w:rFonts w:hint="eastAsia" w:ascii="Times New Roman" w:hAnsi="Times New Roman" w:eastAsia="方正仿宋_GBK"/>
          <w:sz w:val="32"/>
          <w:lang w:eastAsia="zh-CN"/>
        </w:rPr>
        <w:t>法学会</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1</w:t>
      </w:r>
      <w:r>
        <w:rPr>
          <w:rFonts w:hint="eastAsia" w:ascii="方正仿宋_GBK" w:hAnsi="仿宋_GB2312" w:eastAsia="方正仿宋_GBK" w:cs="仿宋_GB2312"/>
          <w:sz w:val="32"/>
        </w:rPr>
        <w:t>年无使用政府性基金预算拨款安排的支出</w:t>
      </w:r>
      <w:bookmarkStart w:id="0" w:name="_GoBack"/>
      <w:bookmarkEnd w:id="0"/>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Times New Roman" w:hAnsi="Times New Roman" w:eastAsia="方正仿宋_GBK"/>
          <w:sz w:val="32"/>
          <w:lang w:eastAsia="zh-CN"/>
        </w:rPr>
        <w:t>无</w:t>
      </w:r>
      <w:r>
        <w:rPr>
          <w:rFonts w:hint="eastAsia" w:ascii="方正仿宋_GBK" w:hAnsi="仿宋_GB2312" w:eastAsia="方正仿宋_GBK" w:cs="仿宋_GB2312"/>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Times New Roman" w:hAnsi="Times New Roman" w:eastAsia="方正仿宋_GBK"/>
          <w:sz w:val="32"/>
        </w:rPr>
        <w:t>1.</w:t>
      </w:r>
      <w:r>
        <w:rPr>
          <w:rFonts w:hint="eastAsia" w:ascii="方正仿宋_GBK" w:hAnsi="仿宋_GB2312" w:eastAsia="方正仿宋_GBK" w:cs="仿宋_GB2312"/>
          <w:sz w:val="32"/>
        </w:rPr>
        <w:t xml:space="preserve"> 我单位不在机关运行经费统计范围之内。</w:t>
      </w:r>
    </w:p>
    <w:p>
      <w:pPr>
        <w:ind w:firstLine="640" w:firstLineChars="200"/>
        <w:rPr>
          <w:rFonts w:hint="eastAsia" w:ascii="方正仿宋_GBK" w:hAnsi="仿宋_GB2312" w:eastAsia="方正仿宋_GBK" w:cs="仿宋_GB2312"/>
          <w:sz w:val="32"/>
        </w:rPr>
      </w:pPr>
      <w:r>
        <w:rPr>
          <w:rFonts w:hint="eastAsia" w:ascii="Times New Roman" w:hAnsi="Times New Roman" w:eastAsia="方正仿宋_GBK"/>
          <w:sz w:val="32"/>
        </w:rPr>
        <w:t xml:space="preserve">2. </w:t>
      </w:r>
      <w:r>
        <w:rPr>
          <w:rFonts w:hint="eastAsia" w:ascii="方正仿宋_GBK" w:hAnsi="仿宋_GB2312" w:eastAsia="方正仿宋_GBK" w:cs="仿宋_GB2312"/>
          <w:sz w:val="32"/>
        </w:rPr>
        <w:t>政府采购情况。</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w:t>
      </w:r>
    </w:p>
    <w:p>
      <w:pPr>
        <w:ind w:firstLine="640" w:firstLineChars="200"/>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3. </w:t>
      </w:r>
      <w:r>
        <w:rPr>
          <w:rFonts w:hint="eastAsia" w:ascii="方正仿宋_GBK" w:hAnsi="仿宋_GB2312" w:eastAsia="方正仿宋_GBK" w:cs="仿宋_GB2312"/>
          <w:sz w:val="32"/>
        </w:rPr>
        <w:t>绩效目标设置情况。</w:t>
      </w:r>
      <w:r>
        <w:rPr>
          <w:rFonts w:hint="eastAsia" w:ascii="Times New Roman" w:hAnsi="Times New Roman" w:eastAsia="方正仿宋_GBK"/>
          <w:sz w:val="32"/>
        </w:rPr>
        <w:t>2022</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7</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4. </w:t>
      </w:r>
      <w:r>
        <w:rPr>
          <w:rFonts w:hint="eastAsia" w:ascii="方正仿宋_GBK" w:hAnsi="仿宋_GB2312" w:eastAsia="方正仿宋_GBK" w:cs="仿宋_GB2312"/>
          <w:color w:val="000000"/>
          <w:sz w:val="32"/>
        </w:rPr>
        <w:t>国有资产占有使用情况。</w:t>
      </w:r>
      <w:r>
        <w:rPr>
          <w:rFonts w:hint="eastAsia" w:ascii="Times New Roman" w:hAnsi="Times New Roman" w:eastAsia="方正仿宋_GBK"/>
          <w:sz w:val="32"/>
          <w:lang w:eastAsia="zh-CN"/>
        </w:rPr>
        <w:t>无</w:t>
      </w:r>
      <w:r>
        <w:rPr>
          <w:rFonts w:hint="eastAsia" w:ascii="方正仿宋_GBK" w:hAnsi="仿宋_GB2312" w:eastAsia="方正仿宋_GBK" w:cs="仿宋_GB2312"/>
          <w:color w:val="000000"/>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3" w:firstLineChars="200"/>
        <w:rPr>
          <w:rFonts w:hint="eastAsia" w:ascii="仿宋_GB2312" w:hAnsi="仿宋_GB2312" w:eastAsia="仿宋_GB2312" w:cs="仿宋_GB2312"/>
          <w:b/>
          <w:sz w:val="32"/>
        </w:rPr>
      </w:pPr>
      <w:r>
        <w:rPr>
          <w:rFonts w:hint="eastAsia" w:ascii="方正仿宋_GBK" w:hAnsi="仿宋_GB2312" w:eastAsia="方正仿宋_GBK" w:cs="仿宋_GB2312"/>
          <w:b/>
          <w:sz w:val="32"/>
        </w:rPr>
        <w:t>预算公开联系人：</w:t>
      </w:r>
      <w:r>
        <w:rPr>
          <w:rFonts w:hint="eastAsia" w:ascii="方正仿宋_GBK" w:eastAsia="方正仿宋_GBK"/>
          <w:b/>
          <w:sz w:val="32"/>
          <w:lang w:val="en-US" w:eastAsia="zh-CN"/>
        </w:rPr>
        <w:t>余欣；</w:t>
      </w:r>
      <w:r>
        <w:rPr>
          <w:rFonts w:hint="eastAsia" w:ascii="方正仿宋_GBK" w:hAnsi="仿宋_GB2312" w:eastAsia="方正仿宋_GBK" w:cs="仿宋_GB2312"/>
          <w:b/>
          <w:sz w:val="32"/>
        </w:rPr>
        <w:t xml:space="preserve">  联系方式</w:t>
      </w:r>
      <w:r>
        <w:rPr>
          <w:rFonts w:hint="eastAsia" w:ascii="方正仿宋_GBK" w:eastAsia="方正仿宋_GBK"/>
          <w:b/>
          <w:sz w:val="32"/>
        </w:rPr>
        <w:t>023-</w:t>
      </w:r>
      <w:r>
        <w:rPr>
          <w:rFonts w:hint="eastAsia" w:ascii="方正仿宋_GBK" w:eastAsia="方正仿宋_GBK"/>
          <w:b/>
          <w:sz w:val="32"/>
          <w:lang w:val="en-US" w:eastAsia="zh-CN"/>
        </w:rPr>
        <w:t>48672561</w:t>
      </w:r>
    </w:p>
    <w:p>
      <w:pPr>
        <w:pStyle w:val="14"/>
        <w:spacing w:before="0" w:beforeAutospacing="0" w:after="0" w:afterAutospacing="0" w:line="576" w:lineRule="exact"/>
        <w:ind w:firstLine="640" w:firstLineChars="200"/>
        <w:jc w:val="both"/>
        <w:rPr>
          <w:rFonts w:ascii="方正仿宋_GBK" w:hAnsi="方正仿宋_GBK" w:eastAsia="方正仿宋_GBK" w:cs="方正仿宋_GBK"/>
          <w:sz w:val="32"/>
          <w:szCs w:val="32"/>
        </w:rPr>
      </w:pP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39C4"/>
    <w:multiLevelType w:val="singleLevel"/>
    <w:tmpl w:val="616939C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I1ZjA3MzUwNWY3MjczNmMwNTBmZmE3NWVkNjgifQ=="/>
  </w:docVars>
  <w:rsids>
    <w:rsidRoot w:val="00000000"/>
    <w:rsid w:val="005D1B21"/>
    <w:rsid w:val="03046FB4"/>
    <w:rsid w:val="03E86C94"/>
    <w:rsid w:val="2A044919"/>
    <w:rsid w:val="2AB5708F"/>
    <w:rsid w:val="33400944"/>
    <w:rsid w:val="38F33EED"/>
    <w:rsid w:val="3B8F0AF4"/>
    <w:rsid w:val="4DDD12BE"/>
    <w:rsid w:val="603A3412"/>
    <w:rsid w:val="6DAC73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0"/>
    <w:pPr>
      <w:spacing w:before="100" w:beforeAutospacing="1" w:after="100" w:afterAutospacing="1"/>
      <w:outlineLvl w:val="1"/>
    </w:pPr>
    <w:rPr>
      <w:rFonts w:hint="eastAsia"/>
      <w:b/>
      <w:sz w:val="36"/>
      <w:szCs w:val="36"/>
    </w:rPr>
  </w:style>
  <w:style w:type="paragraph" w:styleId="4">
    <w:name w:val="heading 3"/>
    <w:basedOn w:val="1"/>
    <w:next w:val="1"/>
    <w:qFormat/>
    <w:uiPriority w:val="0"/>
    <w:pPr>
      <w:spacing w:before="100" w:beforeAutospacing="1" w:after="100" w:afterAutospacing="1"/>
      <w:outlineLvl w:val="2"/>
    </w:pPr>
    <w:rPr>
      <w:rFonts w:hint="eastAsia"/>
      <w:b/>
      <w:sz w:val="27"/>
      <w:szCs w:val="27"/>
    </w:rPr>
  </w:style>
  <w:style w:type="paragraph" w:styleId="5">
    <w:name w:val="heading 4"/>
    <w:basedOn w:val="1"/>
    <w:next w:val="1"/>
    <w:qFormat/>
    <w:uiPriority w:val="0"/>
    <w:pPr>
      <w:spacing w:before="100" w:beforeAutospacing="1" w:after="100" w:afterAutospacing="1"/>
      <w:outlineLvl w:val="3"/>
    </w:pPr>
    <w:rPr>
      <w:rFonts w:hint="eastAsia"/>
      <w:b/>
    </w:rPr>
  </w:style>
  <w:style w:type="paragraph" w:styleId="6">
    <w:name w:val="heading 5"/>
    <w:basedOn w:val="1"/>
    <w:next w:val="1"/>
    <w:qFormat/>
    <w:uiPriority w:val="0"/>
    <w:pPr>
      <w:spacing w:before="100" w:beforeAutospacing="1" w:after="100" w:afterAutospacing="1"/>
      <w:outlineLvl w:val="4"/>
    </w:pPr>
    <w:rPr>
      <w:rFonts w:hint="eastAsia"/>
      <w:b/>
      <w:sz w:val="20"/>
      <w:szCs w:val="20"/>
    </w:rPr>
  </w:style>
  <w:style w:type="paragraph" w:styleId="7">
    <w:name w:val="heading 6"/>
    <w:basedOn w:val="1"/>
    <w:next w:val="1"/>
    <w:qFormat/>
    <w:uiPriority w:val="0"/>
    <w:pPr>
      <w:spacing w:before="100" w:beforeAutospacing="1" w:after="100" w:afterAutospacing="1"/>
      <w:outlineLvl w:val="5"/>
    </w:pPr>
    <w:rPr>
      <w:rFonts w:hint="eastAsia"/>
      <w:b/>
      <w:sz w:val="15"/>
      <w:szCs w:val="15"/>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25"/>
    <w:qFormat/>
    <w:uiPriority w:val="0"/>
    <w:rPr>
      <w:b/>
      <w:bCs/>
    </w:rPr>
  </w:style>
  <w:style w:type="paragraph" w:styleId="9">
    <w:name w:val="annotation text"/>
    <w:basedOn w:val="1"/>
    <w:link w:val="24"/>
    <w:qFormat/>
    <w:uiPriority w:val="0"/>
  </w:style>
  <w:style w:type="paragraph" w:styleId="10">
    <w:name w:val="Balloon Text"/>
    <w:basedOn w:val="1"/>
    <w:link w:val="21"/>
    <w:qFormat/>
    <w:uiPriority w:val="0"/>
    <w:rPr>
      <w:sz w:val="18"/>
      <w:szCs w:val="18"/>
    </w:rPr>
  </w:style>
  <w:style w:type="paragraph" w:styleId="11">
    <w:name w:val="footer"/>
    <w:basedOn w:val="1"/>
    <w:link w:val="23"/>
    <w:qFormat/>
    <w:uiPriority w:val="0"/>
    <w:pPr>
      <w:tabs>
        <w:tab w:val="center" w:pos="4153"/>
        <w:tab w:val="right" w:pos="8306"/>
      </w:tabs>
      <w:snapToGrid w:val="0"/>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4">
    <w:name w:val="Normal (Web)"/>
    <w:basedOn w:val="1"/>
    <w:qFormat/>
    <w:uiPriority w:val="0"/>
    <w:pPr>
      <w:spacing w:before="100" w:beforeAutospacing="1" w:after="100" w:afterAutospacing="1"/>
    </w:pPr>
  </w:style>
  <w:style w:type="character" w:styleId="16">
    <w:name w:val="Strong"/>
    <w:qFormat/>
    <w:uiPriority w:val="0"/>
    <w:rPr>
      <w:b/>
    </w:rPr>
  </w:style>
  <w:style w:type="character" w:styleId="17">
    <w:name w:val="annotation reference"/>
    <w:basedOn w:val="15"/>
    <w:qFormat/>
    <w:uiPriority w:val="0"/>
    <w:rPr>
      <w:sz w:val="21"/>
      <w:szCs w:val="21"/>
    </w:rPr>
  </w:style>
  <w:style w:type="paragraph" w:customStyle="1" w:styleId="19">
    <w:name w:val="_Style 1"/>
    <w:basedOn w:val="1"/>
    <w:qFormat/>
    <w:uiPriority w:val="34"/>
    <w:pPr>
      <w:ind w:firstLine="420" w:firstLineChars="200"/>
    </w:pPr>
  </w:style>
  <w:style w:type="paragraph" w:customStyle="1" w:styleId="20">
    <w:name w:val="p0"/>
    <w:basedOn w:val="1"/>
    <w:qFormat/>
    <w:uiPriority w:val="0"/>
    <w:rPr>
      <w:rFonts w:ascii="Calibri" w:hAnsi="Calibri" w:cs="宋体"/>
      <w:szCs w:val="21"/>
    </w:rPr>
  </w:style>
  <w:style w:type="character" w:customStyle="1" w:styleId="21">
    <w:name w:val="批注框文本 Char"/>
    <w:link w:val="10"/>
    <w:qFormat/>
    <w:uiPriority w:val="0"/>
    <w:rPr>
      <w:rFonts w:ascii="宋体" w:hAnsi="宋体"/>
      <w:sz w:val="18"/>
      <w:szCs w:val="18"/>
    </w:rPr>
  </w:style>
  <w:style w:type="character" w:customStyle="1" w:styleId="22">
    <w:name w:val="页眉 Char"/>
    <w:basedOn w:val="15"/>
    <w:link w:val="12"/>
    <w:qFormat/>
    <w:uiPriority w:val="0"/>
    <w:rPr>
      <w:rFonts w:ascii="宋体" w:hAnsi="宋体"/>
      <w:sz w:val="18"/>
      <w:szCs w:val="18"/>
    </w:rPr>
  </w:style>
  <w:style w:type="character" w:customStyle="1" w:styleId="23">
    <w:name w:val="页脚 Char"/>
    <w:basedOn w:val="15"/>
    <w:link w:val="11"/>
    <w:qFormat/>
    <w:uiPriority w:val="0"/>
    <w:rPr>
      <w:rFonts w:ascii="宋体" w:hAnsi="宋体"/>
      <w:sz w:val="18"/>
      <w:szCs w:val="18"/>
    </w:rPr>
  </w:style>
  <w:style w:type="character" w:customStyle="1" w:styleId="24">
    <w:name w:val="批注文字 Char"/>
    <w:basedOn w:val="15"/>
    <w:link w:val="9"/>
    <w:qFormat/>
    <w:uiPriority w:val="0"/>
    <w:rPr>
      <w:rFonts w:ascii="宋体" w:hAnsi="宋体"/>
      <w:sz w:val="24"/>
      <w:szCs w:val="24"/>
    </w:rPr>
  </w:style>
  <w:style w:type="character" w:customStyle="1" w:styleId="25">
    <w:name w:val="批注主题 Char"/>
    <w:basedOn w:val="24"/>
    <w:link w:val="8"/>
    <w:qFormat/>
    <w:uiPriority w:val="0"/>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4290</Words>
  <Characters>4519</Characters>
  <Lines>51</Lines>
  <Paragraphs>14</Paragraphs>
  <ScaleCrop>false</ScaleCrop>
  <LinksUpToDate>false</LinksUpToDate>
  <CharactersWithSpaces>4566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2021-10-21T01:51:00Z</dcterms:created>
  <dc:creator>Administrator</dc:creator>
  <cp:lastModifiedBy>Administrator</cp:lastModifiedBy>
  <dcterms:modified xsi:type="dcterms:W3CDTF">2022-08-29T13:03:13Z</dcterms:modified>
  <dc:title>中共綦江区委政法委员会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63BE93488A6246FA9834E2C1BD1E56F4</vt:lpwstr>
  </property>
</Properties>
</file>