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hint="eastAsia" w:ascii="方正小标宋_GBK" w:hAnsi="宋体" w:eastAsia="方正小标宋_GBK" w:cs="宋体"/>
          <w:kern w:val="0"/>
          <w:sz w:val="36"/>
          <w:szCs w:val="36"/>
        </w:rPr>
      </w:pPr>
      <w:bookmarkStart w:id="0" w:name="_GoBack"/>
      <w:bookmarkEnd w:id="0"/>
    </w:p>
    <w:p>
      <w:pPr>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重庆市</w:t>
      </w:r>
      <w:r>
        <w:rPr>
          <w:rFonts w:hint="eastAsia" w:ascii="Times New Roman" w:hAnsi="Times New Roman" w:eastAsia="方正小标宋_GBK" w:cs="Times New Roman"/>
          <w:sz w:val="44"/>
          <w:szCs w:val="44"/>
          <w:lang w:eastAsia="zh-CN"/>
        </w:rPr>
        <w:t>綦江区财政局</w:t>
      </w:r>
      <w:r>
        <w:rPr>
          <w:rFonts w:ascii="Times New Roman" w:hAnsi="Times New Roman" w:eastAsia="方正小标宋_GBK" w:cs="Times New Roman"/>
          <w:sz w:val="44"/>
          <w:szCs w:val="44"/>
        </w:rPr>
        <w:t>行政权力、责任事项目录</w:t>
      </w:r>
      <w:r>
        <w:rPr>
          <w:rFonts w:hint="eastAsia" w:ascii="Times New Roman" w:hAnsi="Times New Roman" w:eastAsia="方正小标宋_GBK" w:cs="Times New Roman"/>
          <w:sz w:val="44"/>
          <w:szCs w:val="44"/>
          <w:lang w:eastAsia="zh-CN"/>
        </w:rPr>
        <w:t>（审批类）</w:t>
      </w:r>
    </w:p>
    <w:tbl>
      <w:tblPr>
        <w:tblStyle w:val="4"/>
        <w:tblW w:w="14053" w:type="dxa"/>
        <w:tblInd w:w="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7"/>
        <w:gridCol w:w="858"/>
        <w:gridCol w:w="1270"/>
        <w:gridCol w:w="1270"/>
        <w:gridCol w:w="1270"/>
        <w:gridCol w:w="1794"/>
        <w:gridCol w:w="2033"/>
        <w:gridCol w:w="2525"/>
        <w:gridCol w:w="1318"/>
        <w:gridCol w:w="11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trPr>
        <w:tc>
          <w:tcPr>
            <w:tcW w:w="58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方正黑体_GBK" w:cs="Times New Roman"/>
                <w:bCs/>
                <w:kern w:val="0"/>
                <w:sz w:val="22"/>
              </w:rPr>
            </w:pPr>
            <w:r>
              <w:rPr>
                <w:rFonts w:ascii="Times New Roman" w:hAnsi="Times New Roman" w:eastAsia="方正黑体_GBK" w:cs="Times New Roman"/>
                <w:bCs/>
                <w:kern w:val="0"/>
                <w:sz w:val="22"/>
              </w:rPr>
              <w:t>序号</w:t>
            </w:r>
          </w:p>
        </w:tc>
        <w:tc>
          <w:tcPr>
            <w:tcW w:w="85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cs="Times New Roman"/>
                <w:bCs/>
                <w:kern w:val="0"/>
                <w:sz w:val="22"/>
              </w:rPr>
            </w:pPr>
            <w:r>
              <w:rPr>
                <w:rFonts w:ascii="Times New Roman" w:hAnsi="Times New Roman" w:eastAsia="方正黑体_GBK" w:cs="Times New Roman"/>
                <w:bCs/>
                <w:kern w:val="0"/>
                <w:sz w:val="22"/>
              </w:rPr>
              <w:t>审批</w:t>
            </w:r>
            <w:r>
              <w:rPr>
                <w:rFonts w:ascii="Times New Roman" w:hAnsi="Times New Roman" w:eastAsia="方正黑体_GBK" w:cs="Times New Roman"/>
                <w:bCs/>
                <w:kern w:val="0"/>
                <w:sz w:val="22"/>
              </w:rPr>
              <w:br w:type="textWrapping"/>
            </w:r>
            <w:r>
              <w:rPr>
                <w:rFonts w:ascii="Times New Roman" w:hAnsi="Times New Roman" w:eastAsia="方正黑体_GBK" w:cs="Times New Roman"/>
                <w:bCs/>
                <w:kern w:val="0"/>
                <w:sz w:val="22"/>
              </w:rPr>
              <w:t>部门</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方正黑体_GBK" w:cs="Times New Roman"/>
                <w:bCs/>
                <w:kern w:val="0"/>
                <w:sz w:val="22"/>
                <w:lang w:val="en-US" w:eastAsia="zh-CN"/>
              </w:rPr>
            </w:pPr>
            <w:r>
              <w:rPr>
                <w:rFonts w:hint="eastAsia" w:ascii="Times New Roman" w:hAnsi="Times New Roman" w:eastAsia="方正黑体_GBK" w:cs="Times New Roman"/>
                <w:bCs/>
                <w:kern w:val="0"/>
                <w:sz w:val="22"/>
                <w:lang w:val="en-US" w:eastAsia="zh-CN"/>
              </w:rPr>
              <w:t>权力编码</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方正黑体_GBK" w:cs="Times New Roman"/>
                <w:bCs/>
                <w:kern w:val="0"/>
                <w:sz w:val="22"/>
                <w:lang w:val="en-US" w:eastAsia="zh-CN"/>
              </w:rPr>
            </w:pPr>
            <w:r>
              <w:rPr>
                <w:rFonts w:hint="eastAsia" w:ascii="Times New Roman" w:hAnsi="Times New Roman" w:eastAsia="方正黑体_GBK" w:cs="Times New Roman"/>
                <w:bCs/>
                <w:kern w:val="0"/>
                <w:sz w:val="22"/>
                <w:lang w:val="en-US" w:eastAsia="zh-CN"/>
              </w:rPr>
              <w:t>权力类别</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cs="Times New Roman"/>
                <w:bCs/>
                <w:kern w:val="0"/>
                <w:sz w:val="22"/>
              </w:rPr>
            </w:pPr>
            <w:r>
              <w:rPr>
                <w:rFonts w:ascii="Times New Roman" w:hAnsi="Times New Roman" w:eastAsia="方正黑体_GBK" w:cs="Times New Roman"/>
                <w:bCs/>
                <w:kern w:val="0"/>
                <w:sz w:val="22"/>
              </w:rPr>
              <w:t>事项名称</w:t>
            </w:r>
          </w:p>
        </w:tc>
        <w:tc>
          <w:tcPr>
            <w:tcW w:w="17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cs="Times New Roman"/>
                <w:bCs/>
                <w:kern w:val="0"/>
                <w:sz w:val="22"/>
              </w:rPr>
            </w:pPr>
            <w:r>
              <w:rPr>
                <w:rFonts w:ascii="Times New Roman" w:hAnsi="Times New Roman" w:eastAsia="方正黑体_GBK" w:cs="Times New Roman"/>
                <w:bCs/>
                <w:kern w:val="0"/>
                <w:sz w:val="22"/>
              </w:rPr>
              <w:t>子项</w:t>
            </w:r>
          </w:p>
        </w:tc>
        <w:tc>
          <w:tcPr>
            <w:tcW w:w="20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cs="Times New Roman"/>
                <w:bCs/>
                <w:kern w:val="0"/>
                <w:sz w:val="22"/>
              </w:rPr>
            </w:pPr>
            <w:r>
              <w:rPr>
                <w:rFonts w:ascii="Times New Roman" w:hAnsi="Times New Roman" w:eastAsia="方正黑体_GBK" w:cs="Times New Roman"/>
                <w:bCs/>
                <w:kern w:val="0"/>
                <w:sz w:val="22"/>
              </w:rPr>
              <w:t>设定依据</w:t>
            </w:r>
          </w:p>
        </w:tc>
        <w:tc>
          <w:tcPr>
            <w:tcW w:w="25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cs="Times New Roman"/>
                <w:bCs/>
                <w:kern w:val="0"/>
                <w:sz w:val="22"/>
              </w:rPr>
            </w:pPr>
            <w:r>
              <w:rPr>
                <w:rFonts w:ascii="Times New Roman" w:hAnsi="Times New Roman" w:eastAsia="方正黑体_GBK" w:cs="Times New Roman"/>
                <w:bCs/>
                <w:kern w:val="0"/>
                <w:sz w:val="22"/>
              </w:rPr>
              <w:t>追责情形</w:t>
            </w:r>
          </w:p>
        </w:tc>
        <w:tc>
          <w:tcPr>
            <w:tcW w:w="13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cs="Times New Roman"/>
                <w:bCs/>
                <w:kern w:val="0"/>
                <w:sz w:val="22"/>
              </w:rPr>
            </w:pPr>
            <w:r>
              <w:rPr>
                <w:rFonts w:ascii="Times New Roman" w:hAnsi="Times New Roman" w:eastAsia="方正黑体_GBK" w:cs="Times New Roman"/>
                <w:bCs/>
                <w:kern w:val="0"/>
                <w:sz w:val="22"/>
              </w:rPr>
              <w:t>追责依据</w:t>
            </w:r>
          </w:p>
        </w:tc>
        <w:tc>
          <w:tcPr>
            <w:tcW w:w="112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cs="Times New Roman"/>
                <w:bCs/>
                <w:kern w:val="0"/>
                <w:sz w:val="22"/>
              </w:rPr>
            </w:pPr>
            <w:r>
              <w:rPr>
                <w:rFonts w:ascii="Times New Roman" w:hAnsi="Times New Roman" w:eastAsia="方正黑体_GBK" w:cs="Times New Roman"/>
                <w:bCs/>
                <w:kern w:val="0"/>
                <w:sz w:val="22"/>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0" w:hRule="atLeast"/>
        </w:trPr>
        <w:tc>
          <w:tcPr>
            <w:tcW w:w="58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imes New Roman" w:hAnsi="Times New Roman" w:eastAsia="方正仿宋_GBK" w:cs="Times New Roman"/>
                <w:kern w:val="0"/>
                <w:sz w:val="20"/>
                <w:szCs w:val="20"/>
                <w:lang w:eastAsia="zh-CN"/>
              </w:rPr>
            </w:pPr>
            <w:r>
              <w:rPr>
                <w:rFonts w:hint="eastAsia" w:ascii="Times New Roman" w:hAnsi="Times New Roman" w:eastAsia="方正仿宋_GBK" w:cs="Times New Roman"/>
                <w:kern w:val="0"/>
                <w:sz w:val="20"/>
                <w:szCs w:val="20"/>
                <w:lang w:val="en-US" w:eastAsia="zh-CN"/>
              </w:rPr>
              <w:t>1</w:t>
            </w:r>
          </w:p>
        </w:tc>
        <w:tc>
          <w:tcPr>
            <w:tcW w:w="858"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s="Times New Roman"/>
                <w:kern w:val="0"/>
                <w:sz w:val="20"/>
                <w:szCs w:val="20"/>
                <w:lang w:eastAsia="zh-CN"/>
              </w:rPr>
            </w:pPr>
            <w:r>
              <w:rPr>
                <w:rFonts w:hint="eastAsia" w:ascii="Times New Roman" w:hAnsi="Times New Roman" w:eastAsia="方正仿宋_GBK" w:cs="Times New Roman"/>
                <w:kern w:val="0"/>
                <w:sz w:val="20"/>
                <w:szCs w:val="20"/>
                <w:lang w:eastAsia="zh-CN"/>
              </w:rPr>
              <w:t>区财政局</w:t>
            </w:r>
          </w:p>
        </w:tc>
        <w:tc>
          <w:tcPr>
            <w:tcW w:w="1270"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s="Times New Roman"/>
                <w:kern w:val="0"/>
                <w:sz w:val="20"/>
                <w:szCs w:val="20"/>
                <w:lang w:val="en-US" w:eastAsia="zh-CN"/>
              </w:rPr>
            </w:pPr>
            <w:r>
              <w:rPr>
                <w:rFonts w:hint="eastAsia" w:ascii="Times New Roman" w:hAnsi="Times New Roman" w:eastAsia="方正仿宋_GBK" w:cs="Times New Roman"/>
                <w:kern w:val="0"/>
                <w:sz w:val="20"/>
                <w:szCs w:val="20"/>
                <w:lang w:val="en-US" w:eastAsia="zh-CN"/>
              </w:rPr>
              <w:t>11500222009312115F-A-001</w:t>
            </w:r>
          </w:p>
        </w:tc>
        <w:tc>
          <w:tcPr>
            <w:tcW w:w="1270"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s="Times New Roman"/>
                <w:kern w:val="0"/>
                <w:sz w:val="20"/>
                <w:szCs w:val="20"/>
                <w:lang w:eastAsia="zh-CN"/>
              </w:rPr>
            </w:pPr>
            <w:r>
              <w:rPr>
                <w:rFonts w:hint="eastAsia" w:ascii="Times New Roman" w:hAnsi="Times New Roman" w:eastAsia="方正仿宋_GBK" w:cs="Times New Roman"/>
                <w:kern w:val="0"/>
                <w:sz w:val="20"/>
                <w:szCs w:val="20"/>
                <w:lang w:eastAsia="zh-CN"/>
              </w:rPr>
              <w:t>行政许可</w:t>
            </w:r>
          </w:p>
        </w:tc>
        <w:tc>
          <w:tcPr>
            <w:tcW w:w="1270"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s="Times New Roman"/>
                <w:kern w:val="0"/>
                <w:sz w:val="20"/>
                <w:szCs w:val="20"/>
              </w:rPr>
            </w:pPr>
            <w:r>
              <w:rPr>
                <w:rFonts w:ascii="Times New Roman" w:hAnsi="Times New Roman" w:eastAsia="方正仿宋_GBK" w:cs="Times New Roman"/>
                <w:kern w:val="0"/>
                <w:sz w:val="20"/>
                <w:szCs w:val="20"/>
              </w:rPr>
              <w:t>中介机构从事会计代理记账业务审批</w:t>
            </w:r>
          </w:p>
        </w:tc>
        <w:tc>
          <w:tcPr>
            <w:tcW w:w="1794"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s="Times New Roman"/>
                <w:kern w:val="0"/>
                <w:sz w:val="20"/>
                <w:szCs w:val="20"/>
              </w:rPr>
            </w:pPr>
            <w:r>
              <w:rPr>
                <w:rFonts w:ascii="Times New Roman" w:hAnsi="Times New Roman" w:eastAsia="方正仿宋_GBK" w:cs="Times New Roman"/>
                <w:kern w:val="0"/>
                <w:sz w:val="20"/>
                <w:szCs w:val="20"/>
              </w:rPr>
              <w:t>　</w:t>
            </w:r>
          </w:p>
        </w:tc>
        <w:tc>
          <w:tcPr>
            <w:tcW w:w="2033" w:type="dxa"/>
            <w:tcBorders>
              <w:top w:val="nil"/>
              <w:left w:val="nil"/>
              <w:bottom w:val="single" w:color="auto" w:sz="4" w:space="0"/>
              <w:right w:val="single" w:color="auto" w:sz="4" w:space="0"/>
            </w:tcBorders>
            <w:vAlign w:val="center"/>
          </w:tcPr>
          <w:p>
            <w:pPr>
              <w:widowControl/>
              <w:spacing w:line="240" w:lineRule="exact"/>
              <w:jc w:val="left"/>
              <w:rPr>
                <w:rFonts w:hint="eastAsia" w:ascii="方正仿宋_GBK" w:hAnsi="宋体" w:eastAsia="方正仿宋_GBK"/>
                <w:color w:val="000000"/>
                <w:sz w:val="20"/>
                <w:szCs w:val="20"/>
                <w:lang w:val="en-US"/>
              </w:rPr>
            </w:pPr>
            <w:r>
              <w:rPr>
                <w:rFonts w:hint="eastAsia" w:ascii="方正仿宋_GBK" w:hAnsi="宋体" w:eastAsia="方正仿宋_GBK"/>
                <w:color w:val="000000"/>
                <w:sz w:val="20"/>
                <w:szCs w:val="20"/>
              </w:rPr>
              <w:t>　</w:t>
            </w:r>
            <w:r>
              <w:rPr>
                <w:rFonts w:hint="eastAsia" w:ascii="方正仿宋_GBK" w:hAnsi="宋体" w:eastAsia="方正仿宋_GBK"/>
                <w:color w:val="000000"/>
                <w:sz w:val="20"/>
                <w:szCs w:val="20"/>
                <w:lang w:val="en-US" w:eastAsia="zh-CN"/>
              </w:rPr>
              <w:t>《会计法》第三十六条：“各单位应当根据会计业务的需要，设置会计机构，或者在有关机构中设置会计人员并指定会计主管人员；不具备设置条件的，应当委托经批准设立从事会计代理记账业务的中介机构代理记账。”</w:t>
            </w:r>
          </w:p>
          <w:p>
            <w:pPr>
              <w:widowControl/>
              <w:spacing w:line="240" w:lineRule="exact"/>
              <w:jc w:val="left"/>
              <w:rPr>
                <w:rFonts w:hint="eastAsia" w:ascii="方正仿宋_GBK" w:hAnsi="宋体" w:eastAsia="方正仿宋_GBK"/>
                <w:color w:val="000000"/>
                <w:sz w:val="20"/>
                <w:szCs w:val="20"/>
              </w:rPr>
            </w:pPr>
            <w:r>
              <w:rPr>
                <w:rFonts w:hint="eastAsia" w:ascii="方正仿宋_GBK" w:hAnsi="宋体" w:eastAsia="方正仿宋_GBK"/>
                <w:color w:val="000000"/>
                <w:sz w:val="20"/>
                <w:szCs w:val="20"/>
                <w:lang w:val="en-US" w:eastAsia="zh-CN"/>
              </w:rPr>
              <w:t>《代理记账管理办法》第三条申请设立除会计师事务所以外的代理记账机构，应当经所在地的县级以上人民政府财政部门</w:t>
            </w:r>
            <w:r>
              <w:rPr>
                <w:rFonts w:hint="default" w:ascii="方正仿宋_GBK" w:hAnsi="宋体" w:eastAsia="方正仿宋_GBK"/>
                <w:color w:val="000000"/>
                <w:sz w:val="20"/>
                <w:szCs w:val="20"/>
                <w:lang w:val="en-US" w:eastAsia="zh-CN"/>
              </w:rPr>
              <w:t>(</w:t>
            </w:r>
            <w:r>
              <w:rPr>
                <w:rFonts w:hint="eastAsia" w:ascii="方正仿宋_GBK" w:hAnsi="宋体" w:eastAsia="方正仿宋_GBK"/>
                <w:color w:val="000000"/>
                <w:sz w:val="20"/>
                <w:szCs w:val="20"/>
                <w:lang w:val="en-US" w:eastAsia="zh-CN"/>
              </w:rPr>
              <w:t>以下简称审批机关</w:t>
            </w:r>
            <w:r>
              <w:rPr>
                <w:rFonts w:hint="default" w:ascii="方正仿宋_GBK" w:hAnsi="宋体" w:eastAsia="方正仿宋_GBK"/>
                <w:color w:val="000000"/>
                <w:sz w:val="20"/>
                <w:szCs w:val="20"/>
                <w:lang w:val="en-US" w:eastAsia="zh-CN"/>
              </w:rPr>
              <w:t>)</w:t>
            </w:r>
            <w:r>
              <w:rPr>
                <w:rFonts w:hint="eastAsia" w:ascii="方正仿宋_GBK" w:hAnsi="宋体" w:eastAsia="方正仿宋_GBK"/>
                <w:color w:val="000000"/>
                <w:sz w:val="20"/>
                <w:szCs w:val="20"/>
                <w:lang w:val="en-US" w:eastAsia="zh-CN"/>
              </w:rPr>
              <w:t>批准，并领取由财政部统一印制的代理记账许可证书。具体审批机关由省、自治区、直辖市、计划单列市人民政府财政部门确定。（中华人民共和国财政部令第</w:t>
            </w:r>
            <w:r>
              <w:rPr>
                <w:rFonts w:hint="default" w:ascii="方正仿宋_GBK" w:hAnsi="宋体" w:eastAsia="方正仿宋_GBK"/>
                <w:color w:val="000000"/>
                <w:sz w:val="20"/>
                <w:szCs w:val="20"/>
                <w:lang w:val="en-US" w:eastAsia="zh-CN"/>
              </w:rPr>
              <w:t>27</w:t>
            </w:r>
            <w:r>
              <w:rPr>
                <w:rFonts w:hint="eastAsia" w:ascii="方正仿宋_GBK" w:hAnsi="宋体" w:eastAsia="方正仿宋_GBK"/>
                <w:color w:val="000000"/>
                <w:sz w:val="20"/>
                <w:szCs w:val="20"/>
                <w:lang w:val="en-US" w:eastAsia="zh-CN"/>
              </w:rPr>
              <w:t>号）</w:t>
            </w:r>
            <w:r>
              <w:rPr>
                <w:rFonts w:hint="default" w:ascii="方正仿宋_GBK" w:hAnsi="宋体" w:eastAsia="方正仿宋_GBK"/>
                <w:color w:val="000000"/>
                <w:sz w:val="20"/>
                <w:szCs w:val="20"/>
                <w:lang w:val="en-US" w:eastAsia="zh-CN"/>
              </w:rPr>
              <w:t xml:space="preserve"> </w:t>
            </w:r>
          </w:p>
          <w:p>
            <w:pPr>
              <w:widowControl/>
              <w:spacing w:line="240" w:lineRule="exact"/>
              <w:jc w:val="left"/>
              <w:rPr>
                <w:rFonts w:ascii="Times New Roman" w:hAnsi="Times New Roman" w:eastAsia="方正仿宋_GBK" w:cs="Times New Roman"/>
                <w:kern w:val="0"/>
                <w:sz w:val="20"/>
                <w:szCs w:val="20"/>
              </w:rPr>
            </w:pPr>
            <w:r>
              <w:rPr>
                <w:rFonts w:hint="eastAsia" w:ascii="方正仿宋_GBK" w:hAnsi="宋体" w:eastAsia="方正仿宋_GBK"/>
                <w:color w:val="000000"/>
                <w:sz w:val="20"/>
                <w:szCs w:val="20"/>
              </w:rPr>
              <w:t xml:space="preserve"> 二、渝财规[2016]1号 第一条 除会计师事务所以外的机构从事代理</w:t>
            </w:r>
            <w:r>
              <w:rPr>
                <w:rFonts w:hint="eastAsia" w:ascii="方正仿宋_GBK" w:hAnsi="宋体" w:eastAsia="方正仿宋_GBK"/>
                <w:color w:val="000000"/>
                <w:sz w:val="20"/>
                <w:szCs w:val="20"/>
                <w:lang w:eastAsia="zh-CN"/>
              </w:rPr>
              <w:t>记账</w:t>
            </w:r>
            <w:r>
              <w:rPr>
                <w:rFonts w:hint="eastAsia" w:ascii="方正仿宋_GBK" w:hAnsi="宋体" w:eastAsia="方正仿宋_GBK"/>
                <w:color w:val="000000"/>
                <w:sz w:val="20"/>
                <w:szCs w:val="20"/>
              </w:rPr>
              <w:t>业务，应当经区县（自治县）财政局批准，并领取由财政部统一规定样式的代理</w:t>
            </w:r>
            <w:r>
              <w:rPr>
                <w:rFonts w:hint="eastAsia" w:ascii="方正仿宋_GBK" w:hAnsi="宋体" w:eastAsia="方正仿宋_GBK"/>
                <w:color w:val="000000"/>
                <w:sz w:val="20"/>
                <w:szCs w:val="20"/>
                <w:lang w:eastAsia="zh-CN"/>
              </w:rPr>
              <w:t>记账</w:t>
            </w:r>
            <w:r>
              <w:rPr>
                <w:rFonts w:hint="eastAsia" w:ascii="方正仿宋_GBK" w:hAnsi="宋体" w:eastAsia="方正仿宋_GBK"/>
                <w:color w:val="000000"/>
                <w:sz w:val="20"/>
                <w:szCs w:val="20"/>
              </w:rPr>
              <w:t>许可证书</w:t>
            </w:r>
          </w:p>
        </w:tc>
        <w:tc>
          <w:tcPr>
            <w:tcW w:w="2525" w:type="dxa"/>
            <w:tcBorders>
              <w:top w:val="nil"/>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方正仿宋_GBK" w:cs="Times New Roman"/>
                <w:kern w:val="0"/>
                <w:sz w:val="18"/>
                <w:szCs w:val="18"/>
              </w:rPr>
            </w:pPr>
            <w:r>
              <w:rPr>
                <w:rFonts w:ascii="Times New Roman" w:hAnsi="Times New Roman" w:eastAsia="方正仿宋_GBK" w:cs="Times New Roman"/>
                <w:kern w:val="0"/>
                <w:sz w:val="18"/>
                <w:szCs w:val="18"/>
              </w:rPr>
              <w:t xml:space="preserve">    一、违反《行政许可法》等法律、法规、规章的追责情形</w:t>
            </w:r>
            <w:r>
              <w:rPr>
                <w:rFonts w:ascii="Times New Roman" w:hAnsi="Times New Roman" w:eastAsia="方正仿宋_GBK" w:cs="Times New Roman"/>
                <w:kern w:val="0"/>
                <w:sz w:val="18"/>
                <w:szCs w:val="18"/>
              </w:rPr>
              <w:br w:type="textWrapping"/>
            </w:r>
            <w:r>
              <w:rPr>
                <w:rFonts w:ascii="Times New Roman" w:hAnsi="Times New Roman" w:eastAsia="方正仿宋_GBK" w:cs="Times New Roman"/>
                <w:kern w:val="0"/>
                <w:sz w:val="18"/>
                <w:szCs w:val="18"/>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ascii="Times New Roman" w:hAnsi="Times New Roman" w:eastAsia="方正仿宋_GBK" w:cs="Times New Roman"/>
                <w:kern w:val="0"/>
                <w:sz w:val="18"/>
                <w:szCs w:val="18"/>
              </w:rPr>
              <w:br w:type="textWrapping"/>
            </w:r>
            <w:r>
              <w:rPr>
                <w:rFonts w:ascii="Times New Roman" w:hAnsi="Times New Roman" w:eastAsia="方正仿宋_GBK" w:cs="Times New Roman"/>
                <w:kern w:val="0"/>
                <w:sz w:val="18"/>
                <w:szCs w:val="18"/>
              </w:rPr>
              <w:t xml:space="preserve">   二、违反《公务员法》、《行政监察法》、《行政机关公务员处分条例》、《事业单位工作人员处分暂行规定》等的追责情形。</w:t>
            </w:r>
            <w:r>
              <w:rPr>
                <w:rFonts w:ascii="Times New Roman" w:hAnsi="Times New Roman" w:eastAsia="方正仿宋_GBK" w:cs="Times New Roman"/>
                <w:kern w:val="0"/>
                <w:sz w:val="18"/>
                <w:szCs w:val="18"/>
              </w:rPr>
              <w:br w:type="textWrapping"/>
            </w:r>
            <w:r>
              <w:rPr>
                <w:rFonts w:ascii="Times New Roman" w:hAnsi="Times New Roman" w:eastAsia="方正仿宋_GBK" w:cs="Times New Roman"/>
                <w:kern w:val="0"/>
                <w:sz w:val="18"/>
                <w:szCs w:val="18"/>
              </w:rPr>
              <w:t xml:space="preserve">   三、各单项法律法规规定的追责情形……</w:t>
            </w:r>
          </w:p>
        </w:tc>
        <w:tc>
          <w:tcPr>
            <w:tcW w:w="1318" w:type="dxa"/>
            <w:tcBorders>
              <w:top w:val="nil"/>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方正仿宋_GBK" w:cs="Times New Roman"/>
                <w:kern w:val="0"/>
                <w:sz w:val="18"/>
                <w:szCs w:val="18"/>
              </w:rPr>
            </w:pPr>
            <w:r>
              <w:rPr>
                <w:rFonts w:ascii="Times New Roman" w:hAnsi="Times New Roman" w:eastAsia="方正仿宋_GBK" w:cs="Times New Roman"/>
                <w:kern w:val="0"/>
                <w:sz w:val="18"/>
                <w:szCs w:val="18"/>
              </w:rPr>
              <w:t xml:space="preserve">    一、《行政许可法》及专项法律法规规章追责依据</w:t>
            </w:r>
            <w:r>
              <w:rPr>
                <w:rFonts w:ascii="Times New Roman" w:hAnsi="Times New Roman" w:eastAsia="方正仿宋_GBK" w:cs="Times New Roman"/>
                <w:kern w:val="0"/>
                <w:sz w:val="18"/>
                <w:szCs w:val="18"/>
              </w:rPr>
              <w:br w:type="textWrapping"/>
            </w:r>
            <w:r>
              <w:rPr>
                <w:rFonts w:ascii="Times New Roman" w:hAnsi="Times New Roman" w:eastAsia="方正仿宋_GBK" w:cs="Times New Roman"/>
                <w:kern w:val="0"/>
                <w:sz w:val="18"/>
                <w:szCs w:val="18"/>
              </w:rPr>
              <w:t xml:space="preserve">   《行政许可法》第七十一条至七十七条；</w:t>
            </w:r>
            <w:r>
              <w:rPr>
                <w:rFonts w:ascii="Times New Roman" w:hAnsi="Times New Roman" w:eastAsia="方正仿宋_GBK" w:cs="Times New Roman"/>
                <w:kern w:val="0"/>
                <w:sz w:val="18"/>
                <w:szCs w:val="18"/>
              </w:rPr>
              <w:br w:type="textWrapping"/>
            </w:r>
            <w:r>
              <w:rPr>
                <w:rFonts w:ascii="Times New Roman" w:hAnsi="Times New Roman" w:eastAsia="方正仿宋_GBK" w:cs="Times New Roman"/>
                <w:kern w:val="0"/>
                <w:sz w:val="18"/>
                <w:szCs w:val="18"/>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ascii="Times New Roman" w:hAnsi="Times New Roman" w:eastAsia="方正仿宋_GBK" w:cs="Times New Roman"/>
                <w:kern w:val="0"/>
                <w:sz w:val="18"/>
                <w:szCs w:val="18"/>
              </w:rPr>
              <w:br w:type="textWrapping"/>
            </w:r>
            <w:r>
              <w:rPr>
                <w:rFonts w:ascii="Times New Roman" w:hAnsi="Times New Roman" w:eastAsia="方正仿宋_GBK" w:cs="Times New Roman"/>
                <w:kern w:val="0"/>
                <w:sz w:val="18"/>
                <w:szCs w:val="18"/>
              </w:rPr>
              <w:t xml:space="preserve">    三、各单项法律法规规定的追责依据……</w:t>
            </w:r>
          </w:p>
        </w:tc>
        <w:tc>
          <w:tcPr>
            <w:tcW w:w="1128"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s="Times New Roman"/>
                <w:kern w:val="0"/>
                <w:sz w:val="20"/>
                <w:szCs w:val="20"/>
              </w:rPr>
            </w:pPr>
            <w:r>
              <w:rPr>
                <w:rFonts w:ascii="Times New Roman" w:hAnsi="Times New Roman" w:eastAsia="方正仿宋_GBK" w:cs="Times New Roman"/>
                <w:kern w:val="0"/>
                <w:sz w:val="20"/>
                <w:szCs w:val="20"/>
              </w:rPr>
              <w:t>　</w:t>
            </w:r>
          </w:p>
        </w:tc>
      </w:tr>
    </w:tbl>
    <w:p>
      <w:pPr>
        <w:rPr>
          <w:rFonts w:ascii="Times New Roman" w:hAnsi="Times New Roman" w:cs="Times New Roman"/>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3B37316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2065</Words>
  <Characters>11772</Characters>
  <Lines>98</Lines>
  <Paragraphs>27</Paragraphs>
  <TotalTime>0</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2016-06-20T15:57:00Z</dcterms:created>
  <dc:creator>ASUS</dc:creator>
  <cp:lastModifiedBy>Administrator</cp:lastModifiedBy>
  <dcterms:modified xsi:type="dcterms:W3CDTF">2025-08-21T09:50:06Z</dcterms:modified>
  <dc:title>重庆市綦江区财政局行政权力、责任事项通用参考目录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