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Pr>
        <w:jc w:val="center"/>
        <w:rPr>
          <w:rFonts w:hint="eastAsia"/>
        </w:rPr>
      </w:pPr>
      <w:r>
        <w:rPr>
          <w:rFonts w:hint="eastAsia"/>
        </w:rPr>
        <w:t>綦江府办发〔</w:t>
      </w:r>
      <w:bookmarkStart w:id="0" w:name="公文年"/>
      <w:r>
        <w:t>2019</w:t>
      </w:r>
      <w:bookmarkEnd w:id="0"/>
      <w:r>
        <w:rPr>
          <w:rFonts w:hint="eastAsia"/>
        </w:rPr>
        <w:t>〕60号</w:t>
      </w:r>
      <w:bookmarkStart w:id="4" w:name="_GoBack"/>
      <w:bookmarkEnd w:id="4"/>
    </w:p>
    <w:p>
      <w:pPr>
        <w:jc w:val="center"/>
        <w:rPr>
          <w:rFonts w:hint="eastAsia" w:eastAsia="方正楷体_GBK"/>
        </w:rPr>
      </w:pPr>
    </w:p>
    <w:p>
      <w:pPr>
        <w:rPr>
          <w:rFonts w:hint="eastAsia"/>
        </w:rPr>
      </w:pPr>
    </w:p>
    <w:p>
      <w:pPr>
        <w:spacing w:line="579" w:lineRule="exact"/>
        <w:jc w:val="center"/>
        <w:rPr>
          <w:rFonts w:hint="eastAsia" w:ascii="方正小标宋_GBK" w:eastAsia="方正小标宋_GBK"/>
          <w:sz w:val="44"/>
          <w:szCs w:val="44"/>
        </w:rPr>
      </w:pPr>
      <w:bookmarkStart w:id="1" w:name="正文"/>
      <w:r>
        <w:rPr>
          <w:rFonts w:hint="eastAsia" w:ascii="方正小标宋_GBK" w:eastAsia="方正小标宋_GBK"/>
          <w:sz w:val="44"/>
          <w:szCs w:val="44"/>
        </w:rPr>
        <w:t>重庆市綦江区人民政府办公室</w:t>
      </w:r>
    </w:p>
    <w:p>
      <w:pPr>
        <w:spacing w:line="579" w:lineRule="exact"/>
        <w:jc w:val="center"/>
        <w:rPr>
          <w:rFonts w:hint="eastAsia" w:ascii="方正小标宋_GBK" w:eastAsia="方正小标宋_GBK"/>
          <w:sz w:val="44"/>
          <w:szCs w:val="44"/>
        </w:rPr>
      </w:pPr>
      <w:r>
        <w:rPr>
          <w:rFonts w:hint="eastAsia" w:ascii="方正小标宋_GBK" w:eastAsia="方正小标宋_GBK"/>
          <w:sz w:val="44"/>
          <w:szCs w:val="44"/>
        </w:rPr>
        <w:t>关于印发区政府规范性文件制定程序</w:t>
      </w:r>
    </w:p>
    <w:p>
      <w:pPr>
        <w:spacing w:line="579" w:lineRule="exact"/>
        <w:jc w:val="center"/>
        <w:rPr>
          <w:rFonts w:hint="eastAsia" w:ascii="方正小标宋_GBK" w:eastAsia="方正小标宋_GBK"/>
          <w:sz w:val="44"/>
          <w:szCs w:val="44"/>
        </w:rPr>
      </w:pPr>
      <w:r>
        <w:rPr>
          <w:rFonts w:hint="eastAsia" w:ascii="方正小标宋_GBK" w:eastAsia="方正小标宋_GBK"/>
          <w:sz w:val="44"/>
          <w:szCs w:val="44"/>
        </w:rPr>
        <w:t>管理规定的通知</w:t>
      </w:r>
    </w:p>
    <w:p>
      <w:pPr>
        <w:ind w:firstLine="632" w:firstLineChars="200"/>
        <w:rPr>
          <w:rFonts w:hint="eastAsia"/>
        </w:rPr>
      </w:pPr>
    </w:p>
    <w:p>
      <w:pPr>
        <w:jc w:val="left"/>
        <w:rPr>
          <w:rFonts w:hint="eastAsia"/>
        </w:rPr>
      </w:pPr>
      <w:r>
        <w:rPr>
          <w:rFonts w:hint="eastAsia"/>
        </w:rPr>
        <w:t>各街道办事处、各镇人民政府，区政府各部门，有关单位：</w:t>
      </w:r>
    </w:p>
    <w:p>
      <w:pPr>
        <w:ind w:firstLine="632" w:firstLineChars="200"/>
        <w:rPr>
          <w:rFonts w:hint="eastAsia"/>
        </w:rPr>
      </w:pPr>
      <w:r>
        <w:rPr>
          <w:rFonts w:hint="eastAsia"/>
        </w:rPr>
        <w:t>《区政府规范性文件制定程序管理规定》已经区政府同意，现印发给你们，请遵照执行。</w:t>
      </w:r>
    </w:p>
    <w:p>
      <w:pPr>
        <w:ind w:firstLine="632" w:firstLineChars="200"/>
        <w:rPr>
          <w:rFonts w:hint="eastAsia"/>
          <w:szCs w:val="32"/>
        </w:rPr>
      </w:pPr>
      <w:r>
        <w:rPr>
          <w:rFonts w:hint="eastAsia"/>
          <w:szCs w:val="32"/>
          <w:lang/>
        </w:rPr>
        <w:pict>
          <v:shape id="SignatureCtrl1" o:spid="_x0000_s1028" o:spt="201" type="#_x0000_t201" style="position:absolute;left:0pt;margin-left:328.15pt;margin-top:595.6pt;height:0.75pt;width:0.75pt;mso-position-horizontal-relative:page;mso-position-vertical-relative:page;z-index:251659264;mso-width-relative:page;mso-height-relative:page;" o:ole="t" filled="f" stroked="f" coordsize="21600,21600">
            <v:path/>
            <v:fill on="f" focussize="0,0"/>
            <v:stroke on="f"/>
            <v:imagedata r:id="rId11" o:title=""/>
            <o:lock v:ext="edit" grouping="f" rotation="f" text="f" aspectratio="t"/>
          </v:shape>
          <w:control r:id="rId10" w:name="SignatureCtrl1" w:shapeid="SignatureCtrl1"/>
        </w:pict>
      </w:r>
      <w:r>
        <w:rPr>
          <w:rFonts w:hint="eastAsia"/>
          <w:szCs w:val="32"/>
        </w:rPr>
        <w:t xml:space="preserve">                    </w:t>
      </w:r>
    </w:p>
    <w:p>
      <w:pPr>
        <w:ind w:firstLine="632" w:firstLineChars="200"/>
        <w:rPr>
          <w:rFonts w:hint="eastAsia"/>
          <w:szCs w:val="32"/>
        </w:rPr>
      </w:pPr>
    </w:p>
    <w:p>
      <w:pPr>
        <w:ind w:firstLine="632" w:firstLineChars="200"/>
        <w:rPr>
          <w:rFonts w:hint="eastAsia"/>
          <w:szCs w:val="32"/>
        </w:rPr>
      </w:pPr>
    </w:p>
    <w:p>
      <w:pPr>
        <w:ind w:firstLine="3476" w:firstLineChars="1100"/>
        <w:rPr>
          <w:rFonts w:hint="eastAsia"/>
          <w:szCs w:val="32"/>
        </w:rPr>
      </w:pPr>
      <w:r>
        <w:rPr>
          <w:rFonts w:hint="eastAsia"/>
          <w:szCs w:val="32"/>
        </w:rPr>
        <w:t xml:space="preserve">  重庆市綦江区人民政府办公室</w:t>
      </w:r>
    </w:p>
    <w:p>
      <w:pPr>
        <w:ind w:right="1264" w:rightChars="400" w:firstLine="3165"/>
        <w:jc w:val="right"/>
        <w:rPr>
          <w:rFonts w:hint="eastAsia"/>
          <w:szCs w:val="32"/>
        </w:rPr>
      </w:pPr>
      <w:r>
        <w:rPr>
          <w:rFonts w:hint="eastAsia"/>
          <w:szCs w:val="32"/>
        </w:rPr>
        <w:t>2019年12月31日</w:t>
      </w:r>
    </w:p>
    <w:bookmarkEnd w:id="1"/>
    <w:p>
      <w:pPr>
        <w:spacing w:line="579" w:lineRule="exact"/>
        <w:jc w:val="center"/>
        <w:rPr>
          <w:rFonts w:hint="eastAsia" w:ascii="方正小标宋_GBK" w:eastAsia="方正小标宋_GBK"/>
          <w:sz w:val="44"/>
          <w:szCs w:val="44"/>
        </w:rPr>
      </w:pPr>
    </w:p>
    <w:p>
      <w:pPr>
        <w:spacing w:line="579" w:lineRule="exact"/>
        <w:jc w:val="center"/>
        <w:rPr>
          <w:rFonts w:hint="eastAsia" w:ascii="方正小标宋_GBK" w:eastAsia="方正小标宋_GBK"/>
          <w:sz w:val="44"/>
          <w:szCs w:val="44"/>
        </w:rPr>
      </w:pPr>
      <w:r>
        <w:rPr>
          <w:rFonts w:hint="eastAsia" w:ascii="方正小标宋_GBK" w:eastAsia="方正小标宋_GBK"/>
          <w:sz w:val="44"/>
          <w:szCs w:val="44"/>
        </w:rPr>
        <w:t>区政府规范性文件制定程序管理规定</w:t>
      </w:r>
    </w:p>
    <w:p>
      <w:pPr>
        <w:ind w:firstLine="632" w:firstLineChars="200"/>
        <w:rPr>
          <w:rFonts w:hint="eastAsia" w:ascii="方正仿宋_GBK"/>
        </w:rPr>
      </w:pPr>
    </w:p>
    <w:p>
      <w:pPr>
        <w:ind w:firstLine="632" w:firstLineChars="200"/>
        <w:rPr>
          <w:rFonts w:hint="eastAsia"/>
        </w:rPr>
      </w:pPr>
      <w:r>
        <w:rPr>
          <w:rFonts w:hint="eastAsia" w:ascii="方正黑体_GBK" w:eastAsia="方正黑体_GBK"/>
        </w:rPr>
        <w:t xml:space="preserve">第一条  </w:t>
      </w:r>
      <w:r>
        <w:rPr>
          <w:rFonts w:hint="eastAsia"/>
        </w:rPr>
        <w:t>为进一步加强区政府规范性文件管理，提高区政府规范性文件制定质量，推进法治政府建设，根据《重庆市行政规范性文件管理办法》（重庆市人民政府令</w:t>
      </w:r>
      <w:r>
        <w:t>329</w:t>
      </w:r>
      <w:r>
        <w:rPr>
          <w:rFonts w:hint="eastAsia"/>
        </w:rPr>
        <w:t>号）规定，结合我区实际，制定本规定。</w:t>
      </w:r>
    </w:p>
    <w:p>
      <w:pPr>
        <w:ind w:firstLine="632" w:firstLineChars="200"/>
        <w:rPr>
          <w:rFonts w:hint="eastAsia"/>
        </w:rPr>
      </w:pPr>
      <w:r>
        <w:rPr>
          <w:rFonts w:hint="eastAsia" w:ascii="方正黑体_GBK" w:eastAsia="方正黑体_GBK"/>
        </w:rPr>
        <w:t xml:space="preserve">第二条 </w:t>
      </w:r>
      <w:r>
        <w:rPr>
          <w:rFonts w:hint="eastAsia"/>
        </w:rPr>
        <w:t xml:space="preserve"> 本规定所称区政府行政规范性文件，是指区政府或者区政府授权区政府办公室，依照法定权限、程序制定并公开发布，涉及公民、法人和其他组织权利义务，具有普遍约束力，在一定期限内反复适用的公文。</w:t>
      </w:r>
    </w:p>
    <w:p>
      <w:pPr>
        <w:ind w:firstLine="632" w:firstLineChars="200"/>
        <w:rPr>
          <w:rFonts w:hint="eastAsia"/>
        </w:rPr>
      </w:pPr>
      <w:r>
        <w:rPr>
          <w:rFonts w:hint="eastAsia" w:ascii="方正黑体_GBK" w:eastAsia="方正黑体_GBK"/>
        </w:rPr>
        <w:t xml:space="preserve">第三条 </w:t>
      </w:r>
      <w:r>
        <w:rPr>
          <w:rFonts w:hint="eastAsia"/>
        </w:rPr>
        <w:t xml:space="preserve"> 各街道办事处、各镇人民政府、区政府各部门、在綦市属机构或区政府指定的有关单位为区政府行政规范性文件的起草单位。起草单位具体负责以下流程事项：</w:t>
      </w:r>
    </w:p>
    <w:p>
      <w:pPr>
        <w:ind w:firstLine="632" w:firstLineChars="200"/>
        <w:rPr>
          <w:rFonts w:hint="eastAsia"/>
        </w:rPr>
      </w:pPr>
      <w:r>
        <w:rPr>
          <w:rFonts w:hint="eastAsia"/>
        </w:rPr>
        <w:t>（一）必要性和可行性调研。起草单位必须对制定区政府行政规范性文件的必要性、可行性进行深入研究，对所要解决的问题，拟确立的主要措施、实施效果等内容进行广泛调研，并形成调研结果。涉及重大行政决策事项或者直接关系人民群众切身利益，可能引起社会反响的，起草单位应当依据相关规定进行社会稳定风险评估。</w:t>
      </w:r>
    </w:p>
    <w:p>
      <w:pPr>
        <w:ind w:firstLine="632" w:firstLineChars="200"/>
        <w:rPr>
          <w:rFonts w:hint="eastAsia"/>
        </w:rPr>
      </w:pPr>
      <w:r>
        <w:rPr>
          <w:rFonts w:hint="eastAsia"/>
        </w:rPr>
        <w:t>（二）文件起草。起草单位安排具体人员负责起草形成文件初稿。涉及其他单位协同办理的，起草单位应当通过书面函、专题论证等形式充分征求有关单位意见，协办单位应及时提出修改意见并回复起草单位。有不同意见的，应当充分协商，未能达成一致意见的，起草单位应当在起草说明和上会说明中载明。涉及专业性、技术性较强的，可以组织相关领域的专家进行论证。涉及法律、法规、规章规定应当听证的，起草单位应当组织召开听证会。</w:t>
      </w:r>
    </w:p>
    <w:p>
      <w:pPr>
        <w:ind w:firstLine="632" w:firstLineChars="200"/>
        <w:rPr>
          <w:rFonts w:hint="eastAsia"/>
        </w:rPr>
      </w:pPr>
      <w:r>
        <w:rPr>
          <w:rFonts w:hint="eastAsia"/>
        </w:rPr>
        <w:t xml:space="preserve">（三）征求意见。除依法需要保密的外，起草单位应当通过区政府公众信息网或者其他便于公众知晓的方式对外征求公众意见。涉及公民、法人或者其他组织重大利益调整的，起草单位应当采取座谈会、论证会或者实地走访等形式听取利益相关方意见；涉及市场主体的，应当征求部分市场主体代表的意见。对收集到的每条意见，起草单位均应作出反馈和回应，对合理的意见应予采纳，不采纳的应说明理由，并在起草说明中载明。 </w:t>
      </w:r>
    </w:p>
    <w:p>
      <w:pPr>
        <w:ind w:firstLine="632" w:firstLineChars="200"/>
        <w:rPr>
          <w:rFonts w:hint="eastAsia"/>
        </w:rPr>
      </w:pPr>
      <w:r>
        <w:rPr>
          <w:rFonts w:hint="eastAsia"/>
        </w:rPr>
        <w:t>（四）文件合法性审查。由起草单位承担法制工作职责的科室或外聘法律顾问进行合法性、合理性审查。涉及市场准入、产业发展、招商引资、招标投标、政府采购、经营行为规范、资质标准等市场主体经济活动的，应当进行公平竞争审查，评估对市场竞争的影响。</w:t>
      </w:r>
    </w:p>
    <w:p>
      <w:pPr>
        <w:ind w:firstLine="632" w:firstLineChars="200"/>
        <w:rPr>
          <w:rFonts w:hint="eastAsia"/>
        </w:rPr>
      </w:pPr>
      <w:r>
        <w:rPr>
          <w:rFonts w:hint="eastAsia"/>
        </w:rPr>
        <w:t>（五）报送合法性审核。初稿经起草单位行政办公会议审议、由主要负责人签署后形成送审稿，报送区司法局合法性审核。起草单位应当报送下列材料：</w:t>
      </w:r>
    </w:p>
    <w:p>
      <w:pPr>
        <w:ind w:firstLine="632" w:firstLineChars="200"/>
        <w:rPr>
          <w:rFonts w:hint="eastAsia"/>
        </w:rPr>
      </w:pPr>
      <w:r>
        <w:rPr>
          <w:rFonts w:hint="eastAsia"/>
        </w:rPr>
        <w:t>1．提请审查的单位公函；</w:t>
      </w:r>
    </w:p>
    <w:p>
      <w:pPr>
        <w:ind w:firstLine="632" w:firstLineChars="200"/>
        <w:rPr>
          <w:rFonts w:hint="eastAsia"/>
        </w:rPr>
      </w:pPr>
      <w:r>
        <w:rPr>
          <w:rFonts w:hint="eastAsia"/>
        </w:rPr>
        <w:t>2．送审稿及起草说明；</w:t>
      </w:r>
    </w:p>
    <w:p>
      <w:pPr>
        <w:ind w:firstLine="632" w:firstLineChars="200"/>
        <w:rPr>
          <w:rFonts w:hint="eastAsia"/>
        </w:rPr>
      </w:pPr>
      <w:r>
        <w:rPr>
          <w:rFonts w:hint="eastAsia"/>
        </w:rPr>
        <w:t>3．法律法规依据；</w:t>
      </w:r>
    </w:p>
    <w:p>
      <w:pPr>
        <w:ind w:firstLine="632" w:firstLineChars="200"/>
        <w:rPr>
          <w:rFonts w:hint="eastAsia"/>
        </w:rPr>
      </w:pPr>
      <w:r>
        <w:rPr>
          <w:rFonts w:hint="eastAsia"/>
        </w:rPr>
        <w:t>4．必要性和可行性分析资料；</w:t>
      </w:r>
    </w:p>
    <w:p>
      <w:pPr>
        <w:ind w:firstLine="632" w:firstLineChars="200"/>
        <w:rPr>
          <w:rFonts w:hint="eastAsia"/>
        </w:rPr>
      </w:pPr>
      <w:r>
        <w:rPr>
          <w:rFonts w:hint="eastAsia"/>
        </w:rPr>
        <w:t>5．向其他单位征求意见及意见采纳情况的有关材料；</w:t>
      </w:r>
    </w:p>
    <w:p>
      <w:pPr>
        <w:ind w:firstLine="632" w:firstLineChars="200"/>
        <w:rPr>
          <w:rFonts w:hint="eastAsia"/>
        </w:rPr>
      </w:pPr>
      <w:r>
        <w:rPr>
          <w:rFonts w:hint="eastAsia"/>
        </w:rPr>
        <w:t>6．履行论证或听证程序的，报送论证或听证报告；</w:t>
      </w:r>
    </w:p>
    <w:p>
      <w:pPr>
        <w:ind w:firstLine="632" w:firstLineChars="200"/>
        <w:rPr>
          <w:rFonts w:hint="eastAsia"/>
        </w:rPr>
      </w:pPr>
      <w:r>
        <w:rPr>
          <w:rFonts w:hint="eastAsia"/>
        </w:rPr>
        <w:t>7．向社会公开征求意见及意见采纳情况的有关材料；</w:t>
      </w:r>
    </w:p>
    <w:p>
      <w:pPr>
        <w:ind w:firstLine="632" w:firstLineChars="200"/>
        <w:rPr>
          <w:rFonts w:hint="eastAsia"/>
        </w:rPr>
      </w:pPr>
      <w:r>
        <w:rPr>
          <w:rFonts w:hint="eastAsia"/>
        </w:rPr>
        <w:t>8．履行风险评估程序的，报送社会稳定风险评估报告；</w:t>
      </w:r>
    </w:p>
    <w:p>
      <w:pPr>
        <w:ind w:firstLine="632" w:firstLineChars="200"/>
        <w:rPr>
          <w:rFonts w:hint="eastAsia"/>
        </w:rPr>
      </w:pPr>
      <w:r>
        <w:rPr>
          <w:rFonts w:hint="eastAsia"/>
        </w:rPr>
        <w:t>9．履行公平竞争审查程序的，报送公平竞争审查材料；</w:t>
      </w:r>
    </w:p>
    <w:p>
      <w:pPr>
        <w:ind w:firstLine="632" w:firstLineChars="200"/>
        <w:rPr>
          <w:rFonts w:hint="eastAsia"/>
        </w:rPr>
      </w:pPr>
      <w:r>
        <w:rPr>
          <w:rFonts w:hint="eastAsia"/>
        </w:rPr>
        <w:t>10．起草单位内设法制科室或外聘法律顾问合法性审查意见和行政办公会议决定的材料；</w:t>
      </w:r>
    </w:p>
    <w:p>
      <w:pPr>
        <w:ind w:firstLine="632" w:firstLineChars="200"/>
        <w:rPr>
          <w:rFonts w:hint="eastAsia"/>
        </w:rPr>
      </w:pPr>
      <w:r>
        <w:rPr>
          <w:rFonts w:hint="eastAsia"/>
        </w:rPr>
        <w:t>11．需要报送的其他材料。</w:t>
      </w:r>
    </w:p>
    <w:p>
      <w:pPr>
        <w:ind w:firstLine="632" w:firstLineChars="200"/>
        <w:rPr>
          <w:rFonts w:hint="eastAsia"/>
        </w:rPr>
      </w:pPr>
      <w:r>
        <w:rPr>
          <w:rFonts w:hint="eastAsia"/>
        </w:rPr>
        <w:t>报送审核的材料不符合前款规定的，应当将其退回起草单位或者通知起草单位补正材料。</w:t>
      </w:r>
    </w:p>
    <w:p>
      <w:pPr>
        <w:ind w:firstLine="632" w:firstLineChars="200"/>
        <w:rPr>
          <w:rFonts w:hint="eastAsia"/>
        </w:rPr>
      </w:pPr>
      <w:r>
        <w:rPr>
          <w:rFonts w:hint="eastAsia" w:ascii="方正黑体_GBK" w:eastAsia="方正黑体_GBK"/>
        </w:rPr>
        <w:t>第四条</w:t>
      </w:r>
      <w:r>
        <w:rPr>
          <w:rFonts w:hint="eastAsia"/>
        </w:rPr>
        <w:t xml:space="preserve">  区政府行政规范性文件的合法性审核由区司法局负责。区司法局</w:t>
      </w:r>
      <w:bookmarkStart w:id="2" w:name="OLE_LINK1"/>
      <w:r>
        <w:rPr>
          <w:rFonts w:hint="eastAsia"/>
        </w:rPr>
        <w:t>合法性审核</w:t>
      </w:r>
      <w:bookmarkEnd w:id="2"/>
      <w:r>
        <w:rPr>
          <w:rFonts w:hint="eastAsia"/>
        </w:rPr>
        <w:t>时间，原则上不超过5个工作日，最长不超过15个工作日。区司法局对初稿进行合法性审核后，按照《重庆市行政规范性文件管理办法》（重庆市人民政府令329号）第二十四条之规定出具书面审核意见。</w:t>
      </w:r>
    </w:p>
    <w:p>
      <w:pPr>
        <w:ind w:firstLine="632" w:firstLineChars="200"/>
        <w:rPr>
          <w:rFonts w:hint="eastAsia"/>
        </w:rPr>
      </w:pPr>
      <w:r>
        <w:rPr>
          <w:rFonts w:hint="eastAsia" w:ascii="方正黑体_GBK" w:eastAsia="方正黑体_GBK"/>
        </w:rPr>
        <w:t xml:space="preserve">第五条 </w:t>
      </w:r>
      <w:r>
        <w:rPr>
          <w:rFonts w:hint="eastAsia"/>
        </w:rPr>
        <w:t xml:space="preserve"> 区政府行政规范性文件的完备性审核由区政府办公室负责。送审稿经区司法局合法性审核后，报送区政府办公室完备性审核。起草单位应当报送下列材料：</w:t>
      </w:r>
    </w:p>
    <w:p>
      <w:pPr>
        <w:ind w:firstLine="632" w:firstLineChars="200"/>
        <w:rPr>
          <w:rFonts w:hint="eastAsia"/>
        </w:rPr>
      </w:pPr>
      <w:r>
        <w:rPr>
          <w:rFonts w:hint="eastAsia"/>
        </w:rPr>
        <w:t>（一）送审稿</w:t>
      </w:r>
      <w:r>
        <w:rPr>
          <w:rFonts w:hint="eastAsia"/>
          <w:spacing w:val="-6"/>
          <w:szCs w:val="32"/>
        </w:rPr>
        <w:t>及提请区政府常务会或全体会研究的汇报说</w:t>
      </w:r>
      <w:r>
        <w:rPr>
          <w:rFonts w:hint="eastAsia"/>
        </w:rPr>
        <w:t>明；</w:t>
      </w:r>
    </w:p>
    <w:p>
      <w:pPr>
        <w:ind w:firstLine="632" w:firstLineChars="200"/>
        <w:rPr>
          <w:rFonts w:hint="eastAsia"/>
        </w:rPr>
      </w:pPr>
      <w:r>
        <w:rPr>
          <w:rFonts w:hint="eastAsia"/>
        </w:rPr>
        <w:t>（二）法律法规依据；</w:t>
      </w:r>
    </w:p>
    <w:p>
      <w:pPr>
        <w:ind w:firstLine="632" w:firstLineChars="200"/>
        <w:rPr>
          <w:rFonts w:hint="eastAsia"/>
        </w:rPr>
      </w:pPr>
      <w:r>
        <w:rPr>
          <w:rFonts w:hint="eastAsia"/>
        </w:rPr>
        <w:t>（三）必要性和可行性分析资料；</w:t>
      </w:r>
    </w:p>
    <w:p>
      <w:pPr>
        <w:ind w:firstLine="632" w:firstLineChars="200"/>
        <w:rPr>
          <w:rFonts w:hint="eastAsia"/>
        </w:rPr>
      </w:pPr>
      <w:r>
        <w:rPr>
          <w:rFonts w:hint="eastAsia"/>
        </w:rPr>
        <w:t>（四）向其他单位征求意见及意见采纳情况的有关材料；</w:t>
      </w:r>
    </w:p>
    <w:p>
      <w:pPr>
        <w:ind w:firstLine="632" w:firstLineChars="200"/>
        <w:rPr>
          <w:rFonts w:hint="eastAsia"/>
        </w:rPr>
      </w:pPr>
      <w:r>
        <w:rPr>
          <w:rFonts w:hint="eastAsia"/>
        </w:rPr>
        <w:t>（五）履行论证或听证程序的，报送论证或听证报告；</w:t>
      </w:r>
    </w:p>
    <w:p>
      <w:pPr>
        <w:ind w:firstLine="632" w:firstLineChars="200"/>
        <w:rPr>
          <w:rFonts w:hint="eastAsia"/>
        </w:rPr>
      </w:pPr>
      <w:r>
        <w:rPr>
          <w:rFonts w:hint="eastAsia"/>
        </w:rPr>
        <w:t>（六）向社会公开征求意见及意见采纳情况的有关材料；</w:t>
      </w:r>
    </w:p>
    <w:p>
      <w:pPr>
        <w:ind w:firstLine="632" w:firstLineChars="200"/>
        <w:rPr>
          <w:rFonts w:hint="eastAsia"/>
        </w:rPr>
      </w:pPr>
      <w:r>
        <w:rPr>
          <w:rFonts w:hint="eastAsia"/>
        </w:rPr>
        <w:t>（七）履行风险评估程序的，报送社会稳定风险评估报告；</w:t>
      </w:r>
    </w:p>
    <w:p>
      <w:pPr>
        <w:ind w:firstLine="632" w:firstLineChars="200"/>
        <w:rPr>
          <w:rFonts w:hint="eastAsia"/>
        </w:rPr>
      </w:pPr>
      <w:r>
        <w:rPr>
          <w:rFonts w:hint="eastAsia"/>
        </w:rPr>
        <w:t>（八）履行公平竞争审查程序的，报送公平竞争审查材料；</w:t>
      </w:r>
    </w:p>
    <w:p>
      <w:pPr>
        <w:ind w:firstLine="632" w:firstLineChars="200"/>
        <w:rPr>
          <w:rFonts w:hint="eastAsia"/>
        </w:rPr>
      </w:pPr>
      <w:r>
        <w:rPr>
          <w:rFonts w:hint="eastAsia"/>
        </w:rPr>
        <w:t>（九）起草单位行政办公会议决定材料；</w:t>
      </w:r>
    </w:p>
    <w:p>
      <w:pPr>
        <w:ind w:firstLine="632" w:firstLineChars="200"/>
        <w:rPr>
          <w:rFonts w:hint="eastAsia"/>
        </w:rPr>
      </w:pPr>
      <w:r>
        <w:rPr>
          <w:rFonts w:hint="eastAsia"/>
        </w:rPr>
        <w:t>（十）区司法局出具的合法性审核意见；</w:t>
      </w:r>
    </w:p>
    <w:p>
      <w:pPr>
        <w:ind w:firstLine="632" w:firstLineChars="200"/>
        <w:rPr>
          <w:rFonts w:hint="eastAsia"/>
        </w:rPr>
      </w:pPr>
      <w:r>
        <w:rPr>
          <w:rFonts w:hint="eastAsia"/>
        </w:rPr>
        <w:t>（十一）需要报送的其他材料。</w:t>
      </w:r>
    </w:p>
    <w:p>
      <w:pPr>
        <w:ind w:firstLine="632" w:firstLineChars="200"/>
        <w:rPr>
          <w:rFonts w:hint="eastAsia"/>
        </w:rPr>
      </w:pPr>
      <w:r>
        <w:rPr>
          <w:rFonts w:hint="eastAsia" w:ascii="方正黑体_GBK" w:eastAsia="方正黑体_GBK"/>
        </w:rPr>
        <w:t xml:space="preserve">第六条  </w:t>
      </w:r>
      <w:r>
        <w:rPr>
          <w:rFonts w:hint="eastAsia"/>
        </w:rPr>
        <w:t>区政府行政规范性文件应当提请区政府常务会或全体会审议决定，具体程序应按照《重庆市綦江区人民政府关于印发重庆市綦江区人民政府常务会议事规则的通知》（綦江府发〔2018〕36号）执行。集体审议未通过、需要进行重大修改的，应当在修改后按照本规定重新报送区司法局合法性审核。</w:t>
      </w:r>
    </w:p>
    <w:p>
      <w:pPr>
        <w:ind w:firstLine="632" w:firstLineChars="200"/>
        <w:rPr>
          <w:rFonts w:hint="eastAsia"/>
        </w:rPr>
      </w:pPr>
      <w:r>
        <w:rPr>
          <w:rFonts w:hint="eastAsia"/>
        </w:rPr>
        <w:t>因应对突发事件、保障重大公共利益等紧急情况，需要立即制定规范性文件，或者需要修改部分非重要条款的，经区政府主要负责人批准，可以简化《重庆市行政规范性文件管理办法》第十七条和第二十六条规定的程序（即向社会公开征求意见和区政府常务会或全体会议审议决定）。</w:t>
      </w:r>
    </w:p>
    <w:p>
      <w:pPr>
        <w:ind w:firstLine="632" w:firstLineChars="200"/>
        <w:rPr>
          <w:rFonts w:hint="eastAsia"/>
        </w:rPr>
      </w:pPr>
      <w:r>
        <w:rPr>
          <w:rFonts w:hint="eastAsia" w:ascii="方正黑体_GBK" w:eastAsia="方正黑体_GBK"/>
        </w:rPr>
        <w:t xml:space="preserve">第七条  </w:t>
      </w:r>
      <w:r>
        <w:rPr>
          <w:rFonts w:hint="eastAsia"/>
        </w:rPr>
        <w:t>区政府行政规范性文件的发文由区政府办公室按照区政府发文规定执行。区政府行政规范性文件原则上用“綦江府发”和“綦江府办发”文号印发，并严格按照《重庆市綦江区人民政府办公室关于进一步完善行政规范性文件“三统一”制度的通知》（綦江府办发〔2017〕8号）要求对区政府行政规范性文件进行统一登记、编号、公布管理。</w:t>
      </w:r>
    </w:p>
    <w:p>
      <w:pPr>
        <w:ind w:firstLine="632" w:firstLineChars="200"/>
        <w:rPr>
          <w:rFonts w:hint="eastAsia"/>
        </w:rPr>
      </w:pPr>
      <w:r>
        <w:rPr>
          <w:rFonts w:hint="eastAsia"/>
        </w:rPr>
        <w:t>区政府办公室应当建立区政府行政规范性文件登记台账，记录区政府行政规范性文件必要性和可行性调研、征求意见、合法性审核、集体审议、公开发布、报送备案、清理等信息。</w:t>
      </w:r>
    </w:p>
    <w:p>
      <w:pPr>
        <w:ind w:firstLine="632" w:firstLineChars="200"/>
        <w:rPr>
          <w:rFonts w:hint="eastAsia"/>
        </w:rPr>
      </w:pPr>
      <w:r>
        <w:rPr>
          <w:rFonts w:hint="eastAsia"/>
        </w:rPr>
        <w:t>区政府办公室应当及时通过区政府公报、区政府公众信息网等方式向社会公开发布区政府行政规范性文件。区政府公众信息网建立区政府行政规范性文件库和部门（街镇）行政规范性文件库，统一通过区政府公众信息网文件库对外公布文件目录和文本，同时发布规范性文件政策解读。</w:t>
      </w:r>
    </w:p>
    <w:p>
      <w:pPr>
        <w:ind w:firstLine="632" w:firstLineChars="200"/>
        <w:rPr>
          <w:rFonts w:hint="eastAsia"/>
        </w:rPr>
      </w:pPr>
      <w:r>
        <w:rPr>
          <w:rFonts w:hint="eastAsia" w:ascii="方正黑体_GBK" w:eastAsia="方正黑体_GBK"/>
        </w:rPr>
        <w:t xml:space="preserve">第八条  </w:t>
      </w:r>
      <w:r>
        <w:rPr>
          <w:rFonts w:hint="eastAsia"/>
        </w:rPr>
        <w:t xml:space="preserve">区政府行政规范性文件报送市司法局和区人大常委会备案由区司法局负责。区政府办公室应当自公布区政府行政规范性文件之日起2个工作日内，告知区司法局向市司法局和区人大常委会报送备案材料。区司法局应当按照《重庆市行政规范性文件管理办法》（重庆市人民政府令329号）第三十四条、第三十五条之规定以区政府的名义报送备案。 </w:t>
      </w:r>
    </w:p>
    <w:p>
      <w:pPr>
        <w:ind w:firstLine="632" w:firstLineChars="200"/>
        <w:rPr>
          <w:rFonts w:hint="eastAsia"/>
        </w:rPr>
      </w:pPr>
      <w:r>
        <w:rPr>
          <w:rFonts w:hint="eastAsia" w:ascii="方正黑体_GBK" w:eastAsia="方正黑体_GBK"/>
        </w:rPr>
        <w:t xml:space="preserve">第九条  </w:t>
      </w:r>
      <w:r>
        <w:rPr>
          <w:rFonts w:hint="eastAsia"/>
        </w:rPr>
        <w:t>区政府行政规范性文件的评估由起草单位或实施单位负责。起草单位或实施单位应当按照《重庆市綦江区人民政府办公室关于印发重庆市綦江区规范性文件实施后评估办法的通知》（綦江府办发〔2016〕58号）执行。</w:t>
      </w:r>
    </w:p>
    <w:p>
      <w:pPr>
        <w:ind w:firstLine="632" w:firstLineChars="200"/>
        <w:rPr>
          <w:rFonts w:hint="eastAsia"/>
        </w:rPr>
      </w:pPr>
      <w:r>
        <w:rPr>
          <w:rFonts w:hint="eastAsia" w:ascii="方正黑体_GBK" w:eastAsia="方正黑体_GBK"/>
        </w:rPr>
        <w:t xml:space="preserve">第十条  </w:t>
      </w:r>
      <w:r>
        <w:rPr>
          <w:rFonts w:hint="eastAsia"/>
        </w:rPr>
        <w:t>区政府行政规范性文件的清理由起草单位或实施单位负责。当区政府行政规范性文件所依据的法律法规规定发生变化时，起草单位或实施单位应当对区政府行政规范性文件及时组织清理；上级机关提出专项清理要求或区政府认为确有必要进行专项清理的，由区政府办公室统一部署，区司法局牵头推动，实施单位具体清理。实施单位将清理结果报送区司法局审核。经清理，拟修改的，起草单位或实施单位应当按照本规定程序重新制定后公布；拟废止的，起草单位或实施单位应当按照区政府发文程序予以废止。清理结果由区政府办公室统一登记。</w:t>
      </w:r>
    </w:p>
    <w:p>
      <w:pPr>
        <w:ind w:firstLine="632" w:firstLineChars="200"/>
        <w:rPr>
          <w:rFonts w:hint="eastAsia"/>
        </w:rPr>
      </w:pPr>
      <w:r>
        <w:rPr>
          <w:rFonts w:hint="eastAsia" w:ascii="方正黑体_GBK" w:eastAsia="方正黑体_GBK"/>
        </w:rPr>
        <w:t xml:space="preserve">第十一条  </w:t>
      </w:r>
      <w:r>
        <w:rPr>
          <w:rFonts w:hint="eastAsia"/>
        </w:rPr>
        <w:t>街道办事处、镇人民政府、区政府部门以及其他有权制定行政规范性文件的单位自行制定本机关行政规范性文件。制定机关应当按照《重庆市行政规范性文件管理办法》（重庆市人民政府令329号）要求，参照本规定制定本单位的行政规范性文件程序性管理办法并严格组织实施。</w:t>
      </w:r>
    </w:p>
    <w:p>
      <w:pPr>
        <w:ind w:firstLine="632" w:firstLineChars="200"/>
        <w:rPr>
          <w:rFonts w:hint="eastAsia" w:ascii="方正仿宋_GBK"/>
        </w:rPr>
      </w:pPr>
    </w:p>
    <w:p>
      <w:pPr>
        <w:spacing w:line="240" w:lineRule="exact"/>
        <w:ind w:firstLine="632" w:firstLineChars="200"/>
        <w:rPr>
          <w:rFonts w:hint="eastAsia" w:ascii="方正仿宋_GBK"/>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spacing w:line="240" w:lineRule="exact"/>
        <w:rPr>
          <w:rFonts w:hint="eastAsia"/>
          <w:sz w:val="44"/>
          <w:szCs w:val="44"/>
        </w:rPr>
      </w:pPr>
    </w:p>
    <w:p>
      <w:pPr>
        <w:pBdr>
          <w:top w:val="single" w:color="auto" w:sz="6" w:space="1"/>
        </w:pBdr>
        <w:ind w:firstLine="276" w:firstLineChars="100"/>
        <w:rPr>
          <w:rFonts w:hint="eastAsia"/>
          <w:spacing w:val="-18"/>
          <w:sz w:val="28"/>
          <w:szCs w:val="28"/>
        </w:rPr>
      </w:pPr>
      <w:r>
        <w:rPr>
          <w:rFonts w:hint="eastAsia"/>
          <w:color w:val="000000"/>
          <w:kern w:val="0"/>
          <w:sz w:val="28"/>
          <w:szCs w:val="28"/>
        </w:rPr>
        <w:t>抄送：</w:t>
      </w:r>
      <w:bookmarkStart w:id="3" w:name="抄送"/>
      <w:bookmarkEnd w:id="3"/>
      <w:r>
        <w:rPr>
          <w:rFonts w:hint="eastAsia"/>
          <w:color w:val="000000"/>
          <w:kern w:val="0"/>
          <w:sz w:val="28"/>
          <w:szCs w:val="28"/>
        </w:rPr>
        <w:t>区委</w:t>
      </w:r>
      <w:r>
        <w:rPr>
          <w:rFonts w:hint="eastAsia"/>
          <w:color w:val="000000"/>
          <w:spacing w:val="-18"/>
          <w:kern w:val="0"/>
          <w:sz w:val="28"/>
          <w:szCs w:val="28"/>
        </w:rPr>
        <w:t>办</w:t>
      </w:r>
      <w:r>
        <w:rPr>
          <w:rFonts w:hint="eastAsia"/>
          <w:color w:val="000000"/>
          <w:spacing w:val="-8"/>
          <w:kern w:val="0"/>
          <w:sz w:val="28"/>
          <w:szCs w:val="28"/>
        </w:rPr>
        <w:t>公室，区人大常委会办公室，区政协办公室，</w:t>
      </w:r>
      <w:r>
        <w:rPr>
          <w:rFonts w:hint="eastAsia"/>
          <w:spacing w:val="-8"/>
          <w:sz w:val="28"/>
          <w:szCs w:val="28"/>
        </w:rPr>
        <w:t>区纪委监委机关</w:t>
      </w:r>
      <w:r>
        <w:rPr>
          <w:rFonts w:hint="eastAsia"/>
          <w:spacing w:val="-18"/>
          <w:sz w:val="28"/>
          <w:szCs w:val="28"/>
        </w:rPr>
        <w:t>，</w:t>
      </w:r>
    </w:p>
    <w:p>
      <w:pPr>
        <w:pBdr>
          <w:top w:val="single" w:color="auto" w:sz="6" w:space="1"/>
        </w:pBdr>
        <w:ind w:firstLine="1049" w:firstLineChars="380"/>
        <w:rPr>
          <w:rFonts w:hint="eastAsia"/>
          <w:color w:val="000000"/>
          <w:kern w:val="0"/>
          <w:sz w:val="28"/>
          <w:szCs w:val="28"/>
        </w:rPr>
      </w:pPr>
      <w:r>
        <w:rPr>
          <w:rFonts w:hint="eastAsia"/>
          <w:color w:val="000000"/>
          <w:kern w:val="0"/>
          <w:sz w:val="28"/>
          <w:szCs w:val="28"/>
        </w:rPr>
        <w:t>区法院，区检察院，区人武部。</w:t>
      </w:r>
    </w:p>
    <w:p>
      <w:pPr>
        <w:pBdr>
          <w:top w:val="single" w:color="auto" w:sz="4" w:space="1"/>
          <w:bottom w:val="single" w:color="auto" w:sz="6" w:space="1"/>
        </w:pBdr>
        <w:ind w:firstLine="276" w:firstLineChars="100"/>
        <w:rPr>
          <w:rFonts w:hint="eastAsia" w:ascii="方正小标宋_GBK" w:eastAsia="方正小标宋_GBK"/>
          <w:sz w:val="44"/>
          <w:szCs w:val="44"/>
        </w:rPr>
      </w:pPr>
      <w:r>
        <w:rPr>
          <w:rFonts w:hint="eastAsia"/>
          <w:color w:val="000000"/>
          <w:kern w:val="0"/>
          <w:sz w:val="28"/>
          <w:szCs w:val="28"/>
        </w:rPr>
        <w:t>重庆市綦江区人民政府办公室</w:t>
      </w:r>
      <w:r>
        <w:rPr>
          <w:sz w:val="28"/>
          <w:szCs w:val="28"/>
        </w:rPr>
        <w:t xml:space="preserve">       </w:t>
      </w:r>
      <w:r>
        <w:rPr>
          <w:rFonts w:hint="eastAsia"/>
          <w:sz w:val="28"/>
          <w:szCs w:val="28"/>
        </w:rPr>
        <w:t xml:space="preserve">       2019年12月31日印发</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474" w:gutter="0"/>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楷体_GBK">
    <w:altName w:val="微软雅黑"/>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360" w:firstLine="360"/>
      <w:jc w:val="right"/>
      <w:rPr>
        <w:sz w:val="28"/>
      </w:rPr>
    </w:pPr>
    <w:r>
      <w:rPr>
        <w:rStyle w:val="1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lang/>
      </w:rPr>
      <w:t>1</w:t>
    </w:r>
    <w:r>
      <w:rPr>
        <w:kern w:val="0"/>
        <w:sz w:val="28"/>
      </w:rPr>
      <w:fldChar w:fldCharType="end"/>
    </w:r>
    <w:r>
      <w:rPr>
        <w:kern w:val="0"/>
        <w:sz w:val="28"/>
      </w:rPr>
      <w:t xml:space="preserve"> </w:t>
    </w:r>
    <w:r>
      <w:rPr>
        <w:rStyle w:val="18"/>
        <w:rFonts w:hint="eastAsia"/>
        <w:sz w:val="28"/>
      </w:rPr>
      <w:t>―</w:t>
    </w:r>
  </w:p>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ind w:right="360" w:firstLine="360"/>
      <w:jc w:val="right"/>
      <w:rPr>
        <w:sz w:val="28"/>
      </w:rPr>
    </w:pPr>
    <w:r>
      <w:rPr>
        <w:rStyle w:val="1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lang/>
      </w:rPr>
      <w:t>8</w:t>
    </w:r>
    <w:r>
      <w:rPr>
        <w:kern w:val="0"/>
        <w:sz w:val="28"/>
      </w:rPr>
      <w:fldChar w:fldCharType="end"/>
    </w:r>
    <w:r>
      <w:rPr>
        <w:kern w:val="0"/>
        <w:sz w:val="28"/>
      </w:rPr>
      <w:t xml:space="preserve"> </w:t>
    </w:r>
    <w:r>
      <w:rPr>
        <w:rStyle w:val="18"/>
        <w:rFonts w:hint="eastAsia"/>
        <w:sz w:val="28"/>
      </w:rPr>
      <w:t>―</w:t>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0697E807-DE32-4F12-8FC6-CB5A95184C79}" w:val="2SuCX=4tIDjHU1Zv+OPsLk5xKWJTEQe0Ya67bB8pMf/nmowcFAd3V9NrgGlRyzqih"/>
    <w:docVar w:name="{13896957-895B-4F70-BEDD-930CAA138DE2}" w:val="2SuCX=4tIDjHU1Zv+OPsLk5xKWJTEQe0Ya67bB8pMf/nmowcFAd3V9NrgGlRyzqih"/>
    <w:docVar w:name="{30D52862-7BBD-44C4-8EBC-3207C501DEA5}" w:val="2SuCX=4tIDjHU1Zv+OPsLk5xKWJTEQe0Ya67bB8pMf/nmowcFAd3V9NrgGlRyzqih"/>
    <w:docVar w:name="{3F294F25-C0A1-451C-BBFA-0EDAD74C6117}" w:val="2SuCX=4tIDjHU1Zv+OPsLk5xKWJTEQe0Ya67bB8pMf/nmowcFAd3V9NrgGlRyzqih"/>
    <w:docVar w:name="{55FF455B-629E-41E2-B394-1FEA7B923D4B}" w:val="2SuCX=4tIDjHU1Zv+OPsLk5xKWJTEQe0Ya67bB8pMf/nmowcFAd3V9NrgGlRyzqih"/>
    <w:docVar w:name="{5DD4A53B-0635-49A7-872B-C7B890562D97}" w:val="2SuCX=4tIDjHU1Zv+OPsLk5xKWJTEQe0Ya67bB8pMf/nmowcFAd3V9NrgGlRyzqih"/>
    <w:docVar w:name="{6F79A893-D92F-4ED2-994D-9564C413239B}" w:val="2SuCX=4tIDjHU1Zv+OPsLk5xKWJTEQe0Ya67bB8pMf/nmowcFAd3V9NrgGlRyzqih"/>
    <w:docVar w:name="{7C700BB8-BF85-4233-9CA7-E16CCE8DAE82}" w:val="2SuCX=4tIDjHU1Zv+OPsLk5xKWJTEQe0Ya67bB8pMf/nmowcFAd3V9NrgGlRyzqih"/>
    <w:docVar w:name="{9029F85F-C677-486C-8AC3-93C8C77E1723}" w:val="2SuCX=4tIDjHU1Zv+OPsLk5xKWJTEQe0Ya67bB8pMf/nmowcFAd3V9NrgGlRyzqih"/>
    <w:docVar w:name="{96967295-542D-4C34-A317-C68021C0E7F7}" w:val="2SuCX=4tIDjHU1Zv+OPsLk5xKWJTEQe0Ya67bB8pMf/nmowcFAd3V9NrgGlRyzqih"/>
    <w:docVar w:name="{A1737A61-2D44-4EB6-91B5-1091365D04A1}" w:val="2SuCX=4tIDjHU1Zv+OPsLk5xKWJTEQe0Ya67bB8pMf/nmowcFAd3V9NrgGlRyzqih"/>
    <w:docVar w:name="{A1E6170A-6A3A-40B0-B682-A1C0484B1CB4}" w:val="2SuCX=4tIDjHU1Zv+OPsLk5xKWJTEQe0Ya67bB8pMf/nmowcFAd3V9NrgGlRyzqih"/>
    <w:docVar w:name="{C1E5BEF1-F689-41E0-8BED-2B5E7C7AD92C}" w:val="2SuCX=4tIDjHU1Zv+OPsLk5xKWJTEQe0Ya67bB8pMf/nmowcFAd3V9NrgGlRyzqih"/>
    <w:docVar w:name="{F3E3EEB0-8DA7-4611-9A3C-EBA96581B737}" w:val="2SuCX=4tIDjHU1Zv+OPsLk5xKWJTEQe0Ya67bB8pMf/nmowcFAd3V9NrgGlRyzqih"/>
    <w:docVar w:name="commondata" w:val="eyJoZGlkIjoiN2ZkMjE0YTA1OWJlZjUyNmY4NTY2MDVjZjgzZWNmNGIifQ=="/>
    <w:docVar w:name="DocumentID" w:val="{24618CD1-9930-45D8-B010-1CEA758BAB90}_13"/>
  </w:docVars>
  <w:rsids>
    <w:rsidRoot w:val="00172A27"/>
    <w:rsid w:val="084E02A3"/>
    <w:rsid w:val="0F343220"/>
    <w:rsid w:val="1A9C453C"/>
    <w:rsid w:val="54A734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方正仿宋_GBK"/>
      <w:kern w:val="2"/>
      <w:sz w:val="32"/>
      <w:lang w:val="en-US" w:eastAsia="zh-CN" w:bidi="ar-SA"/>
    </w:rPr>
  </w:style>
  <w:style w:type="paragraph" w:styleId="2">
    <w:name w:val="heading 1"/>
    <w:basedOn w:val="1"/>
    <w:next w:val="1"/>
    <w:uiPriority w:val="0"/>
    <w:pPr>
      <w:adjustRightInd w:val="0"/>
      <w:spacing w:line="580" w:lineRule="exact"/>
      <w:jc w:val="center"/>
      <w:outlineLvl w:val="0"/>
    </w:pPr>
    <w:rPr>
      <w:rFonts w:ascii="方正小标宋_GBK" w:eastAsia="方正小标宋_GBK"/>
      <w:bCs/>
      <w:kern w:val="0"/>
      <w:sz w:val="44"/>
      <w:szCs w:val="44"/>
    </w:rPr>
  </w:style>
  <w:style w:type="paragraph" w:styleId="3">
    <w:name w:val="heading 2"/>
    <w:basedOn w:val="1"/>
    <w:next w:val="1"/>
    <w:uiPriority w:val="0"/>
    <w:pPr>
      <w:keepNext/>
      <w:keepLines/>
      <w:spacing w:before="260" w:beforeLines="0" w:after="260" w:afterLines="0" w:line="416" w:lineRule="auto"/>
      <w:outlineLvl w:val="1"/>
    </w:pPr>
    <w:rPr>
      <w:rFonts w:ascii="Arial" w:hAnsi="Arial" w:eastAsia="黑体"/>
      <w:b/>
      <w:bCs/>
      <w:szCs w:val="32"/>
    </w:rPr>
  </w:style>
  <w:style w:type="paragraph" w:styleId="4">
    <w:name w:val="heading 3"/>
    <w:basedOn w:val="1"/>
    <w:next w:val="1"/>
    <w:uiPriority w:val="0"/>
    <w:pPr>
      <w:keepNext/>
      <w:keepLines/>
      <w:spacing w:before="260" w:beforeLines="0" w:after="260" w:afterLines="0" w:line="416" w:lineRule="auto"/>
      <w:outlineLvl w:val="2"/>
    </w:pPr>
    <w:rPr>
      <w:b/>
      <w:bCs/>
      <w:szCs w:val="32"/>
    </w:rPr>
  </w:style>
  <w:style w:type="character" w:default="1" w:styleId="15">
    <w:name w:val="Default Paragraph Font"/>
    <w:link w:val="16"/>
    <w:semiHidden/>
    <w:uiPriority w:val="0"/>
  </w:style>
  <w:style w:type="table" w:default="1" w:styleId="14">
    <w:name w:val="Normal Table"/>
    <w:unhideWhenUsed/>
    <w:uiPriority w:val="99"/>
    <w:tblPr>
      <w:tblStyle w:val="14"/>
      <w:tblCellMar>
        <w:top w:w="0" w:type="dxa"/>
        <w:left w:w="108" w:type="dxa"/>
        <w:bottom w:w="0" w:type="dxa"/>
        <w:right w:w="108" w:type="dxa"/>
      </w:tblCellMar>
    </w:tblPr>
  </w:style>
  <w:style w:type="paragraph" w:styleId="5">
    <w:name w:val="Body Text"/>
    <w:basedOn w:val="1"/>
    <w:semiHidden/>
    <w:uiPriority w:val="0"/>
    <w:pPr>
      <w:jc w:val="center"/>
    </w:pPr>
    <w:rPr>
      <w:rFonts w:ascii="华文中宋" w:eastAsia="华文中宋"/>
      <w:b/>
      <w:bCs/>
      <w:sz w:val="44"/>
      <w:szCs w:val="24"/>
    </w:rPr>
  </w:style>
  <w:style w:type="paragraph" w:styleId="6">
    <w:name w:val="Body Text Indent"/>
    <w:basedOn w:val="1"/>
    <w:uiPriority w:val="0"/>
    <w:pPr>
      <w:spacing w:after="120" w:afterLines="0"/>
      <w:ind w:left="420" w:leftChars="200"/>
    </w:pPr>
  </w:style>
  <w:style w:type="paragraph" w:styleId="7">
    <w:name w:val="Date"/>
    <w:basedOn w:val="1"/>
    <w:next w:val="1"/>
    <w:link w:val="21"/>
    <w:uiPriority w:val="0"/>
    <w:pPr>
      <w:ind w:left="100" w:leftChars="2500"/>
    </w:pPr>
  </w:style>
  <w:style w:type="paragraph" w:styleId="8">
    <w:name w:val="Balloon Text"/>
    <w:basedOn w:val="1"/>
    <w:semiHidden/>
    <w:uiPriority w:val="0"/>
    <w:rPr>
      <w:sz w:val="18"/>
      <w:szCs w:val="1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rPr>
  </w:style>
  <w:style w:type="paragraph" w:styleId="11">
    <w:name w:val="Body Text Indent 3"/>
    <w:basedOn w:val="1"/>
    <w:uiPriority w:val="0"/>
    <w:pPr>
      <w:spacing w:after="120" w:afterLines="0"/>
      <w:ind w:left="420" w:leftChars="200"/>
    </w:pPr>
    <w:rPr>
      <w:sz w:val="16"/>
      <w:szCs w:val="16"/>
    </w:rPr>
  </w:style>
  <w:style w:type="paragraph" w:styleId="12">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3">
    <w:name w:val="Body Text First Indent 2"/>
    <w:basedOn w:val="6"/>
    <w:uiPriority w:val="0"/>
    <w:pPr>
      <w:ind w:firstLine="420" w:firstLineChars="200"/>
    </w:pPr>
    <w:rPr>
      <w:rFonts w:eastAsia="宋体"/>
      <w:sz w:val="21"/>
      <w:szCs w:val="22"/>
    </w:rPr>
  </w:style>
  <w:style w:type="paragraph" w:customStyle="1" w:styleId="16">
    <w:name w:val=" Char1"/>
    <w:basedOn w:val="1"/>
    <w:link w:val="15"/>
    <w:uiPriority w:val="0"/>
    <w:rPr>
      <w:rFonts w:ascii="Arial" w:hAnsi="Arial" w:eastAsia="仿宋_GB2312" w:cs="Arial"/>
      <w:sz w:val="20"/>
    </w:rPr>
  </w:style>
  <w:style w:type="character" w:styleId="17">
    <w:name w:val="Strong"/>
    <w:basedOn w:val="15"/>
    <w:uiPriority w:val="0"/>
    <w:rPr>
      <w:b/>
      <w:bCs/>
    </w:rPr>
  </w:style>
  <w:style w:type="character" w:styleId="18">
    <w:name w:val="page number"/>
    <w:basedOn w:val="15"/>
    <w:uiPriority w:val="0"/>
  </w:style>
  <w:style w:type="character" w:styleId="19">
    <w:name w:val="Emphasis"/>
    <w:qFormat/>
    <w:uiPriority w:val="0"/>
  </w:style>
  <w:style w:type="character" w:styleId="20">
    <w:name w:val="Hyperlink"/>
    <w:basedOn w:val="15"/>
    <w:uiPriority w:val="0"/>
    <w:rPr>
      <w:color w:val="0000FF"/>
      <w:u w:val="single"/>
    </w:rPr>
  </w:style>
  <w:style w:type="character" w:customStyle="1" w:styleId="21">
    <w:name w:val=" Char Char6"/>
    <w:basedOn w:val="15"/>
    <w:link w:val="7"/>
    <w:uiPriority w:val="0"/>
    <w:rPr>
      <w:rFonts w:eastAsia="方正仿宋_GBK"/>
      <w:kern w:val="2"/>
      <w:sz w:val="32"/>
      <w:lang w:val="en-US" w:eastAsia="zh-CN" w:bidi="ar-SA"/>
    </w:rPr>
  </w:style>
  <w:style w:type="paragraph" w:customStyle="1" w:styleId="22">
    <w:name w:val=" Char Char Char Char Char Char Char"/>
    <w:basedOn w:val="1"/>
    <w:uiPriority w:val="0"/>
    <w:pPr>
      <w:snapToGrid w:val="0"/>
      <w:spacing w:line="360" w:lineRule="auto"/>
      <w:ind w:firstLine="200" w:firstLineChars="200"/>
    </w:pPr>
    <w:rPr>
      <w:rFonts w:eastAsia="仿宋_GB2312"/>
      <w:sz w:val="24"/>
      <w:szCs w:val="24"/>
    </w:rPr>
  </w:style>
  <w:style w:type="paragraph" w:customStyle="1" w:styleId="23">
    <w:name w:val="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rPr>
      <w:rFonts w:ascii="Verdana" w:hAnsi="Verdana" w:eastAsia="仿宋_GB2312" w:cs="Verdana"/>
      <w:kern w:val="0"/>
      <w:sz w:val="24"/>
      <w:szCs w:val="24"/>
      <w:lang w:eastAsia="en-US"/>
    </w:rPr>
  </w:style>
  <w:style w:type="paragraph" w:customStyle="1" w:styleId="24">
    <w:name w:val=" Char Char2"/>
    <w:basedOn w:val="1"/>
    <w:uiPriority w:val="0"/>
    <w:pPr>
      <w:widowControl/>
      <w:spacing w:after="160" w:afterLines="0" w:line="240" w:lineRule="exact"/>
      <w:jc w:val="left"/>
    </w:pPr>
    <w:rPr>
      <w:rFonts w:ascii="Verdana" w:hAnsi="Verdana" w:eastAsia="仿宋_GB2312" w:cs="Verdana"/>
      <w:kern w:val="0"/>
      <w:sz w:val="24"/>
      <w:szCs w:val="24"/>
      <w:lang w:eastAsia="en-US"/>
    </w:rPr>
  </w:style>
  <w:style w:type="paragraph" w:customStyle="1" w:styleId="25">
    <w:name w:val="Char Char Char Char Char Char Char Char Char Char"/>
    <w:basedOn w:val="1"/>
    <w:uiPriority w:val="0"/>
    <w:pPr>
      <w:widowControl/>
      <w:spacing w:after="160" w:afterLines="0" w:line="240" w:lineRule="exact"/>
      <w:jc w:val="left"/>
    </w:pPr>
    <w:rPr>
      <w:szCs w:val="24"/>
    </w:rPr>
  </w:style>
  <w:style w:type="paragraph" w:customStyle="1" w:styleId="26">
    <w:name w:val="_Style 7"/>
    <w:basedOn w:val="1"/>
    <w:uiPriority w:val="0"/>
    <w:pPr>
      <w:widowControl/>
      <w:spacing w:after="160" w:afterLines="0" w:line="240" w:lineRule="exact"/>
      <w:jc w:val="left"/>
    </w:pPr>
    <w:rPr>
      <w:rFonts w:ascii="Verdana" w:hAnsi="Verdana" w:eastAsia="仿宋_GB2312"/>
      <w:kern w:val="0"/>
      <w:sz w:val="24"/>
      <w:lang w:eastAsia="en-US"/>
    </w:rPr>
  </w:style>
  <w:style w:type="paragraph" w:customStyle="1" w:styleId="27">
    <w:name w:val="_Style 3"/>
    <w:basedOn w:val="1"/>
    <w:uiPriority w:val="0"/>
    <w:pPr>
      <w:widowControl/>
      <w:spacing w:after="160" w:afterLines="0" w:line="240" w:lineRule="exact"/>
      <w:jc w:val="left"/>
    </w:pPr>
    <w:rPr>
      <w:rFonts w:eastAsia="仿宋_GB2312"/>
      <w:szCs w:val="24"/>
    </w:rPr>
  </w:style>
  <w:style w:type="paragraph" w:customStyle="1" w:styleId="28">
    <w:name w:val="Normal (Web)"/>
    <w:basedOn w:val="1"/>
    <w:uiPriority w:val="0"/>
    <w:rPr>
      <w:rFonts w:ascii="Calibri" w:hAnsi="Calibri" w:eastAsia="宋体"/>
      <w:sz w:val="24"/>
      <w:szCs w:val="22"/>
    </w:rPr>
  </w:style>
  <w:style w:type="paragraph" w:customStyle="1" w:styleId="29">
    <w:name w:val="Char Char Char Char Char Char Char Char Char Char Char Char Char Char Char Char Char Char Char Char Char Char"/>
    <w:basedOn w:val="1"/>
    <w:uiPriority w:val="0"/>
    <w:rPr>
      <w:rFonts w:eastAsia="宋体"/>
      <w:sz w:val="21"/>
      <w:szCs w:val="24"/>
    </w:rPr>
  </w:style>
  <w:style w:type="paragraph" w:customStyle="1" w:styleId="30">
    <w:name w:val="p0"/>
    <w:basedOn w:val="1"/>
    <w:uiPriority w:val="0"/>
    <w:pPr>
      <w:widowControl/>
    </w:pPr>
    <w:rPr>
      <w:rFonts w:eastAsia="宋体"/>
      <w:kern w:val="0"/>
      <w:sz w:val="21"/>
      <w:szCs w:val="21"/>
    </w:rPr>
  </w:style>
  <w:style w:type="paragraph" w:customStyle="1" w:styleId="31">
    <w:name w:val=" Char Char Char1 Char Char Char Char Char Char Char Char Char Char"/>
    <w:basedOn w:val="1"/>
    <w:uiPriority w:val="0"/>
    <w:pPr>
      <w:adjustRightInd w:val="0"/>
      <w:snapToGrid w:val="0"/>
      <w:spacing w:line="360" w:lineRule="auto"/>
      <w:ind w:firstLine="200" w:firstLineChars="200"/>
    </w:pPr>
    <w:rPr>
      <w:rFonts w:eastAsia="宋体"/>
      <w:sz w:val="21"/>
      <w:szCs w:val="24"/>
    </w:rPr>
  </w:style>
  <w:style w:type="paragraph" w:customStyle="1" w:styleId="32">
    <w:name w:val="Char1"/>
    <w:basedOn w:val="1"/>
    <w:uiPriority w:val="0"/>
    <w:rPr>
      <w:rFonts w:ascii="Arial" w:hAnsi="Arial" w:eastAsia="仿宋_GB2312" w:cs="Arial"/>
      <w:sz w:val="20"/>
    </w:rPr>
  </w:style>
  <w:style w:type="paragraph" w:customStyle="1" w:styleId="33">
    <w:name w:val="列出段落1"/>
    <w:basedOn w:val="1"/>
    <w:uiPriority w:val="0"/>
    <w:pPr>
      <w:ind w:firstLine="420" w:firstLineChars="200"/>
    </w:pPr>
    <w:rPr>
      <w:rFonts w:ascii="Calibri" w:hAnsi="Calibri" w:eastAsia="宋体"/>
      <w:sz w:val="21"/>
      <w:szCs w:val="22"/>
    </w:rPr>
  </w:style>
  <w:style w:type="paragraph" w:customStyle="1" w:styleId="34">
    <w:name w:val="p16"/>
    <w:basedOn w:val="1"/>
    <w:uiPriority w:val="0"/>
    <w:pPr>
      <w:widowControl/>
    </w:pPr>
    <w:rPr>
      <w:rFonts w:ascii="Calibri" w:hAnsi="Calibri" w:eastAsia="宋体" w:cs="宋体"/>
      <w:kern w:val="0"/>
      <w:sz w:val="21"/>
      <w:szCs w:val="21"/>
    </w:rPr>
  </w:style>
  <w:style w:type="paragraph" w:customStyle="1" w:styleId="35">
    <w:name w:val="无间隔"/>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8</Pages>
  <Words>3103</Words>
  <Characters>3139</Characters>
  <Lines>23</Lines>
  <Paragraphs>6</Paragraphs>
  <TotalTime>3</TotalTime>
  <ScaleCrop>false</ScaleCrop>
  <LinksUpToDate>false</LinksUpToDate>
  <CharactersWithSpaces>3199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2020-01-02T07:36:00Z</dcterms:created>
  <dc:creator>微软中国</dc:creator>
  <cp:lastModifiedBy>李科</cp:lastModifiedBy>
  <cp:lastPrinted>2020-01-02T09:02:00Z</cp:lastPrinted>
  <dcterms:modified xsi:type="dcterms:W3CDTF">2023-02-23T12:47:22Z</dcterms:modified>
  <dc:title>（来文单位：□□□□）</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07D8321C3CEA4198A84BE359335D94CF</vt:lpwstr>
  </property>
</Properties>
</file>