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Pr>
        <w:jc w:val="center"/>
        <w:rPr>
          <w:rFonts w:hint="eastAsia" w:eastAsia="方正仿宋_GBK"/>
          <w:lang w:val="en-US" w:eastAsia="zh-CN"/>
        </w:rPr>
      </w:pPr>
      <w:r>
        <w:rPr>
          <w:rFonts w:hint="eastAsia"/>
          <w:lang w:eastAsia="zh-CN"/>
        </w:rPr>
        <w:t>綦江府办发〔2024〕24号</w:t>
      </w:r>
    </w:p>
    <w:p>
      <w:pPr>
        <w:jc w:val="center"/>
        <w:rPr>
          <w:rFonts w:hint="eastAsia" w:eastAsia="方正楷体_GBK"/>
        </w:rPr>
      </w:pPr>
    </w:p>
    <w:p>
      <w:pPr>
        <w:rPr>
          <w:rFonts w:hint="eastAsia" w:ascii="方正仿宋_GBK" w:hAnsi="方正仿宋_GBK" w:cs="方正仿宋_GBK"/>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eastAsia="方正小标宋_GBK" w:cs="Times New Roman"/>
          <w:i w:val="0"/>
          <w:iCs w:val="0"/>
          <w:caps w:val="0"/>
          <w:color w:val="000000"/>
          <w:spacing w:val="0"/>
          <w:sz w:val="44"/>
          <w:szCs w:val="44"/>
          <w:lang w:eastAsia="zh-CN"/>
        </w:rPr>
      </w:pPr>
      <w:r>
        <w:rPr>
          <w:rFonts w:ascii="Times New Roman" w:hAnsi="Times New Roman" w:eastAsia="方正小标宋_GBK" w:cs="Times New Roman"/>
          <w:i w:val="0"/>
          <w:iCs w:val="0"/>
          <w:caps w:val="0"/>
          <w:color w:val="000000"/>
          <w:spacing w:val="0"/>
          <w:sz w:val="44"/>
          <w:szCs w:val="44"/>
          <w:shd w:val="clear" w:fill="FFFFFF"/>
        </w:rPr>
        <w:t>重庆市</w:t>
      </w:r>
      <w:r>
        <w:rPr>
          <w:rFonts w:hint="default" w:ascii="Times New Roman" w:hAnsi="Times New Roman" w:eastAsia="方正小标宋_GBK" w:cs="Times New Roman"/>
          <w:i w:val="0"/>
          <w:iCs w:val="0"/>
          <w:caps w:val="0"/>
          <w:color w:val="000000"/>
          <w:spacing w:val="0"/>
          <w:sz w:val="44"/>
          <w:szCs w:val="44"/>
          <w:shd w:val="clear" w:fill="FFFFFF"/>
          <w:lang w:val="en-US" w:eastAsia="zh-CN"/>
        </w:rPr>
        <w:t>綦江区</w:t>
      </w:r>
      <w:r>
        <w:rPr>
          <w:rFonts w:ascii="Times New Roman" w:hAnsi="Times New Roman" w:eastAsia="方正小标宋_GBK" w:cs="Times New Roman"/>
          <w:i w:val="0"/>
          <w:iCs w:val="0"/>
          <w:caps w:val="0"/>
          <w:color w:val="000000"/>
          <w:spacing w:val="0"/>
          <w:sz w:val="44"/>
          <w:szCs w:val="44"/>
          <w:shd w:val="clear" w:fill="FFFFFF"/>
        </w:rPr>
        <w:t>人民政府办公</w:t>
      </w:r>
      <w:r>
        <w:rPr>
          <w:rFonts w:hint="default" w:ascii="Times New Roman" w:hAnsi="Times New Roman" w:eastAsia="方正小标宋_GBK" w:cs="Times New Roman"/>
          <w:i w:val="0"/>
          <w:iCs w:val="0"/>
          <w:caps w:val="0"/>
          <w:color w:val="000000"/>
          <w:spacing w:val="0"/>
          <w:sz w:val="44"/>
          <w:szCs w:val="44"/>
          <w:shd w:val="clear" w:fill="FFFFFF"/>
          <w:lang w:val="en-US" w:eastAsia="zh-CN"/>
        </w:rPr>
        <w:t>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eastAsia="方正小标宋_GBK" w:cs="Times New Roman"/>
          <w:i w:val="0"/>
          <w:iCs w:val="0"/>
          <w:caps w:val="0"/>
          <w:color w:val="000000"/>
          <w:spacing w:val="0"/>
          <w:sz w:val="44"/>
          <w:szCs w:val="44"/>
          <w:shd w:val="clear" w:fill="FFFFFF"/>
          <w:lang w:val="en-US" w:eastAsia="zh-CN"/>
        </w:rPr>
      </w:pPr>
      <w:r>
        <w:rPr>
          <w:rFonts w:hint="default" w:ascii="Times New Roman" w:hAnsi="Times New Roman" w:eastAsia="方正小标宋_GBK" w:cs="Times New Roman"/>
          <w:i w:val="0"/>
          <w:iCs w:val="0"/>
          <w:caps w:val="0"/>
          <w:color w:val="000000"/>
          <w:spacing w:val="0"/>
          <w:sz w:val="44"/>
          <w:szCs w:val="44"/>
          <w:shd w:val="clear" w:fill="FFFFFF"/>
        </w:rPr>
        <w:t>关于</w:t>
      </w:r>
      <w:r>
        <w:rPr>
          <w:rFonts w:hint="default" w:ascii="Times New Roman" w:hAnsi="Times New Roman" w:eastAsia="方正小标宋_GBK" w:cs="Times New Roman"/>
          <w:i w:val="0"/>
          <w:iCs w:val="0"/>
          <w:caps w:val="0"/>
          <w:color w:val="000000"/>
          <w:spacing w:val="0"/>
          <w:sz w:val="44"/>
          <w:szCs w:val="44"/>
          <w:shd w:val="clear" w:fill="FFFFFF"/>
          <w:lang w:val="en-US" w:eastAsia="zh-CN"/>
        </w:rPr>
        <w:t>加快推进綦江区</w:t>
      </w:r>
      <w:r>
        <w:rPr>
          <w:rFonts w:hint="default" w:ascii="Times New Roman" w:hAnsi="Times New Roman" w:eastAsia="方正小标宋_GBK" w:cs="Times New Roman"/>
          <w:i w:val="0"/>
          <w:iCs w:val="0"/>
          <w:caps w:val="0"/>
          <w:color w:val="000000"/>
          <w:spacing w:val="0"/>
          <w:sz w:val="44"/>
          <w:szCs w:val="44"/>
          <w:shd w:val="clear" w:fill="FFFFFF"/>
        </w:rPr>
        <w:t>新能源汽车便捷超充</w:t>
      </w:r>
      <w:r>
        <w:rPr>
          <w:rFonts w:hint="default" w:ascii="Times New Roman" w:hAnsi="Times New Roman" w:eastAsia="方正小标宋_GBK" w:cs="Times New Roman"/>
          <w:i w:val="0"/>
          <w:iCs w:val="0"/>
          <w:caps w:val="0"/>
          <w:color w:val="000000"/>
          <w:spacing w:val="0"/>
          <w:sz w:val="44"/>
          <w:szCs w:val="44"/>
          <w:shd w:val="clear" w:fill="FFFFFF"/>
          <w:lang w:val="en-US" w:eastAsia="zh-CN"/>
        </w:rPr>
        <w:t>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eastAsia="方正小标宋_GBK" w:cs="Times New Roman"/>
          <w:i w:val="0"/>
          <w:iCs w:val="0"/>
          <w:caps w:val="0"/>
          <w:color w:val="000000"/>
          <w:spacing w:val="0"/>
          <w:sz w:val="44"/>
          <w:szCs w:val="44"/>
          <w:lang w:eastAsia="zh-CN"/>
        </w:rPr>
      </w:pPr>
      <w:r>
        <w:rPr>
          <w:rFonts w:hint="default" w:ascii="Times New Roman" w:hAnsi="Times New Roman" w:eastAsia="方正小标宋_GBK" w:cs="Times New Roman"/>
          <w:i w:val="0"/>
          <w:iCs w:val="0"/>
          <w:caps w:val="0"/>
          <w:color w:val="000000"/>
          <w:spacing w:val="0"/>
          <w:sz w:val="44"/>
          <w:szCs w:val="44"/>
          <w:shd w:val="clear" w:fill="FFFFFF"/>
          <w:lang w:val="en-US" w:eastAsia="zh-CN"/>
        </w:rPr>
        <w:t>建设</w:t>
      </w:r>
      <w:r>
        <w:rPr>
          <w:rFonts w:hint="default" w:ascii="Times New Roman" w:hAnsi="Times New Roman" w:eastAsia="方正小标宋_GBK" w:cs="Times New Roman"/>
          <w:i w:val="0"/>
          <w:iCs w:val="0"/>
          <w:caps w:val="0"/>
          <w:color w:val="000000"/>
          <w:spacing w:val="0"/>
          <w:sz w:val="44"/>
          <w:szCs w:val="44"/>
          <w:shd w:val="clear" w:fill="FFFFFF"/>
        </w:rPr>
        <w:t>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ascii="Times New Roman" w:hAnsi="Times New Roman" w:eastAsia="方正仿宋_GBK" w:cs="Times New Roman"/>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ascii="Times New Roman" w:hAnsi="Times New Roman" w:eastAsia="方正仿宋_GBK" w:cs="Times New Roman"/>
          <w:i w:val="0"/>
          <w:iCs w:val="0"/>
          <w:caps w:val="0"/>
          <w:color w:val="000000"/>
          <w:spacing w:val="0"/>
          <w:sz w:val="32"/>
          <w:szCs w:val="32"/>
          <w:shd w:val="clear" w:fill="FFFFFF"/>
        </w:rPr>
      </w:pPr>
      <w:r>
        <w:rPr>
          <w:rFonts w:ascii="Times New Roman" w:hAnsi="Times New Roman" w:eastAsia="方正仿宋_GBK" w:cs="Times New Roman"/>
          <w:i w:val="0"/>
          <w:iCs w:val="0"/>
          <w:caps w:val="0"/>
          <w:color w:val="000000"/>
          <w:spacing w:val="0"/>
          <w:sz w:val="32"/>
          <w:szCs w:val="32"/>
          <w:shd w:val="clear" w:fill="FFFFFF"/>
        </w:rPr>
        <w:t>各</w:t>
      </w:r>
      <w:r>
        <w:rPr>
          <w:rFonts w:hint="default" w:ascii="Times New Roman" w:hAnsi="Times New Roman" w:eastAsia="方正仿宋_GBK" w:cs="Times New Roman"/>
          <w:i w:val="0"/>
          <w:iCs w:val="0"/>
          <w:caps w:val="0"/>
          <w:color w:val="000000"/>
          <w:spacing w:val="0"/>
          <w:sz w:val="32"/>
          <w:szCs w:val="32"/>
          <w:shd w:val="clear" w:fill="FFFFFF"/>
          <w:lang w:val="en-US" w:eastAsia="zh-CN"/>
        </w:rPr>
        <w:t>街道办事处、各镇</w:t>
      </w:r>
      <w:r>
        <w:rPr>
          <w:rFonts w:ascii="Times New Roman" w:hAnsi="Times New Roman" w:eastAsia="方正仿宋_GBK" w:cs="Times New Roman"/>
          <w:i w:val="0"/>
          <w:iCs w:val="0"/>
          <w:caps w:val="0"/>
          <w:color w:val="000000"/>
          <w:spacing w:val="0"/>
          <w:sz w:val="32"/>
          <w:szCs w:val="32"/>
          <w:shd w:val="clear" w:fill="FFFFFF"/>
        </w:rPr>
        <w:t>人民政府，</w:t>
      </w:r>
      <w:r>
        <w:rPr>
          <w:rFonts w:hint="default" w:ascii="Times New Roman" w:hAnsi="Times New Roman" w:eastAsia="方正仿宋_GBK" w:cs="Times New Roman"/>
          <w:i w:val="0"/>
          <w:iCs w:val="0"/>
          <w:caps w:val="0"/>
          <w:color w:val="000000"/>
          <w:spacing w:val="0"/>
          <w:sz w:val="32"/>
          <w:szCs w:val="32"/>
          <w:shd w:val="clear" w:fill="FFFFFF"/>
          <w:lang w:val="en-US" w:eastAsia="zh-CN"/>
        </w:rPr>
        <w:t>区</w:t>
      </w:r>
      <w:r>
        <w:rPr>
          <w:rFonts w:ascii="Times New Roman" w:hAnsi="Times New Roman" w:eastAsia="方正仿宋_GBK" w:cs="Times New Roman"/>
          <w:i w:val="0"/>
          <w:iCs w:val="0"/>
          <w:caps w:val="0"/>
          <w:color w:val="000000"/>
          <w:spacing w:val="0"/>
          <w:sz w:val="32"/>
          <w:szCs w:val="32"/>
          <w:shd w:val="clear" w:fill="FFFFFF"/>
        </w:rPr>
        <w:t>政府各部门，有关单位：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按照</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重庆市人民政府办公厅关于印发</w:t>
      </w:r>
      <w:r>
        <w:rPr>
          <w:rFonts w:hint="default" w:ascii="Times New Roman" w:hAnsi="Times New Roman" w:eastAsia="方正仿宋_GBK" w:cs="Times New Roman"/>
          <w:i w:val="0"/>
          <w:iCs w:val="0"/>
          <w:caps w:val="0"/>
          <w:color w:val="000000"/>
          <w:spacing w:val="0"/>
          <w:sz w:val="32"/>
          <w:szCs w:val="32"/>
          <w:shd w:val="clear" w:fill="FFFFFF"/>
          <w:lang w:val="en-US" w:eastAsia="zh-CN"/>
        </w:rPr>
        <w:t>〈</w:t>
      </w:r>
      <w:r>
        <w:rPr>
          <w:rFonts w:hint="default" w:ascii="Times New Roman" w:hAnsi="Times New Roman" w:eastAsia="方正仿宋_GBK" w:cs="Times New Roman"/>
          <w:i w:val="0"/>
          <w:iCs w:val="0"/>
          <w:caps w:val="0"/>
          <w:color w:val="000000"/>
          <w:spacing w:val="0"/>
          <w:sz w:val="32"/>
          <w:szCs w:val="32"/>
          <w:shd w:val="clear" w:fill="FFFFFF"/>
        </w:rPr>
        <w:t>重庆市新能源汽车便捷超充行动计划（2024—2025年）</w:t>
      </w:r>
      <w:r>
        <w:rPr>
          <w:rFonts w:hint="default" w:ascii="Times New Roman" w:hAnsi="Times New Roman" w:eastAsia="方正仿宋_GBK" w:cs="Times New Roman"/>
          <w:i w:val="0"/>
          <w:iCs w:val="0"/>
          <w:caps w:val="0"/>
          <w:color w:val="000000"/>
          <w:spacing w:val="0"/>
          <w:sz w:val="32"/>
          <w:szCs w:val="32"/>
          <w:shd w:val="clear" w:fill="FFFFFF"/>
          <w:lang w:val="en-US" w:eastAsia="zh-CN"/>
        </w:rPr>
        <w:t>〉</w:t>
      </w:r>
      <w:r>
        <w:rPr>
          <w:rFonts w:hint="default" w:ascii="Times New Roman" w:hAnsi="Times New Roman" w:eastAsia="方正仿宋_GBK" w:cs="Times New Roman"/>
          <w:i w:val="0"/>
          <w:iCs w:val="0"/>
          <w:caps w:val="0"/>
          <w:color w:val="000000"/>
          <w:spacing w:val="0"/>
          <w:sz w:val="32"/>
          <w:szCs w:val="32"/>
          <w:shd w:val="clear" w:fill="FFFFFF"/>
        </w:rPr>
        <w:t>的通知</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渝府办发</w:t>
      </w:r>
      <w:r>
        <w:rPr>
          <w:rFonts w:hint="default" w:ascii="Times New Roman" w:hAnsi="Times New Roman" w:eastAsia="方正仿宋_GBK" w:cs="Times New Roman"/>
          <w:i w:val="0"/>
          <w:iCs w:val="0"/>
          <w:caps w:val="0"/>
          <w:color w:val="000000"/>
          <w:spacing w:val="0"/>
          <w:sz w:val="32"/>
          <w:szCs w:val="32"/>
          <w:shd w:val="clear" w:fill="FFFFFF"/>
        </w:rPr>
        <w:t>〔202</w:t>
      </w:r>
      <w:r>
        <w:rPr>
          <w:rFonts w:hint="default" w:ascii="Times New Roman" w:hAnsi="Times New Roman" w:eastAsia="方正仿宋_GBK" w:cs="Times New Roman"/>
          <w:i w:val="0"/>
          <w:iCs w:val="0"/>
          <w:caps w:val="0"/>
          <w:color w:val="000000"/>
          <w:spacing w:val="0"/>
          <w:sz w:val="32"/>
          <w:szCs w:val="32"/>
          <w:shd w:val="clear" w:fill="FFFFFF"/>
          <w:lang w:val="en-US" w:eastAsia="zh-CN"/>
        </w:rPr>
        <w:t>4</w:t>
      </w: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29</w:t>
      </w:r>
      <w:r>
        <w:rPr>
          <w:rFonts w:hint="default" w:ascii="Times New Roman" w:hAnsi="Times New Roman" w:eastAsia="方正仿宋_GBK" w:cs="Times New Roman"/>
          <w:i w:val="0"/>
          <w:iCs w:val="0"/>
          <w:caps w:val="0"/>
          <w:color w:val="000000"/>
          <w:spacing w:val="0"/>
          <w:sz w:val="32"/>
          <w:szCs w:val="32"/>
          <w:shd w:val="clear" w:fill="FFFFFF"/>
        </w:rPr>
        <w:t>号）文件精神，</w:t>
      </w:r>
      <w:r>
        <w:rPr>
          <w:rFonts w:hint="default" w:ascii="Times New Roman" w:hAnsi="Times New Roman" w:eastAsia="方正仿宋_GBK" w:cs="Times New Roman"/>
          <w:i w:val="0"/>
          <w:iCs w:val="0"/>
          <w:caps w:val="0"/>
          <w:color w:val="000000"/>
          <w:spacing w:val="0"/>
          <w:sz w:val="32"/>
          <w:szCs w:val="32"/>
          <w:shd w:val="clear" w:fill="FFFFFF"/>
          <w:lang w:val="en-US" w:eastAsia="zh-CN"/>
        </w:rPr>
        <w:t>为加快我区新能源汽车便捷超充站建设，</w:t>
      </w:r>
      <w:r>
        <w:rPr>
          <w:rFonts w:hint="default" w:ascii="Times New Roman" w:hAnsi="Times New Roman" w:eastAsia="方正仿宋_GBK" w:cs="Times New Roman"/>
          <w:i w:val="0"/>
          <w:iCs w:val="0"/>
          <w:caps w:val="0"/>
          <w:color w:val="000000"/>
          <w:spacing w:val="0"/>
          <w:sz w:val="32"/>
          <w:szCs w:val="32"/>
          <w:shd w:val="clear" w:fill="FFFFFF"/>
        </w:rPr>
        <w:t>构建以超充为主体、新能源汽车与电网融合互动的高质量充电基础设施体系，助力世界级智能网联新能源汽车产业集群建设，促进经济社会发展全面绿色转型</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经区政府同意，现将加快推进我区新能源汽车便捷超充站建设相关事项通知如下</w:t>
      </w:r>
      <w:r>
        <w:rPr>
          <w:rFonts w:hint="default" w:ascii="Times New Roman" w:hAnsi="Times New Roman" w:eastAsia="方正仿宋_GBK" w:cs="Times New Roman"/>
          <w:i w:val="0"/>
          <w:iCs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default" w:ascii="Times New Roman" w:hAnsi="Times New Roman" w:eastAsia="宋体" w:cs="Times New Roman"/>
          <w:i w:val="0"/>
          <w:iCs w:val="0"/>
          <w:caps w:val="0"/>
          <w:color w:val="000000"/>
          <w:spacing w:val="0"/>
          <w:sz w:val="32"/>
          <w:szCs w:val="32"/>
        </w:rPr>
      </w:pPr>
      <w:r>
        <w:rPr>
          <w:rFonts w:ascii="Times New Roman" w:hAnsi="Times New Roman" w:eastAsia="方正黑体_GBK" w:cs="Times New Roman"/>
          <w:i w:val="0"/>
          <w:iCs w:val="0"/>
          <w:caps w:val="0"/>
          <w:color w:val="000000"/>
          <w:spacing w:val="0"/>
          <w:sz w:val="32"/>
          <w:szCs w:val="32"/>
          <w:shd w:val="clear" w:fill="FFFFFF"/>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政</w:t>
      </w:r>
      <w:r>
        <w:rPr>
          <w:rFonts w:hint="eastAsia" w:ascii="方正仿宋_GBK" w:hAnsi="方正仿宋_GBK" w:eastAsia="方正仿宋_GBK" w:cs="方正仿宋_GBK"/>
          <w:i w:val="0"/>
          <w:iCs w:val="0"/>
          <w:caps w:val="0"/>
          <w:color w:val="000000"/>
          <w:spacing w:val="0"/>
          <w:sz w:val="32"/>
          <w:szCs w:val="32"/>
          <w:shd w:val="clear" w:fill="FFFFFF"/>
        </w:rPr>
        <w:t>府引导，市场主导。加强总体设计，坚持系统观念，从社会整体效益的高度进行统筹谋划。营造良好环境和创新机制，充分调动市场主体积极性，建立系统化市场推进机制。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智能便捷，适度超前。公共快充站新建站均应具备超充能力，现有充电站逐步改造成为超充站，形成“</w:t>
      </w:r>
      <w:r>
        <w:rPr>
          <w:rFonts w:hint="default" w:ascii="Times New Roman" w:hAnsi="Times New Roman" w:eastAsia="方正仿宋_GBK"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公里超充圈”。应建尽建，适度超前布局超充桩建</w:t>
      </w:r>
      <w:bookmarkStart w:id="0" w:name="_GoBack"/>
      <w:r>
        <w:rPr>
          <w:rFonts w:hint="eastAsia" w:ascii="方正仿宋_GBK" w:hAnsi="方正仿宋_GBK" w:eastAsia="方正仿宋_GBK" w:cs="方正仿宋_GBK"/>
          <w:i w:val="0"/>
          <w:iCs w:val="0"/>
          <w:caps w:val="0"/>
          <w:color w:val="000000"/>
          <w:spacing w:val="0"/>
          <w:sz w:val="32"/>
          <w:szCs w:val="32"/>
          <w:shd w:val="clear" w:fill="FFFFFF"/>
        </w:rPr>
        <w:t>设，满足多样化快速充电需求。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数智赋能，强化支撑。以数字化、智能化、绿色化统筹推进，强化电网建设，超充站所在区域配电网承载力合理充裕、感知力精准灵敏，有力支撑大规模、大功率充电负荷接入。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r>
        <w:rPr>
          <w:rFonts w:hint="eastAsia" w:ascii="方正仿宋_GBK" w:hAnsi="方正仿宋_GBK" w:eastAsia="方正仿宋_GBK" w:cs="方正仿宋_GBK"/>
          <w:i w:val="0"/>
          <w:iCs w:val="0"/>
          <w:caps w:val="0"/>
          <w:color w:val="000000"/>
          <w:spacing w:val="0"/>
          <w:sz w:val="32"/>
          <w:szCs w:val="32"/>
          <w:shd w:val="clear" w:fill="FFFFFF"/>
        </w:rPr>
        <w:t>创新融合，安全高效。推动“光储充”、智能微电网等新技术、新业态、新模式融合应用，加强充电基础设施全生命周期安全管理，强化质量安全、运行安全和信息安全，全面提升服务质量效率。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lang w:val="en-US" w:eastAsia="zh-CN"/>
        </w:rPr>
        <w:t>二、</w:t>
      </w:r>
      <w:r>
        <w:rPr>
          <w:rFonts w:hint="default" w:ascii="Times New Roman" w:hAnsi="Times New Roman" w:eastAsia="方正黑体_GBK" w:cs="Times New Roman"/>
          <w:i w:val="0"/>
          <w:iCs w:val="0"/>
          <w:caps w:val="0"/>
          <w:color w:val="000000"/>
          <w:spacing w:val="0"/>
          <w:sz w:val="32"/>
          <w:szCs w:val="32"/>
          <w:shd w:val="clear" w:fill="FFFFFF"/>
        </w:rPr>
        <w:t>发展目标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到2025年年底，实现新能源汽车与超充网络相互协同、与电网融合互动，建成布局均衡、充电便捷、智能高效、机制完备、技术先进的便捷超充生态，</w:t>
      </w:r>
      <w:r>
        <w:rPr>
          <w:rFonts w:hint="default" w:ascii="Times New Roman" w:hAnsi="Times New Roman" w:eastAsia="方正仿宋_GBK" w:cs="Times New Roman"/>
          <w:i w:val="0"/>
          <w:iCs w:val="0"/>
          <w:caps w:val="0"/>
          <w:color w:val="000000"/>
          <w:spacing w:val="0"/>
          <w:sz w:val="32"/>
          <w:szCs w:val="32"/>
          <w:shd w:val="clear" w:fill="FFFFFF"/>
          <w:lang w:val="en-US" w:eastAsia="zh-CN"/>
        </w:rPr>
        <w:t>全区</w:t>
      </w:r>
      <w:r>
        <w:rPr>
          <w:rFonts w:hint="default" w:ascii="Times New Roman" w:hAnsi="Times New Roman" w:eastAsia="方正仿宋_GBK" w:cs="Times New Roman"/>
          <w:i w:val="0"/>
          <w:iCs w:val="0"/>
          <w:caps w:val="0"/>
          <w:color w:val="000000"/>
          <w:spacing w:val="0"/>
          <w:sz w:val="32"/>
          <w:szCs w:val="32"/>
          <w:shd w:val="clear" w:fill="FFFFFF"/>
        </w:rPr>
        <w:t>建成</w:t>
      </w:r>
      <w:r>
        <w:rPr>
          <w:rFonts w:hint="default" w:ascii="Times New Roman" w:hAnsi="Times New Roman" w:eastAsia="方正仿宋_GBK" w:cs="Times New Roman"/>
          <w:i w:val="0"/>
          <w:iCs w:val="0"/>
          <w:caps w:val="0"/>
          <w:color w:val="000000"/>
          <w:spacing w:val="0"/>
          <w:sz w:val="32"/>
          <w:szCs w:val="32"/>
          <w:shd w:val="clear" w:fill="FFFFFF"/>
          <w:lang w:val="en-US" w:eastAsia="zh-CN"/>
        </w:rPr>
        <w:t>便捷</w:t>
      </w:r>
      <w:r>
        <w:rPr>
          <w:rFonts w:hint="default" w:ascii="Times New Roman" w:hAnsi="Times New Roman" w:eastAsia="方正仿宋_GBK" w:cs="Times New Roman"/>
          <w:i w:val="0"/>
          <w:iCs w:val="0"/>
          <w:caps w:val="0"/>
          <w:color w:val="000000"/>
          <w:spacing w:val="0"/>
          <w:sz w:val="32"/>
          <w:szCs w:val="32"/>
          <w:shd w:val="clear" w:fill="FFFFFF"/>
        </w:rPr>
        <w:t>超充站</w:t>
      </w:r>
      <w:r>
        <w:rPr>
          <w:rFonts w:hint="default" w:ascii="Times New Roman" w:hAnsi="Times New Roman" w:eastAsia="方正仿宋_GBK" w:cs="Times New Roman"/>
          <w:i w:val="0"/>
          <w:iCs w:val="0"/>
          <w:caps w:val="0"/>
          <w:color w:val="000000"/>
          <w:spacing w:val="0"/>
          <w:sz w:val="32"/>
          <w:szCs w:val="32"/>
          <w:shd w:val="clear" w:fill="FFFFFF"/>
          <w:lang w:val="en-US" w:eastAsia="zh-CN"/>
        </w:rPr>
        <w:t>27</w:t>
      </w:r>
      <w:r>
        <w:rPr>
          <w:rFonts w:hint="default" w:ascii="Times New Roman" w:hAnsi="Times New Roman" w:eastAsia="方正仿宋_GBK" w:cs="Times New Roman"/>
          <w:i w:val="0"/>
          <w:iCs w:val="0"/>
          <w:caps w:val="0"/>
          <w:color w:val="000000"/>
          <w:spacing w:val="0"/>
          <w:sz w:val="32"/>
          <w:szCs w:val="32"/>
          <w:shd w:val="clear" w:fill="FFFFFF"/>
        </w:rPr>
        <w:t>座</w:t>
      </w:r>
      <w:r>
        <w:rPr>
          <w:rFonts w:hint="default" w:ascii="Times New Roman" w:hAnsi="Times New Roman" w:eastAsia="方正仿宋_GBK" w:cs="Times New Roman"/>
          <w:i w:val="0"/>
          <w:iCs w:val="0"/>
          <w:caps w:val="0"/>
          <w:color w:val="000000"/>
          <w:spacing w:val="0"/>
          <w:sz w:val="32"/>
          <w:szCs w:val="32"/>
          <w:shd w:val="clear" w:fill="FFFFFF"/>
          <w:lang w:val="en-US" w:eastAsia="zh-CN"/>
        </w:rPr>
        <w:t>（其中：</w:t>
      </w:r>
      <w:r>
        <w:rPr>
          <w:rFonts w:hint="default" w:ascii="Times New Roman" w:hAnsi="Times New Roman" w:eastAsia="方正仿宋_GBK" w:cs="Times New Roman"/>
          <w:i w:val="0"/>
          <w:iCs w:val="0"/>
          <w:caps w:val="0"/>
          <w:color w:val="000000"/>
          <w:spacing w:val="0"/>
          <w:sz w:val="32"/>
          <w:szCs w:val="32"/>
          <w:shd w:val="clear" w:fill="FFFFFF"/>
        </w:rPr>
        <w:t>2024年建成</w:t>
      </w:r>
      <w:r>
        <w:rPr>
          <w:rFonts w:hint="default" w:ascii="Times New Roman" w:hAnsi="Times New Roman" w:eastAsia="方正仿宋_GBK" w:cs="Times New Roman"/>
          <w:i w:val="0"/>
          <w:iCs w:val="0"/>
          <w:caps w:val="0"/>
          <w:color w:val="000000"/>
          <w:spacing w:val="0"/>
          <w:sz w:val="32"/>
          <w:szCs w:val="32"/>
          <w:shd w:val="clear" w:fill="FFFFFF"/>
          <w:lang w:val="en-US" w:eastAsia="zh-CN"/>
        </w:rPr>
        <w:t>13</w:t>
      </w:r>
      <w:r>
        <w:rPr>
          <w:rFonts w:hint="default" w:ascii="Times New Roman" w:hAnsi="Times New Roman" w:eastAsia="方正仿宋_GBK" w:cs="Times New Roman"/>
          <w:i w:val="0"/>
          <w:iCs w:val="0"/>
          <w:caps w:val="0"/>
          <w:color w:val="000000"/>
          <w:spacing w:val="0"/>
          <w:sz w:val="32"/>
          <w:szCs w:val="32"/>
          <w:shd w:val="clear" w:fill="FFFFFF"/>
        </w:rPr>
        <w:t>座超充站，</w:t>
      </w:r>
      <w:r>
        <w:rPr>
          <w:rFonts w:hint="default" w:ascii="Times New Roman" w:hAnsi="Times New Roman" w:eastAsia="方正仿宋_GBK" w:cs="Times New Roman"/>
          <w:i w:val="0"/>
          <w:iCs w:val="0"/>
          <w:caps w:val="0"/>
          <w:color w:val="000000"/>
          <w:spacing w:val="0"/>
          <w:sz w:val="32"/>
          <w:szCs w:val="32"/>
          <w:shd w:val="clear" w:fill="FFFFFF"/>
          <w:lang w:val="en-US" w:eastAsia="zh-CN"/>
        </w:rPr>
        <w:t>2025年建成14座超充站）</w:t>
      </w:r>
      <w:r>
        <w:rPr>
          <w:rFonts w:hint="default" w:ascii="Times New Roman" w:hAnsi="Times New Roman" w:eastAsia="方正仿宋_GBK" w:cs="Times New Roman"/>
          <w:i w:val="0"/>
          <w:iCs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default" w:ascii="Times New Roman" w:hAnsi="Times New Roman" w:eastAsia="方正黑体_GBK" w:cs="Times New Roman"/>
          <w:i w:val="0"/>
          <w:iCs w:val="0"/>
          <w:caps w:val="0"/>
          <w:color w:val="000000"/>
          <w:spacing w:val="0"/>
          <w:sz w:val="32"/>
          <w:szCs w:val="32"/>
          <w:lang w:val="en-US" w:eastAsia="zh-CN"/>
        </w:rPr>
      </w:pPr>
      <w:r>
        <w:rPr>
          <w:rFonts w:hint="default" w:ascii="Times New Roman" w:hAnsi="Times New Roman" w:eastAsia="方正黑体_GBK" w:cs="Times New Roman"/>
          <w:i w:val="0"/>
          <w:iCs w:val="0"/>
          <w:caps w:val="0"/>
          <w:color w:val="000000"/>
          <w:spacing w:val="0"/>
          <w:sz w:val="32"/>
          <w:szCs w:val="32"/>
          <w:shd w:val="clear" w:fill="FFFFFF"/>
          <w:lang w:val="en-US" w:eastAsia="zh-CN"/>
        </w:rPr>
        <w:t>三</w:t>
      </w:r>
      <w:r>
        <w:rPr>
          <w:rFonts w:hint="default" w:ascii="Times New Roman" w:hAnsi="Times New Roman" w:eastAsia="方正黑体_GBK" w:cs="Times New Roman"/>
          <w:i w:val="0"/>
          <w:iCs w:val="0"/>
          <w:caps w:val="0"/>
          <w:color w:val="000000"/>
          <w:spacing w:val="0"/>
          <w:sz w:val="32"/>
          <w:szCs w:val="32"/>
          <w:shd w:val="clear" w:fill="FFFFFF"/>
        </w:rPr>
        <w:t>、</w:t>
      </w:r>
      <w:r>
        <w:rPr>
          <w:rFonts w:hint="default" w:ascii="Times New Roman" w:hAnsi="Times New Roman" w:eastAsia="方正黑体_GBK" w:cs="Times New Roman"/>
          <w:i w:val="0"/>
          <w:iCs w:val="0"/>
          <w:caps w:val="0"/>
          <w:color w:val="000000"/>
          <w:spacing w:val="0"/>
          <w:sz w:val="32"/>
          <w:szCs w:val="32"/>
          <w:shd w:val="clear" w:fill="FFFFFF"/>
          <w:lang w:val="en-US" w:eastAsia="zh-CN"/>
        </w:rPr>
        <w:t>工作措施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default" w:ascii="Times New Roman" w:hAnsi="Times New Roman" w:eastAsia="方正楷体_GBK" w:cs="Times New Roman"/>
          <w:i w:val="0"/>
          <w:iCs w:val="0"/>
          <w:caps w:val="0"/>
          <w:color w:val="000000"/>
          <w:spacing w:val="0"/>
          <w:sz w:val="32"/>
          <w:szCs w:val="32"/>
          <w:lang w:eastAsia="zh-CN"/>
        </w:rPr>
      </w:pPr>
      <w:r>
        <w:rPr>
          <w:rFonts w:hint="default" w:ascii="Times New Roman" w:hAnsi="Times New Roman" w:eastAsia="方正楷体_GBK" w:cs="Times New Roman"/>
          <w:i w:val="0"/>
          <w:iCs w:val="0"/>
          <w:caps w:val="0"/>
          <w:color w:val="000000"/>
          <w:spacing w:val="0"/>
          <w:sz w:val="32"/>
          <w:szCs w:val="32"/>
          <w:shd w:val="clear" w:fill="FFFFFF"/>
        </w:rPr>
        <w:t>（一）科学规划布局</w:t>
      </w:r>
      <w:r>
        <w:rPr>
          <w:rFonts w:hint="default" w:ascii="Times New Roman" w:hAnsi="Times New Roman" w:eastAsia="方正楷体_GBK" w:cs="Times New Roman"/>
          <w:i w:val="0"/>
          <w:iCs w:val="0"/>
          <w:caps w:val="0"/>
          <w:color w:val="000000"/>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目前</w:t>
      </w:r>
      <w:r>
        <w:rPr>
          <w:rFonts w:hint="eastAsia" w:ascii="Times New Roman" w:hAnsi="Times New Roman" w:eastAsia="方正仿宋_GBK" w:cs="Times New Roman"/>
          <w:i w:val="0"/>
          <w:iCs w:val="0"/>
          <w:caps w:val="0"/>
          <w:color w:val="000000"/>
          <w:spacing w:val="0"/>
          <w:sz w:val="32"/>
          <w:szCs w:val="32"/>
          <w:shd w:val="clear" w:fill="FFFFFF"/>
          <w:lang w:val="en-US" w:eastAsia="zh-CN"/>
        </w:rPr>
        <w:t>，我区已建成公共充电站</w:t>
      </w:r>
      <w:r>
        <w:rPr>
          <w:rFonts w:hint="default" w:ascii="Times New Roman" w:hAnsi="Times New Roman" w:eastAsia="方正仿宋_GBK" w:cs="Times New Roman"/>
          <w:i w:val="0"/>
          <w:iCs w:val="0"/>
          <w:caps w:val="0"/>
          <w:color w:val="000000"/>
          <w:spacing w:val="0"/>
          <w:sz w:val="32"/>
          <w:szCs w:val="32"/>
          <w:shd w:val="clear" w:fill="FFFFFF"/>
          <w:lang w:val="en-US" w:eastAsia="zh-CN"/>
        </w:rPr>
        <w:t>30</w:t>
      </w:r>
      <w:r>
        <w:rPr>
          <w:rFonts w:hint="eastAsia" w:ascii="Times New Roman" w:hAnsi="Times New Roman" w:eastAsia="方正仿宋_GBK" w:cs="Times New Roman"/>
          <w:i w:val="0"/>
          <w:iCs w:val="0"/>
          <w:caps w:val="0"/>
          <w:color w:val="000000"/>
          <w:spacing w:val="0"/>
          <w:sz w:val="32"/>
          <w:szCs w:val="32"/>
          <w:shd w:val="clear" w:fill="FFFFFF"/>
          <w:lang w:val="en-US" w:eastAsia="zh-CN"/>
        </w:rPr>
        <w:t>座，建有充电桩355台，按照“智能便捷、适度超前”的建设原则，为构建“1小时超充圈”，实现公共停车场、商业聚集区、加油加气站、轨道交通设施、广场和绿地、城市边角地、公交枢纽站、旅游景区等重点场景全覆盖，规划通过新建或改建等方式建设单枪功率480千瓦及以上的超充站27座（其中公共停车场12座、商业聚集区2座、加油加气站3座、轨道交通设施1座、广场和绿地2座、城市边角地2座、公交枢纽3座、旅游景区1座、其他类1座），到2025年，实现超充基础设施合理布局和场景全覆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32" w:firstLineChars="20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w:t>
      </w:r>
      <w:r>
        <w:rPr>
          <w:rFonts w:hint="default" w:ascii="Times New Roman" w:hAnsi="Times New Roman" w:eastAsia="方正楷体_GBK" w:cs="Times New Roman"/>
          <w:i w:val="0"/>
          <w:iCs w:val="0"/>
          <w:caps w:val="0"/>
          <w:color w:val="000000"/>
          <w:spacing w:val="0"/>
          <w:sz w:val="32"/>
          <w:szCs w:val="32"/>
          <w:shd w:val="clear" w:fill="FFFFFF"/>
          <w:lang w:val="en-US" w:eastAsia="zh-CN"/>
        </w:rPr>
        <w:t>二</w:t>
      </w:r>
      <w:r>
        <w:rPr>
          <w:rFonts w:hint="default" w:ascii="Times New Roman" w:hAnsi="Times New Roman" w:eastAsia="方正楷体_GBK" w:cs="Times New Roman"/>
          <w:i w:val="0"/>
          <w:iCs w:val="0"/>
          <w:caps w:val="0"/>
          <w:color w:val="000000"/>
          <w:spacing w:val="0"/>
          <w:sz w:val="32"/>
          <w:szCs w:val="32"/>
          <w:shd w:val="clear" w:fill="FFFFFF"/>
        </w:rPr>
        <w:t>）</w:t>
      </w:r>
      <w:r>
        <w:rPr>
          <w:rFonts w:hint="default" w:ascii="Times New Roman" w:hAnsi="Times New Roman" w:eastAsia="方正楷体_GBK" w:cs="Times New Roman"/>
          <w:i w:val="0"/>
          <w:iCs w:val="0"/>
          <w:caps w:val="0"/>
          <w:color w:val="000000"/>
          <w:spacing w:val="0"/>
          <w:sz w:val="32"/>
          <w:szCs w:val="32"/>
          <w:shd w:val="clear" w:fill="FFFFFF"/>
          <w:lang w:val="en-US" w:eastAsia="zh-CN"/>
        </w:rPr>
        <w:t>明确建设主体。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实行政府引导，市场</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主导，多种运营方式相结合的方式鼓励社会资本参与建设。对于改建超充站点，按照“谁建设谁改建”的原则，综合施策，优先支持原有建设单位通过改建的方式完成超充站点建设；对于新建超充站点按照市场化运作模式，引导社会资本参与超充站点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default" w:ascii="Times New Roman" w:hAnsi="Times New Roman" w:eastAsia="方正楷体_GBK" w:cs="Times New Roman"/>
          <w:i w:val="0"/>
          <w:iCs w:val="0"/>
          <w:caps w:val="0"/>
          <w:color w:val="000000"/>
          <w:spacing w:val="0"/>
          <w:sz w:val="32"/>
          <w:szCs w:val="32"/>
          <w:shd w:val="clear" w:fill="FFFFFF"/>
          <w:lang w:val="en-US" w:eastAsia="zh-CN"/>
        </w:rPr>
      </w:pPr>
      <w:r>
        <w:rPr>
          <w:rFonts w:hint="default" w:ascii="Times New Roman" w:hAnsi="Times New Roman" w:eastAsia="方正楷体_GBK" w:cs="Times New Roman"/>
          <w:i w:val="0"/>
          <w:iCs w:val="0"/>
          <w:caps w:val="0"/>
          <w:color w:val="000000"/>
          <w:spacing w:val="0"/>
          <w:sz w:val="32"/>
          <w:szCs w:val="32"/>
          <w:shd w:val="clear" w:fill="FFFFFF"/>
          <w:lang w:val="en-US" w:eastAsia="zh-CN"/>
        </w:rPr>
        <w:t>（三）优化建设时序。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632"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按照</w:t>
      </w:r>
      <w:r>
        <w:rPr>
          <w:rFonts w:hint="default" w:ascii="Times New Roman" w:hAnsi="Times New Roman" w:eastAsia="方正仿宋_GBK" w:cs="Times New Roman"/>
          <w:i w:val="0"/>
          <w:iCs w:val="0"/>
          <w:caps w:val="0"/>
          <w:color w:val="000000"/>
          <w:spacing w:val="0"/>
          <w:sz w:val="32"/>
          <w:szCs w:val="32"/>
          <w:shd w:val="clear" w:fill="FFFFFF"/>
        </w:rPr>
        <w:t>重庆市新能源汽车便捷超充行动计划（2024—2025年）</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综合考虑</w:t>
      </w:r>
      <w:r>
        <w:rPr>
          <w:rFonts w:hint="default" w:ascii="Times New Roman" w:hAnsi="Times New Roman" w:eastAsia="方正仿宋_GBK" w:cs="Times New Roman"/>
          <w:i w:val="0"/>
          <w:iCs w:val="0"/>
          <w:caps w:val="0"/>
          <w:color w:val="000000"/>
          <w:spacing w:val="0"/>
          <w:sz w:val="32"/>
          <w:szCs w:val="32"/>
          <w:shd w:val="clear" w:fill="FFFFFF"/>
          <w:lang w:val="en-US" w:eastAsia="zh-CN"/>
        </w:rPr>
        <w:t>我区便捷</w:t>
      </w:r>
      <w:r>
        <w:rPr>
          <w:rFonts w:hint="default" w:ascii="Times New Roman" w:hAnsi="Times New Roman" w:eastAsia="方正仿宋_GBK" w:cs="Times New Roman"/>
          <w:i w:val="0"/>
          <w:iCs w:val="0"/>
          <w:caps w:val="0"/>
          <w:color w:val="000000"/>
          <w:spacing w:val="0"/>
          <w:sz w:val="32"/>
          <w:szCs w:val="32"/>
          <w:shd w:val="clear" w:fill="FFFFFF"/>
        </w:rPr>
        <w:t>超充需求旺盛、土地资源成熟、电力保障充裕等因素，</w:t>
      </w:r>
      <w:r>
        <w:rPr>
          <w:rFonts w:hint="default" w:ascii="Times New Roman" w:hAnsi="Times New Roman" w:eastAsia="方正仿宋_GBK" w:cs="Times New Roman"/>
          <w:i w:val="0"/>
          <w:iCs w:val="0"/>
          <w:caps w:val="0"/>
          <w:color w:val="000000"/>
          <w:spacing w:val="0"/>
          <w:sz w:val="32"/>
          <w:szCs w:val="32"/>
          <w:shd w:val="clear" w:fill="FFFFFF"/>
          <w:lang w:val="en-US" w:eastAsia="zh-CN"/>
        </w:rPr>
        <w:t>计划2024年改建完成便捷超充站8座（其中公共停车场6座、公交枢纽站各1座、城市边角地1座），新建完成超充站5座（其中公共停车场2座、轨道交通设施、广场绿地、加油加气站各1座）；计划2025年改建完成便捷超充站5座，新建完成超充站9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eastAsia" w:ascii="方正楷体_GBK" w:hAnsi="方正楷体_GBK" w:eastAsia="方正楷体_GBK" w:cs="方正楷体_GBK"/>
          <w:i w:val="0"/>
          <w:iCs w:val="0"/>
          <w:caps w:val="0"/>
          <w:color w:val="000000"/>
          <w:spacing w:val="0"/>
          <w:sz w:val="32"/>
          <w:szCs w:val="32"/>
          <w:lang w:val="en-US" w:eastAsia="zh-CN"/>
        </w:rPr>
      </w:pPr>
      <w:r>
        <w:rPr>
          <w:rFonts w:hint="eastAsia" w:ascii="方正楷体_GBK" w:hAnsi="方正楷体_GBK" w:eastAsia="方正楷体_GBK" w:cs="方正楷体_GBK"/>
          <w:i w:val="0"/>
          <w:iCs w:val="0"/>
          <w:caps w:val="0"/>
          <w:color w:val="000000"/>
          <w:spacing w:val="0"/>
          <w:sz w:val="32"/>
          <w:szCs w:val="32"/>
          <w:shd w:val="clear" w:fill="FFFFFF"/>
        </w:rPr>
        <w:t>（</w:t>
      </w:r>
      <w:r>
        <w:rPr>
          <w:rFonts w:hint="eastAsia" w:ascii="方正楷体_GBK" w:hAnsi="方正楷体_GBK" w:eastAsia="方正楷体_GBK" w:cs="方正楷体_GBK"/>
          <w:i w:val="0"/>
          <w:iCs w:val="0"/>
          <w:caps w:val="0"/>
          <w:color w:val="000000"/>
          <w:spacing w:val="0"/>
          <w:sz w:val="32"/>
          <w:szCs w:val="32"/>
          <w:shd w:val="clear" w:fill="FFFFFF"/>
          <w:lang w:val="en-US" w:eastAsia="zh-CN"/>
        </w:rPr>
        <w:t>四</w:t>
      </w:r>
      <w:r>
        <w:rPr>
          <w:rFonts w:hint="eastAsia" w:ascii="方正楷体_GBK" w:hAnsi="方正楷体_GBK" w:eastAsia="方正楷体_GBK" w:cs="方正楷体_GBK"/>
          <w:i w:val="0"/>
          <w:iCs w:val="0"/>
          <w:caps w:val="0"/>
          <w:color w:val="000000"/>
          <w:spacing w:val="0"/>
          <w:sz w:val="32"/>
          <w:szCs w:val="32"/>
          <w:shd w:val="clear" w:fill="FFFFFF"/>
        </w:rPr>
        <w:t>）</w:t>
      </w:r>
      <w:r>
        <w:rPr>
          <w:rFonts w:hint="eastAsia" w:ascii="方正楷体_GBK" w:hAnsi="方正楷体_GBK" w:eastAsia="方正楷体_GBK" w:cs="方正楷体_GBK"/>
          <w:i w:val="0"/>
          <w:iCs w:val="0"/>
          <w:caps w:val="0"/>
          <w:color w:val="000000"/>
          <w:spacing w:val="0"/>
          <w:sz w:val="32"/>
          <w:szCs w:val="32"/>
          <w:shd w:val="clear" w:fill="FFFFFF"/>
          <w:lang w:val="en-US" w:eastAsia="zh-CN"/>
        </w:rPr>
        <w:t>创新推动“光储充”。</w:t>
      </w:r>
    </w:p>
    <w:p>
      <w:pPr>
        <w:keepNext w:val="0"/>
        <w:keepLines w:val="0"/>
        <w:pageBreakBefore w:val="0"/>
        <w:widowControl/>
        <w:wordWrap/>
        <w:overflowPunct/>
        <w:topLinePunct w:val="0"/>
        <w:bidi w:val="0"/>
        <w:spacing w:line="576" w:lineRule="exact"/>
        <w:ind w:firstLine="632" w:firstLineChars="200"/>
        <w:jc w:val="both"/>
        <w:rPr>
          <w:rFonts w:hint="eastAsia" w:ascii="方正仿宋_GBK" w:hAnsi="方正仿宋_GBK" w:eastAsia="方正仿宋_GBK" w:cs="方正仿宋_GBK"/>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为响</w:t>
      </w:r>
      <w:r>
        <w:rPr>
          <w:rFonts w:hint="eastAsia" w:ascii="方正仿宋_GBK" w:hAnsi="方正仿宋_GBK" w:eastAsia="方正仿宋_GBK" w:cs="方正仿宋_GBK"/>
          <w:i w:val="0"/>
          <w:iCs w:val="0"/>
          <w:caps w:val="0"/>
          <w:color w:val="000000"/>
          <w:spacing w:val="0"/>
          <w:sz w:val="32"/>
          <w:szCs w:val="32"/>
          <w:shd w:val="clear" w:fill="FFFFFF"/>
        </w:rPr>
        <w:t>应国家“碳达峰、碳中和”政策的要求</w:t>
      </w:r>
      <w:r>
        <w:rPr>
          <w:rFonts w:hint="eastAsia" w:ascii="方正仿宋_GBK" w:hAnsi="方正仿宋_GBK" w:eastAsia="方正仿宋_GBK" w:cs="方正仿宋_GBK"/>
          <w:i w:val="0"/>
          <w:iCs w:val="0"/>
          <w:caps w:val="0"/>
          <w:color w:val="000000"/>
          <w:spacing w:val="0"/>
          <w:sz w:val="32"/>
          <w:szCs w:val="32"/>
          <w:shd w:val="clear" w:fill="FFFFFF"/>
          <w:lang w:eastAsia="zh-CN"/>
        </w:rPr>
        <w:t>，</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根据我区丰富的太阳能资源，充分利用桥河园区、北渡园区已拆迁不可利用边角地，新建光伏发电系统，合理布置充储电站设施。采用“自发自用，余电上网”模式建设，新建智慧充电站</w:t>
      </w:r>
      <w:r>
        <w:rPr>
          <w:rFonts w:hint="default" w:ascii="Times New Roman" w:hAnsi="Times New Roman" w:eastAsia="方正仿宋_GBK" w:cs="Times New Roman"/>
          <w:i w:val="0"/>
          <w:iCs w:val="0"/>
          <w:caps w:val="0"/>
          <w:color w:val="000000"/>
          <w:spacing w:val="0"/>
          <w:sz w:val="32"/>
          <w:szCs w:val="32"/>
          <w:shd w:val="clear" w:fill="FFFFFF"/>
          <w:lang w:val="en-US" w:eastAsia="zh-CN"/>
        </w:rPr>
        <w:t>2</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座，在开发太阳能资源合理利用土地资源的同时解决新能源汽车充电问题。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32" w:firstLineChars="200"/>
        <w:jc w:val="both"/>
        <w:textAlignment w:val="auto"/>
        <w:rPr>
          <w:rFonts w:hint="default" w:ascii="Times New Roman" w:hAnsi="Times New Roman" w:eastAsia="方正楷体_GBK" w:cs="Times New Roman"/>
          <w:i w:val="0"/>
          <w:iCs w:val="0"/>
          <w:caps w:val="0"/>
          <w:color w:val="000000"/>
          <w:spacing w:val="0"/>
          <w:sz w:val="32"/>
          <w:szCs w:val="32"/>
          <w:lang w:eastAsia="zh-CN"/>
        </w:rPr>
      </w:pPr>
      <w:r>
        <w:rPr>
          <w:rFonts w:hint="default" w:ascii="Times New Roman" w:hAnsi="Times New Roman" w:eastAsia="方正楷体_GBK" w:cs="Times New Roman"/>
          <w:i w:val="0"/>
          <w:iCs w:val="0"/>
          <w:caps w:val="0"/>
          <w:color w:val="000000"/>
          <w:spacing w:val="0"/>
          <w:sz w:val="32"/>
          <w:szCs w:val="32"/>
          <w:shd w:val="clear" w:fill="FFFFFF"/>
        </w:rPr>
        <w:t>（</w:t>
      </w:r>
      <w:r>
        <w:rPr>
          <w:rFonts w:hint="default" w:ascii="Times New Roman" w:hAnsi="Times New Roman" w:eastAsia="方正楷体_GBK" w:cs="Times New Roman"/>
          <w:i w:val="0"/>
          <w:iCs w:val="0"/>
          <w:caps w:val="0"/>
          <w:color w:val="000000"/>
          <w:spacing w:val="0"/>
          <w:sz w:val="32"/>
          <w:szCs w:val="32"/>
          <w:shd w:val="clear" w:fill="FFFFFF"/>
          <w:lang w:val="en-US" w:eastAsia="zh-CN"/>
        </w:rPr>
        <w:t>五</w:t>
      </w:r>
      <w:r>
        <w:rPr>
          <w:rFonts w:hint="default" w:ascii="Times New Roman" w:hAnsi="Times New Roman" w:eastAsia="方正楷体_GBK" w:cs="Times New Roman"/>
          <w:i w:val="0"/>
          <w:iCs w:val="0"/>
          <w:caps w:val="0"/>
          <w:color w:val="000000"/>
          <w:spacing w:val="0"/>
          <w:sz w:val="32"/>
          <w:szCs w:val="32"/>
          <w:shd w:val="clear" w:fill="FFFFFF"/>
        </w:rPr>
        <w:t>）强化电网支撑</w:t>
      </w:r>
      <w:r>
        <w:rPr>
          <w:rFonts w:hint="default" w:ascii="Times New Roman" w:hAnsi="Times New Roman" w:eastAsia="方正楷体_GBK" w:cs="Times New Roman"/>
          <w:i w:val="0"/>
          <w:iCs w:val="0"/>
          <w:caps w:val="0"/>
          <w:color w:val="000000"/>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开展超充站大功率充电负荷特性对区域供电系统影响研究，分层分级评估超充站电网接入能力，编制电网支持超充站接入细则，强化配网供电紧张区域的预警监测及应对处置。持续推动配电网规划与超充站布局规划融合衔接，适当超前建设配套电力设施，全力满足超充站用电需求。依托现代智慧配电网建设，全面提高电网配电自动化率，拓展充放电负荷全面感知能力，切实保障电网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32" w:firstLineChars="200"/>
        <w:jc w:val="both"/>
        <w:textAlignment w:val="auto"/>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lang w:val="en-US" w:eastAsia="zh-CN"/>
        </w:rPr>
        <w:t>四</w:t>
      </w:r>
      <w:r>
        <w:rPr>
          <w:rFonts w:hint="default" w:ascii="Times New Roman" w:hAnsi="Times New Roman" w:eastAsia="方正黑体_GBK" w:cs="Times New Roman"/>
          <w:i w:val="0"/>
          <w:iCs w:val="0"/>
          <w:caps w:val="0"/>
          <w:color w:val="000000"/>
          <w:spacing w:val="0"/>
          <w:sz w:val="32"/>
          <w:szCs w:val="32"/>
          <w:shd w:val="clear" w:fill="FFFFFF"/>
        </w:rPr>
        <w:t>、保障措施</w:t>
      </w:r>
    </w:p>
    <w:p>
      <w:pPr>
        <w:pStyle w:val="3"/>
        <w:keepNext w:val="0"/>
        <w:keepLines w:val="0"/>
        <w:pageBreakBefore w:val="0"/>
        <w:widowControl/>
        <w:kinsoku w:val="0"/>
        <w:wordWrap/>
        <w:overflowPunct/>
        <w:topLinePunct w:val="0"/>
        <w:autoSpaceDE w:val="0"/>
        <w:autoSpaceDN w:val="0"/>
        <w:bidi w:val="0"/>
        <w:adjustRightInd w:val="0"/>
        <w:snapToGrid w:val="0"/>
        <w:spacing w:before="1" w:line="576" w:lineRule="exact"/>
        <w:ind w:firstLine="612" w:firstLineChars="200"/>
        <w:jc w:val="both"/>
        <w:textAlignment w:val="baseline"/>
        <w:rPr>
          <w:rFonts w:hint="default" w:ascii="Times New Roman" w:hAnsi="Times New Roman" w:eastAsia="宋体" w:cs="Times New Roman"/>
          <w:i w:val="0"/>
          <w:iCs w:val="0"/>
          <w:caps w:val="0"/>
          <w:color w:val="000000"/>
          <w:spacing w:val="-6"/>
          <w:sz w:val="32"/>
          <w:szCs w:val="32"/>
        </w:rPr>
      </w:pPr>
      <w:r>
        <w:rPr>
          <w:rFonts w:hint="default" w:ascii="Times New Roman" w:hAnsi="Times New Roman" w:eastAsia="方正楷体_GBK" w:cs="Times New Roman"/>
          <w:i w:val="0"/>
          <w:iCs w:val="0"/>
          <w:caps w:val="0"/>
          <w:color w:val="000000"/>
          <w:spacing w:val="0"/>
          <w:sz w:val="31"/>
          <w:szCs w:val="31"/>
          <w:shd w:val="clear" w:fill="FFFFFF"/>
        </w:rPr>
        <w:t>（一）加强组织领导</w:t>
      </w:r>
      <w:r>
        <w:rPr>
          <w:rFonts w:hint="default" w:ascii="Times New Roman" w:hAnsi="Times New Roman" w:eastAsia="方正楷体_GBK" w:cs="Times New Roman"/>
          <w:i w:val="0"/>
          <w:iCs w:val="0"/>
          <w:caps w:val="0"/>
          <w:color w:val="000000"/>
          <w:spacing w:val="0"/>
          <w:sz w:val="31"/>
          <w:szCs w:val="31"/>
          <w:shd w:val="clear" w:fill="FFFFFF"/>
          <w:lang w:eastAsia="zh-CN"/>
        </w:rPr>
        <w:t>。</w:t>
      </w:r>
      <w:r>
        <w:rPr>
          <w:rFonts w:ascii="Times New Roman" w:hAnsi="Times New Roman" w:cs="Times New Roman"/>
          <w:spacing w:val="0"/>
          <w:sz w:val="32"/>
          <w:szCs w:val="32"/>
        </w:rPr>
        <w:t>工作专班由</w:t>
      </w:r>
      <w:r>
        <w:rPr>
          <w:rFonts w:hint="default" w:ascii="Times New Roman" w:hAnsi="Times New Roman" w:cs="Times New Roman"/>
          <w:spacing w:val="0"/>
          <w:sz w:val="32"/>
          <w:szCs w:val="32"/>
          <w:lang w:val="en-US" w:eastAsia="zh-CN"/>
        </w:rPr>
        <w:t>区</w:t>
      </w:r>
      <w:r>
        <w:rPr>
          <w:rFonts w:ascii="Times New Roman" w:hAnsi="Times New Roman" w:cs="Times New Roman"/>
          <w:spacing w:val="0"/>
          <w:sz w:val="32"/>
          <w:szCs w:val="32"/>
        </w:rPr>
        <w:t>政府</w:t>
      </w:r>
      <w:r>
        <w:rPr>
          <w:rFonts w:hint="default" w:ascii="Times New Roman" w:hAnsi="Times New Roman" w:cs="Times New Roman"/>
          <w:spacing w:val="0"/>
          <w:sz w:val="32"/>
          <w:szCs w:val="32"/>
          <w:lang w:val="en-US" w:eastAsia="zh-CN"/>
        </w:rPr>
        <w:t>办公室联系副主任</w:t>
      </w:r>
      <w:r>
        <w:rPr>
          <w:rFonts w:ascii="Times New Roman" w:hAnsi="Times New Roman" w:cs="Times New Roman"/>
          <w:spacing w:val="0"/>
          <w:sz w:val="32"/>
          <w:szCs w:val="32"/>
        </w:rPr>
        <w:t>担任召集人，</w:t>
      </w:r>
      <w:r>
        <w:rPr>
          <w:rFonts w:hint="default" w:ascii="Times New Roman" w:hAnsi="Times New Roman" w:cs="Times New Roman"/>
          <w:spacing w:val="0"/>
          <w:sz w:val="32"/>
          <w:szCs w:val="32"/>
          <w:lang w:val="en-US" w:eastAsia="zh-CN"/>
        </w:rPr>
        <w:t>区</w:t>
      </w:r>
      <w:r>
        <w:rPr>
          <w:rFonts w:ascii="Times New Roman" w:hAnsi="Times New Roman" w:cs="Times New Roman"/>
          <w:spacing w:val="0"/>
          <w:sz w:val="32"/>
          <w:szCs w:val="32"/>
        </w:rPr>
        <w:t>经济信息委</w:t>
      </w:r>
      <w:r>
        <w:rPr>
          <w:rFonts w:hint="default" w:ascii="Times New Roman" w:hAnsi="Times New Roman" w:cs="Times New Roman"/>
          <w:spacing w:val="0"/>
          <w:sz w:val="32"/>
          <w:szCs w:val="32"/>
          <w:lang w:val="en-US" w:eastAsia="zh-CN"/>
        </w:rPr>
        <w:t>分管</w:t>
      </w:r>
      <w:r>
        <w:rPr>
          <w:rFonts w:ascii="Times New Roman" w:hAnsi="Times New Roman" w:cs="Times New Roman"/>
          <w:spacing w:val="0"/>
          <w:sz w:val="32"/>
          <w:szCs w:val="32"/>
        </w:rPr>
        <w:t>副主任担任副召集人，成员单位包括：</w:t>
      </w:r>
      <w:r>
        <w:rPr>
          <w:rFonts w:hint="default" w:ascii="Times New Roman" w:hAnsi="Times New Roman" w:eastAsia="方正仿宋_GBK" w:cs="Times New Roman"/>
          <w:i w:val="0"/>
          <w:iCs w:val="0"/>
          <w:caps w:val="0"/>
          <w:color w:val="000000"/>
          <w:spacing w:val="0"/>
          <w:sz w:val="32"/>
          <w:szCs w:val="32"/>
          <w:shd w:val="clear" w:fill="FFFFFF"/>
          <w:lang w:val="en-US" w:eastAsia="zh-CN"/>
        </w:rPr>
        <w:t>区发展改革委、</w:t>
      </w:r>
      <w:r>
        <w:rPr>
          <w:rFonts w:hint="default" w:ascii="Times New Roman" w:hAnsi="Times New Roman" w:cs="Times New Roman"/>
          <w:spacing w:val="0"/>
          <w:sz w:val="32"/>
          <w:szCs w:val="32"/>
          <w:lang w:val="en-US" w:eastAsia="zh-CN"/>
        </w:rPr>
        <w:t>区</w:t>
      </w:r>
      <w:r>
        <w:rPr>
          <w:rFonts w:ascii="Times New Roman" w:hAnsi="Times New Roman" w:cs="Times New Roman"/>
          <w:spacing w:val="0"/>
          <w:sz w:val="32"/>
          <w:szCs w:val="32"/>
        </w:rPr>
        <w:t>经济信息委、</w:t>
      </w:r>
      <w:r>
        <w:rPr>
          <w:rFonts w:hint="eastAsia" w:ascii="Times New Roman" w:hAnsi="Times New Roman" w:eastAsia="方正仿宋_GBK" w:cs="Times New Roman"/>
          <w:i w:val="0"/>
          <w:iCs w:val="0"/>
          <w:caps w:val="0"/>
          <w:color w:val="000000"/>
          <w:spacing w:val="0"/>
          <w:sz w:val="32"/>
          <w:szCs w:val="32"/>
          <w:shd w:val="clear" w:fill="FFFFFF"/>
          <w:lang w:val="en-US" w:eastAsia="zh-CN"/>
        </w:rPr>
        <w:t>区城市管理局</w:t>
      </w:r>
      <w:r>
        <w:rPr>
          <w:rFonts w:hint="default" w:ascii="Times New Roman" w:hAnsi="Times New Roman" w:eastAsia="方正仿宋_GBK" w:cs="Times New Roman"/>
          <w:i w:val="0"/>
          <w:iCs w:val="0"/>
          <w:caps w:val="0"/>
          <w:color w:val="000000"/>
          <w:spacing w:val="0"/>
          <w:sz w:val="32"/>
          <w:szCs w:val="32"/>
          <w:shd w:val="clear" w:fill="FFFFFF"/>
          <w:lang w:val="en-US" w:eastAsia="zh-CN"/>
        </w:rPr>
        <w:t>、区规划自然资源局、</w:t>
      </w:r>
      <w:r>
        <w:rPr>
          <w:rFonts w:hint="default" w:ascii="Times New Roman" w:hAnsi="Times New Roman" w:cs="Times New Roman"/>
          <w:spacing w:val="0"/>
          <w:sz w:val="32"/>
          <w:szCs w:val="32"/>
          <w:lang w:val="en-US" w:eastAsia="zh-CN"/>
        </w:rPr>
        <w:t>綦江供电</w:t>
      </w:r>
      <w:r>
        <w:rPr>
          <w:rFonts w:ascii="Times New Roman" w:hAnsi="Times New Roman" w:cs="Times New Roman"/>
          <w:spacing w:val="0"/>
          <w:sz w:val="32"/>
          <w:szCs w:val="32"/>
        </w:rPr>
        <w:t>公司、</w:t>
      </w:r>
      <w:r>
        <w:rPr>
          <w:rFonts w:hint="default" w:ascii="Times New Roman" w:hAnsi="Times New Roman" w:cs="Times New Roman"/>
          <w:spacing w:val="0"/>
          <w:sz w:val="32"/>
          <w:szCs w:val="32"/>
          <w:lang w:val="en-US" w:eastAsia="zh-CN"/>
        </w:rPr>
        <w:t>永诚投资</w:t>
      </w:r>
      <w:r>
        <w:rPr>
          <w:rFonts w:ascii="Times New Roman" w:hAnsi="Times New Roman" w:cs="Times New Roman"/>
          <w:spacing w:val="0"/>
          <w:sz w:val="32"/>
          <w:szCs w:val="32"/>
        </w:rPr>
        <w:t>公司等有关单位。工作专班</w:t>
      </w:r>
      <w:r>
        <w:rPr>
          <w:rFonts w:hint="default" w:ascii="Times New Roman" w:hAnsi="Times New Roman" w:eastAsia="方正仿宋_GBK" w:cs="Times New Roman"/>
          <w:i w:val="0"/>
          <w:iCs w:val="0"/>
          <w:caps w:val="0"/>
          <w:color w:val="000000"/>
          <w:spacing w:val="-6"/>
          <w:sz w:val="32"/>
          <w:szCs w:val="32"/>
          <w:shd w:val="clear" w:fill="FFFFFF"/>
        </w:rPr>
        <w:t>全面统筹推进全</w:t>
      </w:r>
      <w:r>
        <w:rPr>
          <w:rFonts w:hint="default" w:ascii="Times New Roman" w:hAnsi="Times New Roman" w:eastAsia="方正仿宋_GBK" w:cs="Times New Roman"/>
          <w:i w:val="0"/>
          <w:iCs w:val="0"/>
          <w:caps w:val="0"/>
          <w:color w:val="000000"/>
          <w:spacing w:val="-6"/>
          <w:sz w:val="32"/>
          <w:szCs w:val="32"/>
          <w:shd w:val="clear" w:fill="FFFFFF"/>
          <w:lang w:val="en-US" w:eastAsia="zh-CN"/>
        </w:rPr>
        <w:t>区</w:t>
      </w:r>
      <w:r>
        <w:rPr>
          <w:rFonts w:hint="default" w:ascii="Times New Roman" w:hAnsi="Times New Roman" w:eastAsia="方正仿宋_GBK" w:cs="Times New Roman"/>
          <w:i w:val="0"/>
          <w:iCs w:val="0"/>
          <w:caps w:val="0"/>
          <w:color w:val="000000"/>
          <w:spacing w:val="-6"/>
          <w:sz w:val="32"/>
          <w:szCs w:val="32"/>
          <w:shd w:val="clear" w:fill="FFFFFF"/>
        </w:rPr>
        <w:t>超充基础设施建设管理工作，项目化、清单化、节点化推进各项任务落实落地。</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12" w:firstLineChars="200"/>
        <w:jc w:val="both"/>
        <w:textAlignment w:val="auto"/>
        <w:rPr>
          <w:rFonts w:hint="default" w:ascii="Times New Roman" w:hAnsi="Times New Roman" w:eastAsia="宋体" w:cs="Times New Roman"/>
          <w:i w:val="0"/>
          <w:iCs w:val="0"/>
          <w:caps w:val="0"/>
          <w:color w:val="000000"/>
          <w:spacing w:val="0"/>
          <w:sz w:val="31"/>
          <w:szCs w:val="31"/>
        </w:rPr>
      </w:pPr>
      <w:r>
        <w:rPr>
          <w:rFonts w:hint="default" w:ascii="Times New Roman" w:hAnsi="Times New Roman" w:eastAsia="方正楷体_GBK" w:cs="Times New Roman"/>
          <w:i w:val="0"/>
          <w:iCs w:val="0"/>
          <w:caps w:val="0"/>
          <w:color w:val="000000"/>
          <w:spacing w:val="0"/>
          <w:sz w:val="31"/>
          <w:szCs w:val="31"/>
          <w:shd w:val="clear" w:fill="FFFFFF"/>
          <w:lang w:val="en-US" w:eastAsia="zh-CN"/>
        </w:rPr>
        <w:t>明确职责分工</w:t>
      </w:r>
      <w:r>
        <w:rPr>
          <w:rFonts w:hint="default" w:ascii="Times New Roman" w:hAnsi="Times New Roman" w:eastAsia="方正楷体_GBK" w:cs="Times New Roman"/>
          <w:i w:val="0"/>
          <w:iCs w:val="0"/>
          <w:caps w:val="0"/>
          <w:color w:val="000000"/>
          <w:spacing w:val="0"/>
          <w:sz w:val="31"/>
          <w:szCs w:val="31"/>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区经济信息委加强与市级部门对接，</w:t>
      </w:r>
      <w:r>
        <w:rPr>
          <w:rFonts w:hint="default" w:ascii="Times New Roman" w:hAnsi="Times New Roman" w:eastAsia="方正仿宋_GBK" w:cs="Times New Roman"/>
          <w:i w:val="0"/>
          <w:iCs w:val="0"/>
          <w:caps w:val="0"/>
          <w:color w:val="000000"/>
          <w:spacing w:val="0"/>
          <w:sz w:val="32"/>
          <w:szCs w:val="32"/>
          <w:shd w:val="clear" w:fill="FFFFFF"/>
        </w:rPr>
        <w:t>做好</w:t>
      </w:r>
      <w:r>
        <w:rPr>
          <w:rFonts w:hint="default" w:ascii="Times New Roman" w:hAnsi="Times New Roman" w:eastAsia="方正仿宋_GBK" w:cs="Times New Roman"/>
          <w:i w:val="0"/>
          <w:iCs w:val="0"/>
          <w:caps w:val="0"/>
          <w:color w:val="000000"/>
          <w:spacing w:val="0"/>
          <w:sz w:val="32"/>
          <w:szCs w:val="32"/>
          <w:shd w:val="clear" w:fill="FFFFFF"/>
          <w:lang w:val="en-US" w:eastAsia="zh-CN"/>
        </w:rPr>
        <w:t>超充站</w:t>
      </w:r>
      <w:r>
        <w:rPr>
          <w:rFonts w:hint="default" w:ascii="Times New Roman" w:hAnsi="Times New Roman" w:eastAsia="方正仿宋_GBK" w:cs="Times New Roman"/>
          <w:i w:val="0"/>
          <w:iCs w:val="0"/>
          <w:caps w:val="0"/>
          <w:color w:val="000000"/>
          <w:spacing w:val="0"/>
          <w:sz w:val="32"/>
          <w:szCs w:val="32"/>
          <w:shd w:val="clear" w:fill="FFFFFF"/>
        </w:rPr>
        <w:t>建设布局规划，协同加快推进全</w:t>
      </w:r>
      <w:r>
        <w:rPr>
          <w:rFonts w:hint="default" w:ascii="Times New Roman" w:hAnsi="Times New Roman" w:eastAsia="方正仿宋_GBK" w:cs="Times New Roman"/>
          <w:i w:val="0"/>
          <w:iCs w:val="0"/>
          <w:caps w:val="0"/>
          <w:color w:val="000000"/>
          <w:spacing w:val="0"/>
          <w:sz w:val="32"/>
          <w:szCs w:val="32"/>
          <w:shd w:val="clear" w:fill="FFFFFF"/>
          <w:lang w:val="en-US" w:eastAsia="zh-CN"/>
        </w:rPr>
        <w:t>区</w:t>
      </w:r>
      <w:r>
        <w:rPr>
          <w:rFonts w:hint="default" w:ascii="Times New Roman" w:hAnsi="Times New Roman" w:eastAsia="方正仿宋_GBK" w:cs="Times New Roman"/>
          <w:i w:val="0"/>
          <w:iCs w:val="0"/>
          <w:caps w:val="0"/>
          <w:color w:val="000000"/>
          <w:spacing w:val="0"/>
          <w:sz w:val="32"/>
          <w:szCs w:val="32"/>
          <w:shd w:val="clear" w:fill="FFFFFF"/>
        </w:rPr>
        <w:t>超充基础设施建设，</w:t>
      </w:r>
      <w:r>
        <w:rPr>
          <w:rFonts w:hint="default" w:ascii="Times New Roman" w:hAnsi="Times New Roman" w:eastAsia="方正仿宋_GBK" w:cs="Times New Roman"/>
          <w:i w:val="0"/>
          <w:iCs w:val="0"/>
          <w:caps w:val="0"/>
          <w:color w:val="000000"/>
          <w:spacing w:val="0"/>
          <w:sz w:val="32"/>
          <w:szCs w:val="32"/>
          <w:shd w:val="clear" w:fill="FFFFFF"/>
          <w:lang w:val="en-US" w:eastAsia="zh-CN"/>
        </w:rPr>
        <w:t>积极争取市级</w:t>
      </w:r>
      <w:r>
        <w:rPr>
          <w:rFonts w:hint="default" w:ascii="Times New Roman" w:hAnsi="Times New Roman" w:eastAsia="方正仿宋_GBK" w:cs="Times New Roman"/>
          <w:i w:val="0"/>
          <w:iCs w:val="0"/>
          <w:caps w:val="0"/>
          <w:color w:val="000000"/>
          <w:spacing w:val="0"/>
          <w:sz w:val="32"/>
          <w:szCs w:val="32"/>
          <w:shd w:val="clear" w:fill="FFFFFF"/>
        </w:rPr>
        <w:t>奖励资金</w:t>
      </w:r>
      <w:r>
        <w:rPr>
          <w:rFonts w:hint="default"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及时协调解决建设过程中出现的问题。</w:t>
      </w:r>
      <w:r>
        <w:rPr>
          <w:rFonts w:hint="default" w:ascii="Times New Roman" w:hAnsi="Times New Roman" w:eastAsia="方正仿宋_GBK" w:cs="Times New Roman"/>
          <w:i w:val="0"/>
          <w:iCs w:val="0"/>
          <w:caps w:val="0"/>
          <w:color w:val="000000"/>
          <w:spacing w:val="0"/>
          <w:sz w:val="32"/>
          <w:szCs w:val="32"/>
          <w:shd w:val="clear" w:fill="FFFFFF"/>
          <w:lang w:val="en-US" w:eastAsia="zh-CN"/>
        </w:rPr>
        <w:t>区发展改革委按照企业投资项目备案管理职能职责，加强超充站项目备案管理，指导建设单位办理备案手续，加强对未依法备案、建设与备案信息不符等违法行为的查处力度。区规划自然资源局负责超充站项目规划和土地手续办理。对涉及城市道路等市政设施开挖的超充站项目，</w:t>
      </w:r>
      <w:r>
        <w:rPr>
          <w:rFonts w:hint="eastAsia" w:ascii="Times New Roman" w:hAnsi="Times New Roman" w:eastAsia="方正仿宋_GBK" w:cs="Times New Roman"/>
          <w:i w:val="0"/>
          <w:iCs w:val="0"/>
          <w:caps w:val="0"/>
          <w:color w:val="000000"/>
          <w:spacing w:val="0"/>
          <w:sz w:val="32"/>
          <w:szCs w:val="32"/>
          <w:shd w:val="clear" w:fill="FFFFFF"/>
          <w:lang w:val="en-US" w:eastAsia="zh-CN"/>
        </w:rPr>
        <w:t>区城市管理局</w:t>
      </w:r>
      <w:r>
        <w:rPr>
          <w:rFonts w:hint="default" w:ascii="Times New Roman" w:hAnsi="Times New Roman" w:eastAsia="方正仿宋_GBK" w:cs="Times New Roman"/>
          <w:i w:val="0"/>
          <w:iCs w:val="0"/>
          <w:caps w:val="0"/>
          <w:color w:val="000000"/>
          <w:spacing w:val="0"/>
          <w:sz w:val="32"/>
          <w:szCs w:val="32"/>
          <w:shd w:val="clear" w:fill="FFFFFF"/>
          <w:lang w:val="en-US" w:eastAsia="zh-CN"/>
        </w:rPr>
        <w:t>及时办理开挖施工许可手续。国网綦江供电公司加强超充站电力供应保障，严格按照程序及时受理超充站用电报装，做好电力运行服务。</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firstLine="612" w:firstLineChars="200"/>
        <w:jc w:val="both"/>
        <w:textAlignment w:val="auto"/>
        <w:rPr>
          <w:rFonts w:hint="default" w:ascii="Times New Roman" w:hAnsi="Times New Roman" w:eastAsia="方正仿宋_GBK" w:cs="Times New Roman"/>
          <w:i w:val="0"/>
          <w:iCs w:val="0"/>
          <w:caps w:val="0"/>
          <w:color w:val="FF0000"/>
          <w:spacing w:val="0"/>
          <w:sz w:val="32"/>
          <w:szCs w:val="32"/>
          <w:shd w:val="clear" w:fill="FFFFFF"/>
          <w:lang w:val="en-US" w:eastAsia="zh-CN"/>
        </w:rPr>
      </w:pPr>
      <w:r>
        <w:rPr>
          <w:rFonts w:hint="default" w:ascii="Times New Roman" w:hAnsi="Times New Roman" w:eastAsia="方正楷体_GBK" w:cs="Times New Roman"/>
          <w:i w:val="0"/>
          <w:iCs w:val="0"/>
          <w:caps w:val="0"/>
          <w:color w:val="000000"/>
          <w:spacing w:val="0"/>
          <w:sz w:val="31"/>
          <w:szCs w:val="31"/>
          <w:shd w:val="clear" w:fill="FFFFFF"/>
        </w:rPr>
        <w:t>加强宣传引导</w:t>
      </w:r>
      <w:r>
        <w:rPr>
          <w:rFonts w:hint="default" w:ascii="Times New Roman" w:hAnsi="Times New Roman" w:eastAsia="方正楷体_GBK" w:cs="Times New Roman"/>
          <w:i w:val="0"/>
          <w:iCs w:val="0"/>
          <w:caps w:val="0"/>
          <w:color w:val="000000"/>
          <w:spacing w:val="0"/>
          <w:sz w:val="31"/>
          <w:szCs w:val="31"/>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区经济信息委、国网綦江供电公司等相关单位要制定全面的</w:t>
      </w:r>
      <w:r>
        <w:rPr>
          <w:rFonts w:hint="default" w:ascii="Times New Roman" w:hAnsi="Times New Roman" w:eastAsia="方正仿宋_GBK" w:cs="Times New Roman"/>
          <w:i w:val="0"/>
          <w:iCs w:val="0"/>
          <w:caps w:val="0"/>
          <w:color w:val="000000"/>
          <w:spacing w:val="0"/>
          <w:sz w:val="32"/>
          <w:szCs w:val="32"/>
          <w:shd w:val="clear" w:fill="FFFFFF"/>
        </w:rPr>
        <w:t>宣传推广计划，通过不同宣传渠道向全社会普及以超充为主体、新能源汽车与电网融合互动的高质量充电基础设施体系的优点及重要性。利用新媒体平台广泛宣传，形成</w:t>
      </w:r>
      <w:r>
        <w:rPr>
          <w:rFonts w:hint="default" w:ascii="Times New Roman" w:hAnsi="Times New Roman" w:eastAsia="方正仿宋_GBK" w:cs="Times New Roman"/>
          <w:i w:val="0"/>
          <w:iCs w:val="0"/>
          <w:caps w:val="0"/>
          <w:color w:val="000000"/>
          <w:spacing w:val="-6"/>
          <w:sz w:val="32"/>
          <w:szCs w:val="32"/>
          <w:shd w:val="clear" w:fill="FFFFFF"/>
        </w:rPr>
        <w:t>有利于超充基础设施建设、车网互动融合发展推广应用的良好氛</w:t>
      </w:r>
      <w:r>
        <w:rPr>
          <w:rFonts w:hint="default" w:ascii="Times New Roman" w:hAnsi="Times New Roman" w:eastAsia="方正仿宋_GBK" w:cs="Times New Roman"/>
          <w:i w:val="0"/>
          <w:iCs w:val="0"/>
          <w:caps w:val="0"/>
          <w:color w:val="000000"/>
          <w:spacing w:val="0"/>
          <w:sz w:val="32"/>
          <w:szCs w:val="32"/>
          <w:shd w:val="clear" w:fill="FFFFFF"/>
        </w:rPr>
        <w:t>围。</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632"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lang w:val="en-US" w:eastAsia="zh-CN"/>
        </w:rPr>
        <w:t>严格督查考核。</w:t>
      </w:r>
      <w:r>
        <w:rPr>
          <w:rFonts w:hint="default" w:ascii="Times New Roman" w:hAnsi="Times New Roman" w:eastAsia="方正仿宋_GBK" w:cs="Times New Roman"/>
          <w:i w:val="0"/>
          <w:iCs w:val="0"/>
          <w:caps w:val="0"/>
          <w:color w:val="000000"/>
          <w:spacing w:val="0"/>
          <w:sz w:val="32"/>
          <w:szCs w:val="32"/>
          <w:shd w:val="clear" w:fill="FFFFFF"/>
          <w:lang w:val="en-US" w:eastAsia="zh-CN"/>
        </w:rPr>
        <w:t>各相关责任单位要严格按照超充站建设时间节点计划，认真履行工作职责，形成工作合力，区</w:t>
      </w:r>
      <w:r>
        <w:rPr>
          <w:rFonts w:hint="default" w:ascii="Times New Roman" w:hAnsi="Times New Roman" w:eastAsia="方正仿宋_GBK" w:cs="Times New Roman"/>
          <w:i w:val="0"/>
          <w:iCs w:val="0"/>
          <w:caps w:val="0"/>
          <w:color w:val="000000"/>
          <w:spacing w:val="0"/>
          <w:sz w:val="32"/>
          <w:szCs w:val="32"/>
          <w:shd w:val="clear" w:fill="FFFFFF"/>
        </w:rPr>
        <w:t>超充基础设施建设工作专班</w:t>
      </w:r>
      <w:r>
        <w:rPr>
          <w:rFonts w:hint="default" w:ascii="Times New Roman" w:hAnsi="Times New Roman" w:eastAsia="方正仿宋_GBK" w:cs="Times New Roman"/>
          <w:i w:val="0"/>
          <w:iCs w:val="0"/>
          <w:caps w:val="0"/>
          <w:color w:val="000000"/>
          <w:spacing w:val="0"/>
          <w:sz w:val="32"/>
          <w:szCs w:val="32"/>
          <w:shd w:val="clear" w:fill="FFFFFF"/>
          <w:lang w:val="en-US" w:eastAsia="zh-CN"/>
        </w:rPr>
        <w:t>定期向区政府主要领导报告超充站项目推进情况，对推进情况不力，工作任务不落实的单位进行通报</w:t>
      </w:r>
      <w:r>
        <w:rPr>
          <w:rFonts w:hint="default" w:ascii="Times New Roman" w:hAnsi="Times New Roman" w:eastAsia="方正仿宋_GBK" w:cs="Times New Roman"/>
          <w:i w:val="0"/>
          <w:iCs w:val="0"/>
          <w:caps w:val="0"/>
          <w:color w:val="000000"/>
          <w:spacing w:val="0"/>
          <w:sz w:val="32"/>
          <w:szCs w:val="32"/>
          <w:shd w:val="clear" w:fill="FFFFFF"/>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jc w:val="both"/>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附件：</w:t>
      </w:r>
      <w:r>
        <w:rPr>
          <w:rFonts w:hint="default" w:ascii="Times New Roman" w:hAnsi="Times New Roman" w:eastAsia="方正仿宋_GBK" w:cs="Times New Roman"/>
          <w:sz w:val="32"/>
          <w:szCs w:val="32"/>
          <w:lang w:val="en-US" w:eastAsia="zh-CN"/>
        </w:rPr>
        <w:t>綦江区</w:t>
      </w:r>
      <w:r>
        <w:rPr>
          <w:rFonts w:hint="eastAsia" w:ascii="Times New Roman" w:hAnsi="Times New Roman" w:eastAsia="方正仿宋_GBK" w:cs="Times New Roman"/>
          <w:i w:val="0"/>
          <w:iCs w:val="0"/>
          <w:caps w:val="0"/>
          <w:color w:val="000000"/>
          <w:spacing w:val="0"/>
          <w:sz w:val="32"/>
          <w:szCs w:val="32"/>
          <w:shd w:val="clear" w:fill="FFFFFF"/>
          <w:lang w:val="en-US" w:eastAsia="zh-CN"/>
        </w:rPr>
        <w:t>2024—2025</w:t>
      </w:r>
      <w:r>
        <w:rPr>
          <w:rFonts w:hint="default" w:ascii="Times New Roman" w:hAnsi="Times New Roman" w:eastAsia="方正仿宋_GBK" w:cs="Times New Roman"/>
          <w:sz w:val="32"/>
          <w:szCs w:val="32"/>
          <w:lang w:val="en-US" w:eastAsia="zh-CN"/>
        </w:rPr>
        <w:t>年便捷超充站规划站点</w:t>
      </w:r>
    </w:p>
    <w:p>
      <w:pPr>
        <w:keepNext w:val="0"/>
        <w:keepLines w:val="0"/>
        <w:pageBreakBefore w:val="0"/>
        <w:kinsoku/>
        <w:wordWrap/>
        <w:overflowPunct/>
        <w:topLinePunct w:val="0"/>
        <w:autoSpaceDE/>
        <w:autoSpaceDN/>
        <w:bidi w:val="0"/>
        <w:adjustRightInd/>
        <w:snapToGrid/>
        <w:spacing w:line="576" w:lineRule="exact"/>
        <w:ind w:firstLine="632" w:firstLineChars="200"/>
        <w:jc w:val="both"/>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jc w:val="both"/>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jc w:val="both"/>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重庆市綦江区人民政府办公室</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1264" w:rightChars="400"/>
        <w:jc w:val="righ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sectPr>
          <w:footerReference r:id="rId3" w:type="default"/>
          <w:pgSz w:w="11906" w:h="16838"/>
          <w:pgMar w:top="2098" w:right="1531" w:bottom="1985" w:left="1531" w:header="851" w:footer="1474" w:gutter="0"/>
          <w:pgNumType w:start="1"/>
          <w:cols w:space="720" w:num="1"/>
          <w:docGrid w:type="linesAndChars" w:linePitch="579" w:charSpace="-849"/>
        </w:sectPr>
      </w:pP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2024年5月</w:t>
      </w:r>
      <w:r>
        <w:rPr>
          <w:rFonts w:hint="eastAsia" w:ascii="Times New Roman" w:hAnsi="Times New Roman" w:eastAsia="方正仿宋_GBK" w:cs="Times New Roman"/>
          <w:i w:val="0"/>
          <w:iCs w:val="0"/>
          <w:caps w:val="0"/>
          <w:color w:val="000000"/>
          <w:spacing w:val="0"/>
          <w:sz w:val="32"/>
          <w:szCs w:val="32"/>
          <w:shd w:val="clear" w:fill="FFFFFF"/>
          <w:lang w:val="en-US" w:eastAsia="zh-CN"/>
        </w:rPr>
        <w:t>31</w:t>
      </w:r>
      <w:r>
        <w:rPr>
          <w:rFonts w:hint="default" w:ascii="Times New Roman" w:hAnsi="Times New Roman" w:eastAsia="方正仿宋_GBK" w:cs="Times New Roman"/>
          <w:i w:val="0"/>
          <w:iCs w:val="0"/>
          <w:caps w:val="0"/>
          <w:color w:val="000000"/>
          <w:spacing w:val="0"/>
          <w:sz w:val="32"/>
          <w:szCs w:val="32"/>
          <w:shd w:val="clear" w:fill="FFFFFF"/>
          <w:lang w:val="en-US" w:eastAsia="zh-CN"/>
        </w:rPr>
        <w:t>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0" w:firstLineChars="0"/>
        <w:jc w:val="both"/>
        <w:textAlignment w:val="auto"/>
        <w:rPr>
          <w:rFonts w:hint="default" w:ascii="Times New Roman" w:hAnsi="Times New Roman" w:eastAsia="方正黑体_GBK" w:cs="Times New Roman"/>
          <w:i w:val="0"/>
          <w:iCs w:val="0"/>
          <w:caps w:val="0"/>
          <w:color w:val="000000"/>
          <w:spacing w:val="0"/>
          <w:sz w:val="32"/>
          <w:szCs w:val="32"/>
          <w:shd w:val="clear" w:fill="FFFFFF"/>
          <w:lang w:val="en-US" w:eastAsia="zh-CN"/>
        </w:rPr>
      </w:pPr>
      <w:r>
        <w:rPr>
          <w:rFonts w:hint="default" w:ascii="Times New Roman" w:hAnsi="Times New Roman" w:eastAsia="方正黑体_GBK" w:cs="Times New Roman"/>
          <w:i w:val="0"/>
          <w:iCs w:val="0"/>
          <w:caps w:val="0"/>
          <w:color w:val="000000"/>
          <w:spacing w:val="0"/>
          <w:sz w:val="32"/>
          <w:szCs w:val="32"/>
          <w:shd w:val="clear" w:fill="FFFFFF"/>
          <w:lang w:val="en-US" w:eastAsia="zh-CN"/>
        </w:rPr>
        <w:t>附件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0" w:firstLineChars="0"/>
        <w:jc w:val="both"/>
        <w:textAlignment w:val="auto"/>
        <w:rPr>
          <w:rFonts w:hint="default" w:ascii="Times New Roman" w:hAnsi="Times New Roman" w:eastAsia="方正黑体_GBK" w:cs="Times New Roman"/>
          <w:i w:val="0"/>
          <w:iCs w:val="0"/>
          <w:caps w:val="0"/>
          <w:color w:val="000000"/>
          <w:spacing w:val="0"/>
          <w:sz w:val="32"/>
          <w:szCs w:val="32"/>
          <w:shd w:val="clear"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rightChars="0" w:firstLine="0" w:firstLineChars="0"/>
        <w:jc w:val="center"/>
        <w:textAlignment w:val="auto"/>
        <w:rPr>
          <w:rFonts w:hint="default" w:ascii="Times New Roman" w:hAnsi="Times New Roman" w:eastAsia="方正小标宋_GBK" w:cs="Times New Roman"/>
          <w:b w:val="0"/>
          <w:bCs w:val="0"/>
          <w:i w:val="0"/>
          <w:iCs w:val="0"/>
          <w:caps w:val="0"/>
          <w:color w:val="000000"/>
          <w:spacing w:val="0"/>
          <w:sz w:val="36"/>
          <w:szCs w:val="36"/>
          <w:shd w:val="clear" w:fill="FFFFFF"/>
          <w:lang w:val="en-US" w:eastAsia="zh-CN"/>
        </w:rPr>
      </w:pPr>
      <w:r>
        <w:rPr>
          <w:rFonts w:hint="default" w:ascii="Times New Roman" w:hAnsi="Times New Roman" w:eastAsia="方正小标宋_GBK" w:cs="Times New Roman"/>
          <w:b w:val="0"/>
          <w:bCs w:val="0"/>
          <w:sz w:val="36"/>
          <w:szCs w:val="36"/>
          <w:lang w:val="en-US" w:eastAsia="zh-CN"/>
        </w:rPr>
        <w:t>綦江区</w:t>
      </w:r>
      <w:r>
        <w:rPr>
          <w:rFonts w:hint="default" w:ascii="Times New Roman" w:hAnsi="Times New Roman" w:eastAsia="方正小标宋_GBK" w:cs="Times New Roman"/>
          <w:b w:val="0"/>
          <w:bCs w:val="0"/>
          <w:i w:val="0"/>
          <w:iCs w:val="0"/>
          <w:caps w:val="0"/>
          <w:color w:val="000000"/>
          <w:spacing w:val="0"/>
          <w:sz w:val="36"/>
          <w:szCs w:val="36"/>
          <w:shd w:val="clear" w:fill="FFFFFF"/>
          <w:lang w:val="en-US" w:eastAsia="zh-CN"/>
        </w:rPr>
        <w:t>2024—2025</w:t>
      </w:r>
      <w:r>
        <w:rPr>
          <w:rFonts w:hint="default" w:ascii="Times New Roman" w:hAnsi="Times New Roman" w:eastAsia="方正小标宋_GBK" w:cs="Times New Roman"/>
          <w:b w:val="0"/>
          <w:bCs w:val="0"/>
          <w:sz w:val="36"/>
          <w:szCs w:val="36"/>
          <w:lang w:val="en-US" w:eastAsia="zh-CN"/>
        </w:rPr>
        <w:t>年便捷超充站规划站点</w:t>
      </w:r>
    </w:p>
    <w:tbl>
      <w:tblPr>
        <w:tblStyle w:val="7"/>
        <w:tblpPr w:leftFromText="180" w:rightFromText="180" w:vertAnchor="text" w:horzAnchor="page" w:tblpXSpec="center" w:tblpY="1198"/>
        <w:tblOverlap w:val="never"/>
        <w:tblW w:w="14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80"/>
        <w:gridCol w:w="795"/>
        <w:gridCol w:w="1905"/>
        <w:gridCol w:w="2239"/>
        <w:gridCol w:w="1496"/>
        <w:gridCol w:w="1680"/>
        <w:gridCol w:w="930"/>
        <w:gridCol w:w="984"/>
        <w:gridCol w:w="161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t>序号</w:t>
            </w:r>
          </w:p>
        </w:tc>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t>实施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eastAsia="zh-CN"/>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eastAsia="zh-CN"/>
              </w:rPr>
              <w:t>时间</w:t>
            </w:r>
          </w:p>
        </w:tc>
        <w:tc>
          <w:tcPr>
            <w:tcW w:w="79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t>建设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t>类型</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t>站点名称</w:t>
            </w:r>
          </w:p>
        </w:tc>
        <w:tc>
          <w:tcPr>
            <w:tcW w:w="223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t>站点位置</w:t>
            </w:r>
          </w:p>
        </w:tc>
        <w:tc>
          <w:tcPr>
            <w:tcW w:w="1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t>场景类别</w:t>
            </w: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t>运营主体</w:t>
            </w:r>
          </w:p>
        </w:tc>
        <w:tc>
          <w:tcPr>
            <w:tcW w:w="191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t>现状</w:t>
            </w:r>
          </w:p>
        </w:tc>
        <w:tc>
          <w:tcPr>
            <w:tcW w:w="161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pPr>
            <w: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t>改建后</w:t>
            </w: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pPr>
            <w: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t>变压器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pPr>
            <w: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t>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32"/>
                <w:szCs w:val="32"/>
                <w:shd w:val="clear" w:fill="FFFFFF"/>
                <w:vertAlign w:val="baseline"/>
              </w:rPr>
            </w:pPr>
          </w:p>
        </w:tc>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32"/>
                <w:szCs w:val="32"/>
                <w:shd w:val="clear" w:fill="FFFFFF"/>
                <w:vertAlign w:val="baseline"/>
              </w:rPr>
            </w:pPr>
          </w:p>
        </w:tc>
        <w:tc>
          <w:tcPr>
            <w:tcW w:w="7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32"/>
                <w:szCs w:val="32"/>
                <w:shd w:val="clear" w:fill="FFFFFF"/>
                <w:vertAlign w:val="baseline"/>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32"/>
                <w:szCs w:val="32"/>
                <w:shd w:val="clear" w:fill="FFFFFF"/>
                <w:vertAlign w:val="baseline"/>
              </w:rPr>
            </w:pPr>
          </w:p>
        </w:tc>
        <w:tc>
          <w:tcPr>
            <w:tcW w:w="223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32"/>
                <w:szCs w:val="32"/>
                <w:shd w:val="clear" w:fill="FFFFFF"/>
                <w:vertAlign w:val="baseline"/>
              </w:rPr>
            </w:pPr>
          </w:p>
        </w:tc>
        <w:tc>
          <w:tcPr>
            <w:tcW w:w="1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32"/>
                <w:szCs w:val="32"/>
                <w:shd w:val="clear" w:fill="FFFFFF"/>
                <w:vertAlign w:val="baseline"/>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32"/>
                <w:szCs w:val="32"/>
                <w:shd w:val="clear" w:fill="FFFFFF"/>
                <w:vertAlign w:val="baseline"/>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32"/>
                <w:szCs w:val="32"/>
                <w:shd w:val="clear" w:fill="FFFFFF"/>
                <w:vertAlign w:val="baseline"/>
                <w:lang w:val="en-US" w:eastAsia="zh-CN"/>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t>充电枪</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32"/>
                <w:szCs w:val="32"/>
                <w:shd w:val="clear" w:fill="FFFFFF"/>
                <w:vertAlign w:val="baseline"/>
                <w:lang w:val="en-US" w:eastAsia="zh-CN"/>
              </w:rPr>
            </w:pPr>
            <w:r>
              <w:rPr>
                <w:rFonts w:hint="default" w:ascii="Times New Roman" w:hAnsi="Times New Roman" w:eastAsia="方正黑体_GBK" w:cs="Times New Roman"/>
                <w:b w:val="0"/>
                <w:bCs w:val="0"/>
                <w:i w:val="0"/>
                <w:iCs w:val="0"/>
                <w:caps w:val="0"/>
                <w:color w:val="000000"/>
                <w:spacing w:val="-11"/>
                <w:sz w:val="24"/>
                <w:szCs w:val="24"/>
                <w:shd w:val="clear" w:fill="FFFFFF"/>
                <w:vertAlign w:val="baseline"/>
                <w:lang w:val="en-US" w:eastAsia="zh-CN"/>
              </w:rPr>
              <w:t>功率kw</w:t>
            </w:r>
          </w:p>
        </w:tc>
        <w:tc>
          <w:tcPr>
            <w:tcW w:w="161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32"/>
                <w:szCs w:val="32"/>
                <w:shd w:val="clear" w:fill="FFFFFF"/>
                <w:vertAlign w:val="baseline"/>
              </w:rPr>
            </w:pPr>
          </w:p>
        </w:tc>
        <w:tc>
          <w:tcPr>
            <w:tcW w:w="156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32"/>
                <w:szCs w:val="32"/>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2024</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改建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rPr>
              <w:t>渝南市场充电站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rPr>
              <w:t>文龙街道渝南市场嘉鸿汽修停车场</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公共停车场</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8</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720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1个超充桩，7个直流桩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rPr>
              <w:t>1000kva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2024</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改建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rPr>
              <w:t>綦登路充电站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rPr>
              <w:t>通惠街道綦江南綦登路</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城市边角地</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8</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960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1个超充桩，7个直流桩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rPr>
              <w:t>1000kva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3</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2024</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改建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rPr>
              <w:t>城南所充电站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rPr>
              <w:t>古南街道桥河园区</w:t>
            </w: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城南</w:t>
            </w:r>
            <w:r>
              <w:rPr>
                <w:rFonts w:hint="default" w:ascii="Times New Roman" w:hAnsi="Times New Roman" w:eastAsia="方正仿宋_GBK" w:cs="Times New Roman"/>
                <w:i w:val="0"/>
                <w:iCs w:val="0"/>
                <w:caps w:val="0"/>
                <w:color w:val="000000"/>
                <w:spacing w:val="0"/>
                <w:sz w:val="24"/>
                <w:szCs w:val="24"/>
                <w:shd w:val="clear" w:fill="FFFFFF"/>
                <w:vertAlign w:val="baseline"/>
              </w:rPr>
              <w:t>供电所</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公共停车场</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5</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540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1个超充桩，4个直流桩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rPr>
              <w:t>800kva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t>4</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2024</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改建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市民服务中心充电站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通惠街道行政办事大厅露天停车场</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公共停车场</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12</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1200</w:t>
            </w:r>
          </w:p>
        </w:tc>
        <w:tc>
          <w:tcPr>
            <w:tcW w:w="161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w:t>
            </w:r>
            <w:r>
              <w:rPr>
                <w:rStyle w:val="18"/>
                <w:rFonts w:hint="default" w:ascii="Times New Roman" w:hAnsi="Times New Roman" w:eastAsia="方正仿宋_GBK" w:cs="Times New Roman"/>
                <w:sz w:val="24"/>
                <w:szCs w:val="24"/>
                <w:lang w:val="en-US" w:eastAsia="zh-CN" w:bidi="ar"/>
              </w:rPr>
              <w:t>个超充桩，</w:t>
            </w:r>
            <w:r>
              <w:rPr>
                <w:rFonts w:hint="default" w:ascii="Times New Roman" w:hAnsi="Times New Roman" w:eastAsia="方正仿宋_GBK" w:cs="Times New Roman"/>
                <w:i w:val="0"/>
                <w:iCs w:val="0"/>
                <w:color w:val="000000"/>
                <w:kern w:val="0"/>
                <w:sz w:val="24"/>
                <w:szCs w:val="24"/>
                <w:u w:val="none"/>
                <w:lang w:val="en-US" w:eastAsia="zh-CN" w:bidi="ar"/>
              </w:rPr>
              <w:t>10</w:t>
            </w:r>
            <w:r>
              <w:rPr>
                <w:rStyle w:val="18"/>
                <w:rFonts w:hint="default" w:ascii="Times New Roman" w:hAnsi="Times New Roman" w:eastAsia="方正仿宋_GBK" w:cs="Times New Roman"/>
                <w:sz w:val="24"/>
                <w:szCs w:val="24"/>
                <w:lang w:val="en-US" w:eastAsia="zh-CN" w:bidi="ar"/>
              </w:rPr>
              <w:t>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1600kva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5</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2024</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改建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rPr>
              <w:t>开发区快充站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rPr>
              <w:t>文龙街道渝南市场停车场</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公共停车场</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18</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1080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1个超充桩，16个直流桩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1600kva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6</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2024</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改建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体育</w:t>
            </w: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中心</w:t>
            </w:r>
            <w:r>
              <w:rPr>
                <w:rFonts w:hint="default" w:ascii="Times New Roman" w:hAnsi="Times New Roman" w:eastAsia="方正仿宋_GBK" w:cs="Times New Roman"/>
                <w:i w:val="0"/>
                <w:iCs w:val="0"/>
                <w:caps w:val="0"/>
                <w:color w:val="000000"/>
                <w:spacing w:val="0"/>
                <w:sz w:val="24"/>
                <w:szCs w:val="24"/>
                <w:shd w:val="clear" w:fill="FFFFFF"/>
                <w:vertAlign w:val="baseline"/>
              </w:rPr>
              <w:t>快充站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rPr>
            </w:pPr>
            <w:r>
              <w:rPr>
                <w:rFonts w:hint="default" w:ascii="Times New Roman" w:hAnsi="Times New Roman" w:eastAsia="方正仿宋_GBK" w:cs="Times New Roman"/>
                <w:i w:val="0"/>
                <w:iCs w:val="0"/>
                <w:caps w:val="0"/>
                <w:color w:val="000000"/>
                <w:spacing w:val="0"/>
                <w:sz w:val="24"/>
                <w:szCs w:val="24"/>
                <w:shd w:val="clear" w:fill="FFFFFF"/>
                <w:vertAlign w:val="baseline"/>
              </w:rPr>
              <w:t>通惠街道体育中心停车场</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公共停车场</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22</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1320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1个超充站，18个直流桩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1600kva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7</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2024</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改建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农博城达克云充电站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通惠街道农博城屋顶停车场</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公共停车场</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40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3200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1个超充桩，36个直流桩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4000kva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t>序号</w:t>
            </w:r>
          </w:p>
        </w:tc>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t>实施</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eastAsia="zh-CN"/>
              </w:rPr>
              <w:t>时间</w:t>
            </w:r>
          </w:p>
        </w:tc>
        <w:tc>
          <w:tcPr>
            <w:tcW w:w="79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t>建设</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t>类型</w:t>
            </w: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eastAsia="zh-CN"/>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t>站点名称</w:t>
            </w:r>
          </w:p>
        </w:tc>
        <w:tc>
          <w:tcPr>
            <w:tcW w:w="223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eastAsia="zh-CN"/>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t>站点位置</w:t>
            </w:r>
          </w:p>
        </w:tc>
        <w:tc>
          <w:tcPr>
            <w:tcW w:w="149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t>场景类别</w:t>
            </w:r>
          </w:p>
        </w:tc>
        <w:tc>
          <w:tcPr>
            <w:tcW w:w="16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t>运营主体</w:t>
            </w:r>
          </w:p>
        </w:tc>
        <w:tc>
          <w:tcPr>
            <w:tcW w:w="191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eastAsia="zh-CN"/>
              </w:rPr>
              <w:t>现状</w:t>
            </w:r>
          </w:p>
        </w:tc>
        <w:tc>
          <w:tcPr>
            <w:tcW w:w="161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eastAsia="zh-CN"/>
              </w:rPr>
              <w:t>改建后</w:t>
            </w: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eastAsia="zh-CN"/>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eastAsia="zh-CN"/>
              </w:rPr>
              <w:t>变压器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eastAsia="zh-CN"/>
              </w:rPr>
              <w:t>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b w:val="0"/>
                <w:bCs w:val="0"/>
                <w:i w:val="0"/>
                <w:iCs w:val="0"/>
                <w:caps w:val="0"/>
                <w:color w:val="000000"/>
                <w:spacing w:val="0"/>
                <w:kern w:val="2"/>
                <w:sz w:val="24"/>
                <w:szCs w:val="24"/>
                <w:shd w:val="clear" w:fill="FFFFFF"/>
                <w:vertAlign w:val="baseline"/>
                <w:lang w:val="en-US" w:eastAsia="zh-CN" w:bidi="ar-SA"/>
              </w:rPr>
            </w:pPr>
          </w:p>
        </w:tc>
        <w:tc>
          <w:tcPr>
            <w:tcW w:w="78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p>
        </w:tc>
        <w:tc>
          <w:tcPr>
            <w:tcW w:w="79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p>
        </w:tc>
        <w:tc>
          <w:tcPr>
            <w:tcW w:w="190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eastAsia="zh-CN"/>
              </w:rPr>
            </w:pPr>
          </w:p>
        </w:tc>
        <w:tc>
          <w:tcPr>
            <w:tcW w:w="223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eastAsia="zh-CN"/>
              </w:rPr>
            </w:pPr>
          </w:p>
        </w:tc>
        <w:tc>
          <w:tcPr>
            <w:tcW w:w="149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p>
        </w:tc>
        <w:tc>
          <w:tcPr>
            <w:tcW w:w="168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t>充电枪</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r>
              <w:rPr>
                <w:rFonts w:hint="default" w:ascii="Times New Roman" w:hAnsi="Times New Roman" w:eastAsia="方正黑体_GBK" w:cs="Times New Roman"/>
                <w:b w:val="0"/>
                <w:bCs w:val="0"/>
                <w:i w:val="0"/>
                <w:iCs w:val="0"/>
                <w:caps w:val="0"/>
                <w:color w:val="000000"/>
                <w:spacing w:val="-11"/>
                <w:sz w:val="24"/>
                <w:szCs w:val="24"/>
                <w:shd w:val="clear" w:fill="FFFFFF"/>
                <w:vertAlign w:val="baseline"/>
                <w:lang w:val="en-US" w:eastAsia="zh-CN"/>
              </w:rPr>
              <w:t>功率kw</w:t>
            </w:r>
          </w:p>
        </w:tc>
        <w:tc>
          <w:tcPr>
            <w:tcW w:w="161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p>
        </w:tc>
        <w:tc>
          <w:tcPr>
            <w:tcW w:w="156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t>8</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2024</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改建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綦江汽车客运中心充电站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綦江一级汽车站</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公交枢纽站</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1200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1个超级桩，12个直流桩</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1250</w:t>
            </w:r>
            <w:r>
              <w:rPr>
                <w:rFonts w:hint="default" w:ascii="Times New Roman" w:hAnsi="Times New Roman" w:eastAsia="方正仿宋_GBK" w:cs="Times New Roman"/>
                <w:i w:val="0"/>
                <w:iCs w:val="0"/>
                <w:caps w:val="0"/>
                <w:color w:val="000000"/>
                <w:spacing w:val="0"/>
                <w:sz w:val="24"/>
                <w:szCs w:val="24"/>
                <w:shd w:val="clear" w:fill="FFFFFF"/>
                <w:vertAlign w:val="baseline"/>
              </w:rPr>
              <w:t>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9</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2024</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新建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綦江</w:t>
            </w: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东站超充</w:t>
            </w:r>
            <w:r>
              <w:rPr>
                <w:rFonts w:hint="default" w:ascii="Times New Roman" w:hAnsi="Times New Roman" w:eastAsia="方正仿宋_GBK" w:cs="Times New Roman"/>
                <w:i w:val="0"/>
                <w:iCs w:val="0"/>
                <w:caps w:val="0"/>
                <w:color w:val="000000"/>
                <w:spacing w:val="0"/>
                <w:sz w:val="24"/>
                <w:szCs w:val="24"/>
                <w:shd w:val="clear" w:fill="FFFFFF"/>
                <w:vertAlign w:val="baseline"/>
              </w:rPr>
              <w:t>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17"/>
                <w:sz w:val="24"/>
                <w:szCs w:val="24"/>
                <w:shd w:val="clear" w:fill="FFFFFF"/>
                <w:vertAlign w:val="baseline"/>
                <w:lang w:eastAsia="zh-CN"/>
              </w:rPr>
              <w:t>綦江东站地下停车库</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23"/>
                <w:sz w:val="24"/>
                <w:szCs w:val="24"/>
                <w:shd w:val="clear" w:fill="FFFFFF"/>
                <w:vertAlign w:val="baseline"/>
                <w:lang w:eastAsia="zh-CN"/>
              </w:rPr>
              <w:t>轨道交通设施</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1个超充桩，7个直流桩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1000</w:t>
            </w:r>
            <w:r>
              <w:rPr>
                <w:rFonts w:hint="default" w:ascii="Times New Roman" w:hAnsi="Times New Roman" w:eastAsia="方正仿宋_GBK" w:cs="Times New Roman"/>
                <w:i w:val="0"/>
                <w:iCs w:val="0"/>
                <w:caps w:val="0"/>
                <w:color w:val="000000"/>
                <w:spacing w:val="0"/>
                <w:sz w:val="24"/>
                <w:szCs w:val="24"/>
                <w:shd w:val="clear" w:fill="FFFFFF"/>
                <w:vertAlign w:val="baseline"/>
              </w:rPr>
              <w:t>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10</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2024</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新建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桥河园区</w:t>
            </w: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超充</w:t>
            </w:r>
            <w:r>
              <w:rPr>
                <w:rFonts w:hint="default" w:ascii="Times New Roman" w:hAnsi="Times New Roman" w:eastAsia="方正仿宋_GBK" w:cs="Times New Roman"/>
                <w:i w:val="0"/>
                <w:iCs w:val="0"/>
                <w:caps w:val="0"/>
                <w:color w:val="000000"/>
                <w:spacing w:val="0"/>
                <w:sz w:val="24"/>
                <w:szCs w:val="24"/>
                <w:shd w:val="clear" w:fill="FFFFFF"/>
                <w:vertAlign w:val="baseline"/>
              </w:rPr>
              <w:t>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桥河工业园区内</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广场绿地</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1个超充桩，7个直流桩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11</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2024</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新建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长河扁超充站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通惠街道长河扁加油站</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加油加气站</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1个超充桩，7个直流桩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12</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2024</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新建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枣园超充站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17"/>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17"/>
                <w:sz w:val="24"/>
                <w:szCs w:val="24"/>
                <w:shd w:val="clear" w:fill="FFFFFF"/>
                <w:vertAlign w:val="baseline"/>
                <w:lang w:eastAsia="zh-CN"/>
              </w:rPr>
              <w:t>古南街道枣园停车场</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公共停车场</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1个超充桩，7个直流桩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13</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2024</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新建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17"/>
                <w:sz w:val="24"/>
                <w:szCs w:val="24"/>
                <w:shd w:val="clear" w:fill="FFFFFF"/>
                <w:vertAlign w:val="baseline"/>
                <w:lang w:eastAsia="zh-CN"/>
              </w:rPr>
              <w:t>新城大酒店超充站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17"/>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17"/>
                <w:sz w:val="24"/>
                <w:szCs w:val="24"/>
                <w:shd w:val="clear" w:fill="FFFFFF"/>
                <w:vertAlign w:val="baseline"/>
                <w:lang w:eastAsia="zh-CN"/>
              </w:rPr>
              <w:t>通惠街道新城大酒店</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公共停车场</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1个超充桩，7个直流桩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14</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2025</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改建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二级车站</w:t>
            </w: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充电站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文龙街道二级车站内停车场</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t>公交枢纽站</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t>10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1200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1个超充桩，4个直流桩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1250</w:t>
            </w:r>
            <w:r>
              <w:rPr>
                <w:rFonts w:hint="default" w:ascii="Times New Roman" w:hAnsi="Times New Roman" w:eastAsia="方正仿宋_GBK" w:cs="Times New Roman"/>
                <w:i w:val="0"/>
                <w:iCs w:val="0"/>
                <w:caps w:val="0"/>
                <w:color w:val="000000"/>
                <w:spacing w:val="0"/>
                <w:sz w:val="24"/>
                <w:szCs w:val="24"/>
                <w:shd w:val="clear" w:fill="FFFFFF"/>
                <w:vertAlign w:val="baseline"/>
              </w:rPr>
              <w:t>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15</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2025</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改建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书香名都特来电充电站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文龙街道天河路书香名都露天停车场</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公共停车场</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16</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960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1个超充桩，14个直流桩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1600kva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16</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2025</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改建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万达广场开迈斯充电站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綦江区万达广场地下车库</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商业聚集区</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6</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540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1个超级桩，4个直流桩</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800kva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17</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2025</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改建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凯旋名城达克云充电站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綦江区凯旋名城商场地下车库</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商业聚集区</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1200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1个超级桩，12个直流桩</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1250kva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val="en-US" w:eastAsia="zh-CN"/>
              </w:rPr>
            </w:pPr>
            <w: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t>序号</w:t>
            </w:r>
          </w:p>
        </w:tc>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pPr>
            <w: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t>实施</w:t>
            </w:r>
          </w:p>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val="en-US" w:eastAsia="zh-CN"/>
              </w:rPr>
            </w:pPr>
            <w: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eastAsia="zh-CN"/>
              </w:rPr>
              <w:t>时间</w:t>
            </w:r>
          </w:p>
        </w:tc>
        <w:tc>
          <w:tcPr>
            <w:tcW w:w="79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pPr>
            <w: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t>建设</w:t>
            </w:r>
          </w:p>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val="en-US" w:eastAsia="zh-CN"/>
              </w:rPr>
            </w:pPr>
            <w: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t>类型</w:t>
            </w:r>
          </w:p>
        </w:tc>
        <w:tc>
          <w:tcPr>
            <w:tcW w:w="1905"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eastAsia="zh-CN"/>
              </w:rPr>
            </w:pPr>
            <w: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t>站点名称</w:t>
            </w:r>
          </w:p>
        </w:tc>
        <w:tc>
          <w:tcPr>
            <w:tcW w:w="2239"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eastAsia="zh-CN"/>
              </w:rPr>
            </w:pPr>
            <w: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val="en-US" w:eastAsia="zh-CN"/>
              </w:rPr>
              <w:t>站点位置</w:t>
            </w:r>
          </w:p>
        </w:tc>
        <w:tc>
          <w:tcPr>
            <w:tcW w:w="1496"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val="en-US" w:eastAsia="zh-CN"/>
              </w:rPr>
            </w:pPr>
            <w: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val="en-US" w:eastAsia="zh-CN"/>
              </w:rPr>
              <w:t>场景类别</w:t>
            </w:r>
          </w:p>
        </w:tc>
        <w:tc>
          <w:tcPr>
            <w:tcW w:w="1680"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val="en-US" w:eastAsia="zh-CN"/>
              </w:rPr>
            </w:pPr>
            <w: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val="en-US" w:eastAsia="zh-CN"/>
              </w:rPr>
              <w:t>运营主体</w:t>
            </w:r>
          </w:p>
        </w:tc>
        <w:tc>
          <w:tcPr>
            <w:tcW w:w="191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t>现状</w:t>
            </w:r>
          </w:p>
        </w:tc>
        <w:tc>
          <w:tcPr>
            <w:tcW w:w="161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黑体_GBK" w:cs="Times New Roman"/>
                <w:b w:val="0"/>
                <w:bCs w:val="0"/>
                <w:i w:val="0"/>
                <w:iCs w:val="0"/>
                <w:caps w:val="0"/>
                <w:color w:val="000000"/>
                <w:spacing w:val="0"/>
                <w:sz w:val="24"/>
                <w:szCs w:val="24"/>
                <w:shd w:val="clear" w:fill="FFFFFF"/>
                <w:vertAlign w:val="baseline"/>
              </w:rPr>
              <w:t>改建后</w:t>
            </w:r>
          </w:p>
        </w:tc>
        <w:tc>
          <w:tcPr>
            <w:tcW w:w="156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pPr>
            <w: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t>变压器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i w:val="0"/>
                <w:iCs w:val="0"/>
                <w:caps w:val="0"/>
                <w:color w:val="000000"/>
                <w:spacing w:val="0"/>
                <w:kern w:val="2"/>
                <w:sz w:val="24"/>
                <w:szCs w:val="24"/>
                <w:shd w:val="clear" w:fill="FFFFFF"/>
                <w:vertAlign w:val="baseline"/>
                <w:lang w:val="en-US" w:eastAsia="zh-CN" w:bidi="ar-SA"/>
              </w:rPr>
            </w:pPr>
            <w: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rPr>
              <w:t>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val="en-US" w:eastAsia="zh-CN"/>
              </w:rPr>
            </w:pPr>
          </w:p>
        </w:tc>
        <w:tc>
          <w:tcPr>
            <w:tcW w:w="78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val="en-US" w:eastAsia="zh-CN"/>
              </w:rPr>
            </w:pPr>
          </w:p>
        </w:tc>
        <w:tc>
          <w:tcPr>
            <w:tcW w:w="79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val="en-US" w:eastAsia="zh-CN"/>
              </w:rPr>
            </w:pPr>
          </w:p>
        </w:tc>
        <w:tc>
          <w:tcPr>
            <w:tcW w:w="190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eastAsia="zh-CN"/>
              </w:rPr>
            </w:pPr>
          </w:p>
        </w:tc>
        <w:tc>
          <w:tcPr>
            <w:tcW w:w="2239"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eastAsia="zh-CN"/>
              </w:rPr>
            </w:pPr>
          </w:p>
        </w:tc>
        <w:tc>
          <w:tcPr>
            <w:tcW w:w="1496"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val="en-US" w:eastAsia="zh-CN"/>
              </w:rPr>
            </w:pPr>
          </w:p>
        </w:tc>
        <w:tc>
          <w:tcPr>
            <w:tcW w:w="1680"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val="en-US" w:eastAsia="zh-CN"/>
              </w:rPr>
            </w:pPr>
          </w:p>
        </w:tc>
        <w:tc>
          <w:tcPr>
            <w:tcW w:w="9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val="0"/>
                <w:bCs w:val="0"/>
                <w:i w:val="0"/>
                <w:iCs w:val="0"/>
                <w:caps w:val="0"/>
                <w:color w:val="000000"/>
                <w:spacing w:val="0"/>
                <w:kern w:val="2"/>
                <w:sz w:val="32"/>
                <w:szCs w:val="32"/>
                <w:shd w:val="clear" w:fill="FFFFFF"/>
                <w:vertAlign w:val="baseline"/>
                <w:lang w:val="en-US" w:eastAsia="zh-CN" w:bidi="ar-SA"/>
              </w:rPr>
            </w:pPr>
            <w:r>
              <w:rPr>
                <w:rFonts w:hint="eastAsia" w:ascii="方正黑体_GBK" w:hAnsi="方正黑体_GBK" w:eastAsia="方正黑体_GBK" w:cs="方正黑体_GBK"/>
                <w:b w:val="0"/>
                <w:bCs w:val="0"/>
                <w:i w:val="0"/>
                <w:iCs w:val="0"/>
                <w:caps w:val="0"/>
                <w:color w:val="000000"/>
                <w:spacing w:val="0"/>
                <w:sz w:val="24"/>
                <w:szCs w:val="24"/>
                <w:shd w:val="clear" w:fill="FFFFFF"/>
                <w:vertAlign w:val="baseline"/>
                <w:lang w:val="en-US" w:eastAsia="zh-CN"/>
              </w:rPr>
              <w:t>充电枪</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b w:val="0"/>
                <w:bCs w:val="0"/>
                <w:i w:val="0"/>
                <w:iCs w:val="0"/>
                <w:caps w:val="0"/>
                <w:color w:val="000000"/>
                <w:spacing w:val="0"/>
                <w:kern w:val="2"/>
                <w:sz w:val="32"/>
                <w:szCs w:val="32"/>
                <w:shd w:val="clear" w:fill="FFFFFF"/>
                <w:vertAlign w:val="baseline"/>
                <w:lang w:val="en-US" w:eastAsia="zh-CN" w:bidi="ar-SA"/>
              </w:rPr>
            </w:pPr>
            <w:r>
              <w:rPr>
                <w:rFonts w:hint="default" w:ascii="Times New Roman" w:hAnsi="Times New Roman" w:eastAsia="方正黑体_GBK" w:cs="Times New Roman"/>
                <w:b w:val="0"/>
                <w:bCs w:val="0"/>
                <w:i w:val="0"/>
                <w:iCs w:val="0"/>
                <w:caps w:val="0"/>
                <w:color w:val="000000"/>
                <w:spacing w:val="-11"/>
                <w:sz w:val="24"/>
                <w:szCs w:val="24"/>
                <w:shd w:val="clear" w:fill="FFFFFF"/>
                <w:vertAlign w:val="baseline"/>
                <w:lang w:val="en-US" w:eastAsia="zh-CN"/>
              </w:rPr>
              <w:t>功率kw</w:t>
            </w:r>
          </w:p>
        </w:tc>
        <w:tc>
          <w:tcPr>
            <w:tcW w:w="1611"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黑体_GBK" w:cs="Times New Roman"/>
                <w:b w:val="0"/>
                <w:bCs w:val="0"/>
                <w:i w:val="0"/>
                <w:iCs w:val="0"/>
                <w:caps w:val="0"/>
                <w:color w:val="000000"/>
                <w:spacing w:val="0"/>
                <w:sz w:val="24"/>
                <w:szCs w:val="24"/>
                <w:shd w:val="clear" w:fill="FFFFFF"/>
                <w:vertAlign w:val="baseline"/>
                <w:lang w:val="en-US" w:eastAsia="zh-CN"/>
              </w:rPr>
            </w:pPr>
          </w:p>
        </w:tc>
        <w:tc>
          <w:tcPr>
            <w:tcW w:w="156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18</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2025</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改建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康德城升卓能源充电站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康德城小区露天停车场</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公共停车场</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960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1个超级桩，12个直流桩</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1250kva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19</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2025</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新建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綦江北超充站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綦江北互通下道口管理中心附近</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城市边角地</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1个超充桩，7个直流桩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000000"/>
                <w:spacing w:val="0"/>
                <w:sz w:val="24"/>
                <w:szCs w:val="24"/>
                <w:shd w:val="clear" w:fill="FFFFFF"/>
                <w:vertAlign w:val="baseline"/>
                <w:lang w:val="en-US" w:eastAsia="zh-CN"/>
              </w:rPr>
              <w:t>20</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000000"/>
                <w:spacing w:val="0"/>
                <w:sz w:val="24"/>
                <w:szCs w:val="24"/>
                <w:shd w:val="clear" w:fill="FFFFFF"/>
                <w:vertAlign w:val="baseline"/>
                <w:lang w:val="en-US" w:eastAsia="zh-CN"/>
              </w:rPr>
              <w:t>2025</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000000"/>
                <w:spacing w:val="0"/>
                <w:sz w:val="24"/>
                <w:szCs w:val="24"/>
                <w:shd w:val="clear" w:fill="FFFFFF"/>
                <w:vertAlign w:val="baseline"/>
                <w:lang w:val="en-US" w:eastAsia="zh-CN"/>
              </w:rPr>
              <w:t>新建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000000"/>
                <w:spacing w:val="0"/>
                <w:sz w:val="24"/>
                <w:szCs w:val="24"/>
                <w:shd w:val="clear" w:fill="FFFFFF"/>
                <w:vertAlign w:val="baseline"/>
                <w:lang w:val="en-US" w:eastAsia="zh-CN"/>
              </w:rPr>
              <w:t>独石砣</w:t>
            </w:r>
            <w:r>
              <w:rPr>
                <w:rFonts w:hint="default" w:ascii="Times New Roman" w:hAnsi="Times New Roman" w:eastAsia="方正仿宋_GBK" w:cs="Times New Roman"/>
                <w:b w:val="0"/>
                <w:bCs w:val="0"/>
                <w:i w:val="0"/>
                <w:iCs w:val="0"/>
                <w:caps w:val="0"/>
                <w:color w:val="000000"/>
                <w:spacing w:val="0"/>
                <w:sz w:val="24"/>
                <w:szCs w:val="24"/>
                <w:shd w:val="clear" w:fill="FFFFFF"/>
                <w:vertAlign w:val="baseline"/>
                <w:lang w:eastAsia="zh-CN"/>
              </w:rPr>
              <w:t>超充</w:t>
            </w:r>
            <w:r>
              <w:rPr>
                <w:rFonts w:hint="default" w:ascii="Times New Roman" w:hAnsi="Times New Roman" w:eastAsia="方正仿宋_GBK" w:cs="Times New Roman"/>
                <w:b w:val="0"/>
                <w:bCs w:val="0"/>
                <w:i w:val="0"/>
                <w:iCs w:val="0"/>
                <w:caps w:val="0"/>
                <w:color w:val="000000"/>
                <w:spacing w:val="0"/>
                <w:sz w:val="24"/>
                <w:szCs w:val="24"/>
                <w:shd w:val="clear" w:fill="FFFFFF"/>
                <w:vertAlign w:val="baseline"/>
              </w:rPr>
              <w:t>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000000"/>
                <w:spacing w:val="0"/>
                <w:sz w:val="24"/>
                <w:szCs w:val="24"/>
                <w:shd w:val="clear" w:fill="FFFFFF"/>
                <w:vertAlign w:val="baseline"/>
              </w:rPr>
              <w:t>中石化原</w:t>
            </w:r>
            <w:r>
              <w:rPr>
                <w:rFonts w:hint="default" w:ascii="Times New Roman" w:hAnsi="Times New Roman" w:eastAsia="方正仿宋_GBK" w:cs="Times New Roman"/>
                <w:b w:val="0"/>
                <w:bCs w:val="0"/>
                <w:i w:val="0"/>
                <w:iCs w:val="0"/>
                <w:caps w:val="0"/>
                <w:color w:val="000000"/>
                <w:spacing w:val="0"/>
                <w:sz w:val="24"/>
                <w:szCs w:val="24"/>
                <w:shd w:val="clear" w:fill="FFFFFF"/>
                <w:vertAlign w:val="baseline"/>
                <w:lang w:val="en-US" w:eastAsia="zh-CN"/>
              </w:rPr>
              <w:t>独石砣</w:t>
            </w:r>
            <w:r>
              <w:rPr>
                <w:rFonts w:hint="default" w:ascii="Times New Roman" w:hAnsi="Times New Roman" w:eastAsia="方正仿宋_GBK" w:cs="Times New Roman"/>
                <w:b w:val="0"/>
                <w:bCs w:val="0"/>
                <w:i w:val="0"/>
                <w:iCs w:val="0"/>
                <w:caps w:val="0"/>
                <w:color w:val="000000"/>
                <w:spacing w:val="0"/>
                <w:sz w:val="24"/>
                <w:szCs w:val="24"/>
                <w:shd w:val="clear" w:fill="FFFFFF"/>
                <w:vertAlign w:val="baseline"/>
              </w:rPr>
              <w:t>加气站位置</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000000"/>
                <w:spacing w:val="0"/>
                <w:sz w:val="24"/>
                <w:szCs w:val="24"/>
                <w:shd w:val="clear" w:fill="FFFFFF"/>
                <w:vertAlign w:val="baseline"/>
                <w:lang w:val="en-US" w:eastAsia="zh-CN"/>
              </w:rPr>
              <w:t>加油加气站</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000000"/>
                <w:spacing w:val="0"/>
                <w:sz w:val="24"/>
                <w:szCs w:val="24"/>
                <w:shd w:val="clear" w:fill="FFFFFF"/>
                <w:vertAlign w:val="baseline"/>
                <w:lang w:val="en-US" w:eastAsia="zh-CN"/>
              </w:rPr>
              <w:t>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000000"/>
                <w:spacing w:val="0"/>
                <w:sz w:val="24"/>
                <w:szCs w:val="24"/>
                <w:shd w:val="clear" w:fill="FFFFFF"/>
                <w:vertAlign w:val="baseline"/>
                <w:lang w:val="en-US" w:eastAsia="zh-CN"/>
              </w:rPr>
              <w:t>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000000"/>
                <w:spacing w:val="0"/>
                <w:sz w:val="24"/>
                <w:szCs w:val="24"/>
                <w:shd w:val="clear" w:fill="FFFFFF"/>
                <w:vertAlign w:val="baseline"/>
              </w:rPr>
              <w:t>1个超充桩，10个直流桩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val="0"/>
                <w:bCs w:val="0"/>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b w:val="0"/>
                <w:bCs w:val="0"/>
                <w:i w:val="0"/>
                <w:iCs w:val="0"/>
                <w:caps w:val="0"/>
                <w:color w:val="000000"/>
                <w:spacing w:val="0"/>
                <w:sz w:val="24"/>
                <w:szCs w:val="24"/>
                <w:shd w:val="clear" w:fill="FFFFFF"/>
                <w:vertAlign w:val="baseline"/>
              </w:rPr>
              <w:t>1600kva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21</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2025</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新建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东溪古镇旅游集散中心超充站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东溪古镇旅游集散中心</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旅游景区</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1个超充桩，7个直流桩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22</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2025</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新建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北渡园区超充站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北渡工业园区</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广场绿地</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1个超充桩，7个直流桩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23</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2025</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新建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桥河园区金桥超充站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桥河工业园一般工业固废场内</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其他</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1个超充桩，7个直流桩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24</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2025</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新建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綦江高速路口超充站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綦江互通下道口中石油加油站</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加油加气站</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1个超充桩，7个直流桩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25</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2025</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新建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沙溪路超</w:t>
            </w:r>
            <w:r>
              <w:rPr>
                <w:rFonts w:hint="default" w:ascii="Times New Roman" w:hAnsi="Times New Roman" w:eastAsia="方正仿宋_GBK" w:cs="Times New Roman"/>
                <w:i w:val="0"/>
                <w:iCs w:val="0"/>
                <w:caps w:val="0"/>
                <w:color w:val="000000"/>
                <w:spacing w:val="0"/>
                <w:sz w:val="24"/>
                <w:szCs w:val="24"/>
                <w:shd w:val="clear" w:fill="FFFFFF"/>
                <w:vertAlign w:val="baseline"/>
              </w:rPr>
              <w:t>充站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沙溪路青少年活动中心</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公共停车场</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1个超充桩，7个直流桩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26</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2025</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新建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文旅小镇超充站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通惠街道普惠康城附近公交首站</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t>公交枢纽站</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1个超充桩，7个直流桩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27</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2025</w:t>
            </w:r>
          </w:p>
        </w:tc>
        <w:tc>
          <w:tcPr>
            <w:tcW w:w="79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新建</w:t>
            </w:r>
          </w:p>
        </w:tc>
        <w:tc>
          <w:tcPr>
            <w:tcW w:w="1905"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江苏省人民医院重庆医院站</w:t>
            </w:r>
          </w:p>
        </w:tc>
        <w:tc>
          <w:tcPr>
            <w:tcW w:w="2239"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pPr>
            <w:r>
              <w:rPr>
                <w:rFonts w:hint="default" w:ascii="Times New Roman" w:hAnsi="Times New Roman" w:eastAsia="方正仿宋_GBK" w:cs="Times New Roman"/>
                <w:i w:val="0"/>
                <w:iCs w:val="0"/>
                <w:caps w:val="0"/>
                <w:color w:val="000000"/>
                <w:spacing w:val="0"/>
                <w:sz w:val="24"/>
                <w:szCs w:val="24"/>
                <w:shd w:val="clear" w:fill="FFFFFF"/>
                <w:vertAlign w:val="baseline"/>
                <w:lang w:eastAsia="zh-CN"/>
              </w:rPr>
              <w:t>江苏省人民医院重庆医院站内停车场</w:t>
            </w:r>
          </w:p>
        </w:tc>
        <w:tc>
          <w:tcPr>
            <w:tcW w:w="1496"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公共停车场</w:t>
            </w:r>
          </w:p>
        </w:tc>
        <w:tc>
          <w:tcPr>
            <w:tcW w:w="168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社会投资</w:t>
            </w:r>
          </w:p>
        </w:tc>
        <w:tc>
          <w:tcPr>
            <w:tcW w:w="93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984"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lang w:val="en-US" w:eastAsia="zh-CN"/>
              </w:rPr>
              <w:t>0</w:t>
            </w:r>
          </w:p>
        </w:tc>
        <w:tc>
          <w:tcPr>
            <w:tcW w:w="1611"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1个超充桩，7个直流桩</w:t>
            </w:r>
          </w:p>
        </w:tc>
        <w:tc>
          <w:tcPr>
            <w:tcW w:w="1560" w:type="dxa"/>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i w:val="0"/>
                <w:iCs w:val="0"/>
                <w:caps w:val="0"/>
                <w:color w:val="000000"/>
                <w:spacing w:val="0"/>
                <w:kern w:val="2"/>
                <w:sz w:val="24"/>
                <w:szCs w:val="24"/>
                <w:shd w:val="clear" w:fill="FFFFFF"/>
                <w:vertAlign w:val="baseline"/>
                <w:lang w:val="en-US" w:eastAsia="zh-CN" w:bidi="ar-SA"/>
              </w:rPr>
            </w:pPr>
            <w:r>
              <w:rPr>
                <w:rFonts w:hint="default" w:ascii="Times New Roman" w:hAnsi="Times New Roman" w:eastAsia="方正仿宋_GBK" w:cs="Times New Roman"/>
                <w:i w:val="0"/>
                <w:iCs w:val="0"/>
                <w:caps w:val="0"/>
                <w:color w:val="000000"/>
                <w:spacing w:val="0"/>
                <w:sz w:val="24"/>
                <w:szCs w:val="24"/>
                <w:shd w:val="clear" w:fill="FFFFFF"/>
                <w:vertAlign w:val="baseline"/>
              </w:rPr>
              <w:t>1000kva</w:t>
            </w:r>
          </w:p>
        </w:tc>
      </w:tr>
    </w:tbl>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sectPr>
          <w:headerReference r:id="rId6" w:type="first"/>
          <w:footerReference r:id="rId9" w:type="first"/>
          <w:headerReference r:id="rId4" w:type="default"/>
          <w:footerReference r:id="rId7" w:type="default"/>
          <w:headerReference r:id="rId5" w:type="even"/>
          <w:footerReference r:id="rId8" w:type="even"/>
          <w:pgSz w:w="16838" w:h="11906" w:orient="landscape"/>
          <w:pgMar w:top="1531" w:right="2098" w:bottom="1531" w:left="1985" w:header="851" w:footer="1474" w:gutter="0"/>
          <w:pgNumType w:start="7"/>
          <w:cols w:space="0" w:num="1"/>
          <w:rtlGutter w:val="0"/>
          <w:docGrid w:type="linesAndChars" w:linePitch="589" w:charSpace="-849"/>
        </w:sect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240" w:lineRule="exact"/>
        <w:rPr>
          <w:rFonts w:hint="eastAsia"/>
        </w:rPr>
      </w:pPr>
    </w:p>
    <w:p>
      <w:pPr>
        <w:rPr>
          <w:rFonts w:hint="eastAsia"/>
        </w:rPr>
      </w:pPr>
    </w:p>
    <w:p>
      <w:pPr>
        <w:rPr>
          <w:rFonts w:hint="eastAsia"/>
        </w:rPr>
      </w:pPr>
    </w:p>
    <w:p>
      <w:pPr>
        <w:rPr>
          <w:rFonts w:hint="eastAsia"/>
        </w:rPr>
      </w:pPr>
    </w:p>
    <w:p>
      <w:pPr>
        <w:rPr>
          <w:rFonts w:hint="eastAsia"/>
        </w:rPr>
      </w:pPr>
    </w:p>
    <w:p>
      <w:pPr>
        <w:pBdr>
          <w:top w:val="single" w:color="auto" w:sz="4" w:space="1"/>
          <w:bottom w:val="single" w:color="auto" w:sz="6" w:space="1"/>
        </w:pBdr>
        <w:ind w:firstLine="276" w:firstLineChars="100"/>
      </w:pPr>
      <w:r>
        <w:rPr>
          <w:rFonts w:hint="eastAsia"/>
          <w:color w:val="000000"/>
          <w:kern w:val="0"/>
          <w:sz w:val="28"/>
          <w:szCs w:val="28"/>
        </w:rPr>
        <w:t>重庆市綦江区人民政府办公室</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lang w:val="en-US" w:eastAsia="zh-CN"/>
        </w:rPr>
        <w:t>2024</w:t>
      </w:r>
      <w:r>
        <w:rPr>
          <w:rFonts w:hint="eastAsia"/>
          <w:sz w:val="28"/>
          <w:szCs w:val="28"/>
        </w:rPr>
        <w:t>年</w:t>
      </w:r>
      <w:r>
        <w:rPr>
          <w:rFonts w:hint="eastAsia"/>
          <w:sz w:val="28"/>
          <w:szCs w:val="28"/>
          <w:lang w:val="en-US" w:eastAsia="zh-CN"/>
        </w:rPr>
        <w:t>6</w:t>
      </w:r>
      <w:r>
        <w:rPr>
          <w:rFonts w:hint="eastAsia"/>
          <w:sz w:val="28"/>
          <w:szCs w:val="28"/>
        </w:rPr>
        <w:t>月</w:t>
      </w:r>
      <w:bookmarkEnd w:id="0"/>
      <w:r>
        <w:rPr>
          <w:rFonts w:hint="eastAsia"/>
          <w:sz w:val="28"/>
          <w:szCs w:val="28"/>
          <w:lang w:val="en-US" w:eastAsia="zh-CN"/>
        </w:rPr>
        <w:t>3</w:t>
      </w:r>
      <w:r>
        <w:rPr>
          <w:rFonts w:hint="eastAsia"/>
          <w:sz w:val="28"/>
          <w:szCs w:val="28"/>
        </w:rPr>
        <w:t>日印发</w:t>
      </w:r>
    </w:p>
    <w:sectPr>
      <w:footerReference r:id="rId10" w:type="default"/>
      <w:pgSz w:w="11906" w:h="16838"/>
      <w:pgMar w:top="2098" w:right="1531" w:bottom="1984" w:left="1531" w:header="851" w:footer="1474" w:gutter="0"/>
      <w:pgNumType w:start="10"/>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imes New Roman" w:hAnsi="Times New Roman" w:cs="Times New Roman"/>
                              <w:sz w:val="32"/>
                              <w:szCs w:val="32"/>
                            </w:rPr>
                          </w:pP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imes New Roman" w:hAnsi="Times New Roman" w:cs="Times New Roman"/>
                        <w:sz w:val="32"/>
                        <w:szCs w:val="32"/>
                      </w:rPr>
                    </w:pP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60" w:firstLine="360"/>
      <w:jc w:val="right"/>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9"/>
        <w:rFonts w:hint="eastAsia"/>
        <w:sz w:val="28"/>
      </w:rPr>
      <w:t>―</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60" w:firstLine="360"/>
      <w:jc w:val="right"/>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9"/>
        <w:rFonts w:hint="eastAsia"/>
        <w:sz w:val="28"/>
      </w:rPr>
      <w:t>―</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60" w:firstLine="360"/>
      <w:jc w:val="right"/>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9"/>
        <w:rFonts w:hint="eastAsia"/>
        <w:sz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7E373C"/>
    <w:multiLevelType w:val="singleLevel"/>
    <w:tmpl w:val="6B7E373C"/>
    <w:lvl w:ilvl="0" w:tentative="0">
      <w:start w:val="2"/>
      <w:numFmt w:val="chineseCounting"/>
      <w:suff w:val="nothing"/>
      <w:lvlText w:val="（%1）"/>
      <w:lvlJc w:val="left"/>
      <w:rPr>
        <w:rFonts w:hint="eastAsia" w:ascii="方正楷体_GBK" w:hAnsi="方正楷体_GBK" w:eastAsia="方正楷体_GBK" w:cs="方正楷体_GBK"/>
        <w:color w:val="000000" w:themeColor="text1"/>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MTc5MDI4YjNiN2I5NGYzMTFjNmJjYWRlNGI4MGIifQ=="/>
  </w:docVars>
  <w:rsids>
    <w:rsidRoot w:val="6AFF351D"/>
    <w:rsid w:val="0D7F6C9A"/>
    <w:rsid w:val="16AB419A"/>
    <w:rsid w:val="33FB8E57"/>
    <w:rsid w:val="3BDE9764"/>
    <w:rsid w:val="3BFF128F"/>
    <w:rsid w:val="3C936FE1"/>
    <w:rsid w:val="3E5D5D84"/>
    <w:rsid w:val="3F7B7E91"/>
    <w:rsid w:val="3FAAD1C1"/>
    <w:rsid w:val="3FF78859"/>
    <w:rsid w:val="45C130CA"/>
    <w:rsid w:val="55D2C69E"/>
    <w:rsid w:val="57DF2B6D"/>
    <w:rsid w:val="57FFBA5C"/>
    <w:rsid w:val="5CD5A5CE"/>
    <w:rsid w:val="5DDF86D2"/>
    <w:rsid w:val="5DEBE5C3"/>
    <w:rsid w:val="5FB80F03"/>
    <w:rsid w:val="60F35708"/>
    <w:rsid w:val="65F80DC2"/>
    <w:rsid w:val="6AFF351D"/>
    <w:rsid w:val="6DBF98B7"/>
    <w:rsid w:val="6FAD6448"/>
    <w:rsid w:val="6FE2225A"/>
    <w:rsid w:val="6FF514BE"/>
    <w:rsid w:val="717FB361"/>
    <w:rsid w:val="72FBABC5"/>
    <w:rsid w:val="73FD6FE1"/>
    <w:rsid w:val="75BB2CD4"/>
    <w:rsid w:val="77794D13"/>
    <w:rsid w:val="77FB2EA9"/>
    <w:rsid w:val="792F46FE"/>
    <w:rsid w:val="7A9E53AB"/>
    <w:rsid w:val="7AEAF6B9"/>
    <w:rsid w:val="7BDF4802"/>
    <w:rsid w:val="7BFE0B2A"/>
    <w:rsid w:val="7DC52E10"/>
    <w:rsid w:val="7DCF3141"/>
    <w:rsid w:val="7E3F1675"/>
    <w:rsid w:val="7EDE2E16"/>
    <w:rsid w:val="7F3F191B"/>
    <w:rsid w:val="7FBD6DA0"/>
    <w:rsid w:val="7FEF4409"/>
    <w:rsid w:val="7FF51534"/>
    <w:rsid w:val="7FF7FAD0"/>
    <w:rsid w:val="7FFD5746"/>
    <w:rsid w:val="9FFF4A5E"/>
    <w:rsid w:val="A78E4409"/>
    <w:rsid w:val="A79CBFA3"/>
    <w:rsid w:val="AEDF123C"/>
    <w:rsid w:val="AFD9ADD0"/>
    <w:rsid w:val="B76F56CB"/>
    <w:rsid w:val="B9DB5873"/>
    <w:rsid w:val="BA773878"/>
    <w:rsid w:val="BDB5C229"/>
    <w:rsid w:val="BFEFCFBD"/>
    <w:rsid w:val="BFF944D6"/>
    <w:rsid w:val="CDFE537D"/>
    <w:rsid w:val="D7E422E3"/>
    <w:rsid w:val="D7FB4A6F"/>
    <w:rsid w:val="DAE6B1D7"/>
    <w:rsid w:val="DF667926"/>
    <w:rsid w:val="DFD7BD28"/>
    <w:rsid w:val="E6D90DBC"/>
    <w:rsid w:val="E7DFE1E2"/>
    <w:rsid w:val="EDF764ED"/>
    <w:rsid w:val="EEBB2843"/>
    <w:rsid w:val="EF4E17C8"/>
    <w:rsid w:val="EF5DBB09"/>
    <w:rsid w:val="EF75EB9A"/>
    <w:rsid w:val="EFDEC48A"/>
    <w:rsid w:val="EFDF3682"/>
    <w:rsid w:val="EFE9D809"/>
    <w:rsid w:val="EFFDE79D"/>
    <w:rsid w:val="F1F713B5"/>
    <w:rsid w:val="F37D0CFC"/>
    <w:rsid w:val="F44BD5DB"/>
    <w:rsid w:val="F4DC0568"/>
    <w:rsid w:val="F6DB71A9"/>
    <w:rsid w:val="F747D9B0"/>
    <w:rsid w:val="F77DC05F"/>
    <w:rsid w:val="F7FA3783"/>
    <w:rsid w:val="F8FFF9F7"/>
    <w:rsid w:val="F9713BC8"/>
    <w:rsid w:val="F9B7F92B"/>
    <w:rsid w:val="FB8D5F59"/>
    <w:rsid w:val="FBFD936B"/>
    <w:rsid w:val="FD9F3DD9"/>
    <w:rsid w:val="FDFF3CF7"/>
    <w:rsid w:val="FE7F48CC"/>
    <w:rsid w:val="FED783C5"/>
    <w:rsid w:val="FF5F1C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semiHidden/>
    <w:qFormat/>
    <w:uiPriority w:val="0"/>
    <w:rPr>
      <w:rFonts w:ascii="仿宋" w:hAnsi="仿宋" w:eastAsia="仿宋" w:cs="仿宋"/>
      <w:sz w:val="34"/>
      <w:szCs w:val="34"/>
      <w:lang w:val="en-US" w:eastAsia="en-US" w:bidi="ar-SA"/>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qFormat/>
    <w:uiPriority w:val="0"/>
    <w:pPr>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autoRedefine/>
    <w:qFormat/>
    <w:uiPriority w:val="0"/>
  </w:style>
  <w:style w:type="paragraph" w:customStyle="1" w:styleId="10">
    <w:name w:val="_Style 6"/>
    <w:basedOn w:val="1"/>
    <w:autoRedefine/>
    <w:qFormat/>
    <w:uiPriority w:val="0"/>
  </w:style>
  <w:style w:type="character" w:customStyle="1" w:styleId="11">
    <w:name w:val="font91"/>
    <w:basedOn w:val="8"/>
    <w:autoRedefine/>
    <w:qFormat/>
    <w:uiPriority w:val="0"/>
    <w:rPr>
      <w:rFonts w:ascii="方正黑体_GBK" w:hAnsi="方正黑体_GBK" w:eastAsia="方正黑体_GBK" w:cs="方正黑体_GBK"/>
      <w:color w:val="000000"/>
      <w:sz w:val="28"/>
      <w:szCs w:val="28"/>
      <w:u w:val="none"/>
    </w:rPr>
  </w:style>
  <w:style w:type="character" w:customStyle="1" w:styleId="12">
    <w:name w:val="font41"/>
    <w:basedOn w:val="8"/>
    <w:autoRedefine/>
    <w:qFormat/>
    <w:uiPriority w:val="0"/>
    <w:rPr>
      <w:rFonts w:hint="default" w:ascii="Times New Roman" w:hAnsi="Times New Roman" w:eastAsia="宋体" w:cs="Times New Roman"/>
      <w:color w:val="000000"/>
      <w:sz w:val="28"/>
      <w:szCs w:val="28"/>
      <w:u w:val="none"/>
    </w:rPr>
  </w:style>
  <w:style w:type="character" w:customStyle="1" w:styleId="13">
    <w:name w:val="font81"/>
    <w:basedOn w:val="8"/>
    <w:autoRedefine/>
    <w:qFormat/>
    <w:uiPriority w:val="0"/>
    <w:rPr>
      <w:rFonts w:ascii="方正仿宋_GBK" w:hAnsi="方正仿宋_GBK" w:eastAsia="方正仿宋_GBK" w:cs="方正仿宋_GBK"/>
      <w:color w:val="000000"/>
      <w:sz w:val="28"/>
      <w:szCs w:val="28"/>
      <w:u w:val="none"/>
    </w:rPr>
  </w:style>
  <w:style w:type="character" w:customStyle="1" w:styleId="14">
    <w:name w:val="font71"/>
    <w:basedOn w:val="8"/>
    <w:autoRedefine/>
    <w:qFormat/>
    <w:uiPriority w:val="0"/>
    <w:rPr>
      <w:rFonts w:hint="eastAsia" w:ascii="宋体" w:hAnsi="宋体" w:eastAsia="宋体" w:cs="宋体"/>
      <w:color w:val="000000"/>
      <w:sz w:val="28"/>
      <w:szCs w:val="28"/>
      <w:u w:val="none"/>
    </w:rPr>
  </w:style>
  <w:style w:type="character" w:customStyle="1" w:styleId="15">
    <w:name w:val="font21"/>
    <w:basedOn w:val="8"/>
    <w:autoRedefine/>
    <w:qFormat/>
    <w:uiPriority w:val="0"/>
    <w:rPr>
      <w:rFonts w:hint="default" w:ascii="Times New Roman" w:hAnsi="Times New Roman" w:eastAsia="宋体" w:cs="Times New Roman"/>
      <w:color w:val="000000"/>
      <w:sz w:val="28"/>
      <w:szCs w:val="28"/>
      <w:u w:val="none"/>
    </w:rPr>
  </w:style>
  <w:style w:type="character" w:customStyle="1" w:styleId="16">
    <w:name w:val="font61"/>
    <w:basedOn w:val="8"/>
    <w:autoRedefine/>
    <w:qFormat/>
    <w:uiPriority w:val="0"/>
    <w:rPr>
      <w:rFonts w:ascii="方正仿宋_GBK" w:hAnsi="方正仿宋_GBK" w:eastAsia="方正仿宋_GBK" w:cs="方正仿宋_GBK"/>
      <w:color w:val="000000"/>
      <w:sz w:val="28"/>
      <w:szCs w:val="28"/>
      <w:u w:val="none"/>
    </w:rPr>
  </w:style>
  <w:style w:type="character" w:customStyle="1" w:styleId="17">
    <w:name w:val="font51"/>
    <w:basedOn w:val="8"/>
    <w:autoRedefine/>
    <w:qFormat/>
    <w:uiPriority w:val="0"/>
    <w:rPr>
      <w:rFonts w:hint="eastAsia" w:ascii="宋体" w:hAnsi="宋体" w:eastAsia="宋体" w:cs="宋体"/>
      <w:color w:val="000000"/>
      <w:sz w:val="28"/>
      <w:szCs w:val="28"/>
      <w:u w:val="none"/>
    </w:rPr>
  </w:style>
  <w:style w:type="character" w:customStyle="1" w:styleId="18">
    <w:name w:val="font31"/>
    <w:basedOn w:val="8"/>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3605</Words>
  <Characters>3979</Characters>
  <Lines>0</Lines>
  <Paragraphs>0</Paragraphs>
  <TotalTime>6</TotalTime>
  <ScaleCrop>false</ScaleCrop>
  <LinksUpToDate>false</LinksUpToDate>
  <CharactersWithSpaces>4031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2024-04-11T16:54:00Z</dcterms:created>
  <dc:creator>胖子</dc:creator>
  <cp:lastModifiedBy>李科</cp:lastModifiedBy>
  <cp:lastPrinted>2024-05-20T00:04:00Z</cp:lastPrinted>
  <dcterms:modified xsi:type="dcterms:W3CDTF">2024-06-03T10:35:26Z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F2CCA2DB8CAA4EC4B79B8874397892AB_13</vt:lpwstr>
  </property>
</Properties>
</file>