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25" w:name="_GoBack"/>
      <w:bookmarkEnd w:id="25"/>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方正小标宋_GBK" w:eastAsia="方正小标宋_GBK"/>
          <w:sz w:val="44"/>
          <w:szCs w:val="44"/>
        </w:rPr>
      </w:pPr>
      <w:bookmarkStart w:id="0" w:name="正文"/>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小标宋_GBK" w:eastAsia="方正小标宋_GBK"/>
          <w:sz w:val="44"/>
          <w:szCs w:val="44"/>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eastAsia="方正小标宋_GBK"/>
          <w:sz w:val="44"/>
          <w:szCs w:val="44"/>
        </w:rPr>
      </w:pPr>
      <w:r>
        <w:rPr>
          <w:rFonts w:eastAsia="方正小标宋_GBK"/>
          <w:sz w:val="44"/>
          <w:szCs w:val="44"/>
        </w:rPr>
        <w:t>重庆市綦江区</w:t>
      </w:r>
      <w:r>
        <w:rPr>
          <w:rFonts w:hint="eastAsia" w:eastAsia="方正小标宋_GBK"/>
          <w:sz w:val="44"/>
          <w:szCs w:val="44"/>
        </w:rPr>
        <w:t>人民政府</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eastAsia="方正小标宋_GBK"/>
          <w:sz w:val="44"/>
          <w:szCs w:val="44"/>
        </w:rPr>
      </w:pPr>
      <w:r>
        <w:rPr>
          <w:rFonts w:hint="eastAsia" w:eastAsia="方正小标宋_GBK"/>
          <w:sz w:val="44"/>
          <w:szCs w:val="44"/>
        </w:rPr>
        <w:t>关于公布綦江区园地、林地、草地定级和</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eastAsia="方正仿宋_GBK"/>
          <w:sz w:val="32"/>
          <w:szCs w:val="32"/>
        </w:rPr>
      </w:pPr>
      <w:r>
        <w:rPr>
          <w:rFonts w:hint="eastAsia" w:eastAsia="方正小标宋_GBK"/>
          <w:sz w:val="44"/>
          <w:szCs w:val="44"/>
        </w:rPr>
        <w:t>基准地价</w:t>
      </w:r>
      <w:r>
        <w:rPr>
          <w:rFonts w:hint="eastAsia" w:eastAsia="方正小标宋_GBK"/>
          <w:sz w:val="44"/>
          <w:szCs w:val="44"/>
          <w:lang w:val="en-US" w:eastAsia="zh-CN"/>
        </w:rPr>
        <w:t>成果</w:t>
      </w:r>
      <w:r>
        <w:rPr>
          <w:rFonts w:hint="eastAsia" w:eastAsia="方正小标宋_GBK"/>
          <w:sz w:val="44"/>
          <w:szCs w:val="44"/>
        </w:rPr>
        <w:t>的通知</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eastAsia="方正仿宋_GBK"/>
          <w:sz w:val="32"/>
          <w:szCs w:val="32"/>
        </w:rPr>
      </w:pPr>
      <w:r>
        <w:rPr>
          <w:rFonts w:hint="eastAsia" w:eastAsia="方正仿宋_GBK"/>
          <w:sz w:val="32"/>
          <w:szCs w:val="32"/>
        </w:rPr>
        <w:t>各街道办事处、各镇人民政府，区政府各部门，有关单位</w:t>
      </w:r>
      <w:r>
        <w:rPr>
          <w:rFonts w:eastAsia="方正仿宋_GBK"/>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eastAsia="方正仿宋_GBK"/>
          <w:sz w:val="32"/>
          <w:szCs w:val="32"/>
        </w:rPr>
      </w:pPr>
      <w:r>
        <w:rPr>
          <w:rFonts w:hint="eastAsia" w:eastAsia="方正仿宋_GBK"/>
          <w:sz w:val="32"/>
          <w:szCs w:val="32"/>
        </w:rPr>
        <w:t>为进一步加强</w:t>
      </w:r>
      <w:r>
        <w:rPr>
          <w:rFonts w:hint="eastAsia" w:eastAsia="方正仿宋_GBK"/>
          <w:sz w:val="32"/>
          <w:szCs w:val="32"/>
          <w:lang w:eastAsia="zh-CN"/>
        </w:rPr>
        <w:t>自然资源</w:t>
      </w:r>
      <w:r>
        <w:rPr>
          <w:rFonts w:hint="eastAsia" w:eastAsia="方正仿宋_GBK"/>
          <w:sz w:val="32"/>
          <w:szCs w:val="32"/>
        </w:rPr>
        <w:t>资产管理，</w:t>
      </w:r>
      <w:r>
        <w:rPr>
          <w:rFonts w:ascii="Times New Roman" w:hAnsi="Times New Roman" w:eastAsia="方正仿宋_GBK" w:cs="Times New Roman"/>
          <w:sz w:val="32"/>
          <w:szCs w:val="32"/>
        </w:rPr>
        <w:t>加快建立健全自然资源分等定级和价格评估体系</w:t>
      </w:r>
      <w:r>
        <w:rPr>
          <w:rFonts w:hint="eastAsia" w:eastAsia="方正仿宋_GBK"/>
          <w:sz w:val="32"/>
          <w:szCs w:val="32"/>
        </w:rPr>
        <w:t>，按照</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自然资源部办公厅关于做好园地林地草地定级和基准地价制定有关工作的通知</w:t>
      </w:r>
      <w:r>
        <w:rPr>
          <w:rFonts w:ascii="Times New Roman" w:hAnsi="Times New Roman" w:eastAsia="方正仿宋_GBK" w:cs="Times New Roman"/>
          <w:sz w:val="32"/>
          <w:szCs w:val="32"/>
        </w:rPr>
        <w:t>》（自然资办函〔2023〕399号）</w:t>
      </w:r>
      <w:r>
        <w:rPr>
          <w:rFonts w:eastAsia="方正仿宋_GBK"/>
          <w:color w:val="auto"/>
          <w:sz w:val="32"/>
          <w:szCs w:val="32"/>
        </w:rPr>
        <w:t>和</w:t>
      </w:r>
      <w:r>
        <w:rPr>
          <w:rFonts w:ascii="Times New Roman" w:hAnsi="Times New Roman" w:eastAsia="方正仿宋_GBK" w:cs="Times New Roman"/>
          <w:sz w:val="32"/>
          <w:szCs w:val="32"/>
        </w:rPr>
        <w:t>《重庆市规划和自然资源局关于做好2023年园、林、草地定级和基准地价制定工作的通知》（渝规资〔2023〕126号）</w:t>
      </w:r>
      <w:r>
        <w:rPr>
          <w:rFonts w:hint="eastAsia" w:eastAsia="方正仿宋_GBK"/>
          <w:sz w:val="32"/>
          <w:szCs w:val="32"/>
        </w:rPr>
        <w:t>要求，经</w:t>
      </w:r>
      <w:r>
        <w:rPr>
          <w:rFonts w:hint="eastAsia" w:ascii="Times New Roman" w:hAnsi="Times New Roman" w:eastAsia="方正仿宋_GBK"/>
          <w:sz w:val="32"/>
          <w:szCs w:val="32"/>
        </w:rPr>
        <w:t>第三届</w:t>
      </w:r>
      <w:r>
        <w:rPr>
          <w:rFonts w:ascii="Times New Roman" w:hAnsi="Times New Roman" w:eastAsia="方正仿宋_GBK"/>
          <w:sz w:val="32"/>
          <w:szCs w:val="32"/>
        </w:rPr>
        <w:t>区政府第</w:t>
      </w:r>
      <w:r>
        <w:rPr>
          <w:rFonts w:hint="eastAsia" w:ascii="Times New Roman" w:hAnsi="Times New Roman" w:eastAsia="方正仿宋_GBK"/>
          <w:sz w:val="32"/>
          <w:szCs w:val="32"/>
          <w:lang w:val="en-US" w:eastAsia="zh-CN"/>
        </w:rPr>
        <w:t>68</w:t>
      </w:r>
      <w:r>
        <w:rPr>
          <w:rFonts w:ascii="Times New Roman" w:hAnsi="Times New Roman" w:eastAsia="方正仿宋_GBK"/>
          <w:sz w:val="32"/>
          <w:szCs w:val="32"/>
        </w:rPr>
        <w:t>次常务会议</w:t>
      </w:r>
      <w:r>
        <w:rPr>
          <w:rFonts w:hint="eastAsia" w:eastAsia="方正仿宋_GBK"/>
          <w:sz w:val="32"/>
          <w:szCs w:val="32"/>
        </w:rPr>
        <w:t>审议通过，现将綦江区园地、林地、草地定级和基准地价予以公布，请遵照执行，并就相关事宜通知如下：</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方正仿宋_GBK" w:eastAsia="方正仿宋_GBK"/>
          <w:sz w:val="32"/>
          <w:szCs w:val="32"/>
        </w:rPr>
      </w:pPr>
      <w:r>
        <w:rPr>
          <w:rFonts w:hint="eastAsia" w:ascii="方正仿宋_GBK" w:eastAsia="方正仿宋_GBK"/>
          <w:sz w:val="32"/>
          <w:szCs w:val="32"/>
        </w:rPr>
        <w:t>一、园地、林地、草地基准地价可以显化园、林、草地资源资产质量和价值，直接服务于自然资源有偿使用、资产清查核算、税务管理等</w:t>
      </w:r>
      <w:r>
        <w:rPr>
          <w:rFonts w:hint="eastAsia" w:ascii="方正仿宋_GBK" w:eastAsia="方正仿宋_GBK"/>
          <w:sz w:val="32"/>
          <w:szCs w:val="32"/>
          <w:lang w:eastAsia="zh-CN"/>
        </w:rPr>
        <w:t>，</w:t>
      </w:r>
      <w:r>
        <w:rPr>
          <w:rFonts w:hint="eastAsia" w:ascii="方正仿宋_GBK" w:eastAsia="方正仿宋_GBK"/>
          <w:sz w:val="32"/>
          <w:szCs w:val="32"/>
        </w:rPr>
        <w:t>有助于加强自然资源保护与合理开发利用，促进生态产品价值实现，推进自然资源管理向数量、质量与生态管护并重转变，各有关单位应当认真执行。</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eastAsia="方正仿宋_GBK"/>
          <w:sz w:val="32"/>
          <w:szCs w:val="32"/>
        </w:rPr>
      </w:pPr>
      <w:r>
        <w:rPr>
          <w:rFonts w:hint="eastAsia" w:eastAsia="方正仿宋_GBK"/>
          <w:sz w:val="32"/>
          <w:szCs w:val="32"/>
          <w:lang w:eastAsia="zh-CN"/>
        </w:rPr>
        <w:t>二</w:t>
      </w:r>
      <w:r>
        <w:rPr>
          <w:rFonts w:hint="eastAsia" w:eastAsia="方正仿宋_GBK"/>
          <w:sz w:val="32"/>
          <w:szCs w:val="32"/>
        </w:rPr>
        <w:t>、区政府有关部门和单位要做好相关政策的衔接工作，施行中的具体问题由区规划自然资源局负责解释。</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hint="eastAsia" w:ascii="方正仿宋_GBK" w:eastAsia="方正仿宋_GBK"/>
          <w:sz w:val="32"/>
          <w:szCs w:val="32"/>
        </w:rPr>
      </w:pPr>
      <w:r>
        <w:rPr>
          <w:rFonts w:hint="eastAsia" w:eastAsia="方正仿宋_GBK"/>
          <w:sz w:val="32"/>
          <w:szCs w:val="32"/>
          <w:lang w:eastAsia="zh-CN"/>
        </w:rPr>
        <w:t>三</w:t>
      </w:r>
      <w:r>
        <w:rPr>
          <w:rFonts w:hint="eastAsia" w:eastAsia="方正仿宋_GBK"/>
          <w:sz w:val="32"/>
          <w:szCs w:val="32"/>
        </w:rPr>
        <w:t>、本通知自</w:t>
      </w:r>
      <w:r>
        <w:rPr>
          <w:rFonts w:hint="eastAsia" w:eastAsia="方正仿宋_GBK"/>
          <w:sz w:val="32"/>
          <w:szCs w:val="32"/>
          <w:highlight w:val="none"/>
        </w:rPr>
        <w:t>202</w:t>
      </w:r>
      <w:r>
        <w:rPr>
          <w:rFonts w:hint="eastAsia" w:eastAsia="方正仿宋_GBK"/>
          <w:sz w:val="32"/>
          <w:szCs w:val="32"/>
          <w:highlight w:val="none"/>
          <w:lang w:val="en-US" w:eastAsia="zh-CN"/>
        </w:rPr>
        <w:t>4</w:t>
      </w:r>
      <w:r>
        <w:rPr>
          <w:rFonts w:hint="eastAsia" w:eastAsia="方正仿宋_GBK"/>
          <w:sz w:val="32"/>
          <w:szCs w:val="32"/>
          <w:highlight w:val="none"/>
        </w:rPr>
        <w:t>年</w:t>
      </w:r>
      <w:r>
        <w:rPr>
          <w:rFonts w:hint="eastAsia" w:eastAsia="方正仿宋_GBK"/>
          <w:sz w:val="32"/>
          <w:szCs w:val="32"/>
          <w:highlight w:val="none"/>
          <w:lang w:val="en-US" w:eastAsia="zh-CN"/>
        </w:rPr>
        <w:t>10</w:t>
      </w:r>
      <w:r>
        <w:rPr>
          <w:rFonts w:hint="eastAsia" w:eastAsia="方正仿宋_GBK"/>
          <w:sz w:val="32"/>
          <w:szCs w:val="32"/>
          <w:highlight w:val="none"/>
        </w:rPr>
        <w:t>月1日</w:t>
      </w:r>
      <w:r>
        <w:rPr>
          <w:rFonts w:hint="eastAsia" w:eastAsia="方正仿宋_GBK"/>
          <w:sz w:val="32"/>
          <w:szCs w:val="32"/>
        </w:rPr>
        <w:t>起执行，基准地价使用说明一并公布执行。</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left="1920" w:hanging="1896" w:hangingChars="600"/>
        <w:textAlignment w:val="auto"/>
        <w:rPr>
          <w:rFonts w:hint="default" w:eastAsia="方正仿宋_GBK"/>
          <w:sz w:val="32"/>
          <w:szCs w:val="32"/>
          <w:lang w:val="en-US" w:eastAsia="zh-CN"/>
        </w:rPr>
      </w:pPr>
      <w:r>
        <w:rPr>
          <w:rFonts w:hint="eastAsia" w:eastAsia="方正仿宋_GBK"/>
          <w:sz w:val="32"/>
          <w:szCs w:val="32"/>
        </w:rPr>
        <w:t>　　附件：1</w:t>
      </w:r>
      <w:r>
        <w:rPr>
          <w:rFonts w:hint="eastAsia"/>
          <w:sz w:val="32"/>
          <w:szCs w:val="32"/>
          <w:lang w:eastAsia="zh-CN"/>
        </w:rPr>
        <w:t>．</w:t>
      </w:r>
      <w:r>
        <w:rPr>
          <w:rFonts w:hint="eastAsia" w:eastAsia="方正仿宋_GBK"/>
          <w:sz w:val="32"/>
          <w:szCs w:val="32"/>
        </w:rPr>
        <w:t>重庆市綦江区</w:t>
      </w:r>
      <w:r>
        <w:rPr>
          <w:rFonts w:hint="eastAsia" w:eastAsia="方正仿宋_GBK"/>
          <w:sz w:val="32"/>
          <w:szCs w:val="32"/>
          <w:lang w:val="en-US" w:eastAsia="zh-CN"/>
        </w:rPr>
        <w:t>园地定级和基准地价成果</w:t>
      </w:r>
    </w:p>
    <w:p>
      <w:pPr>
        <w:keepNext w:val="0"/>
        <w:keepLines w:val="0"/>
        <w:pageBreakBefore w:val="0"/>
        <w:widowControl w:val="0"/>
        <w:kinsoku/>
        <w:wordWrap/>
        <w:overflowPunct/>
        <w:topLinePunct w:val="0"/>
        <w:autoSpaceDE/>
        <w:autoSpaceDN/>
        <w:bidi w:val="0"/>
        <w:adjustRightInd/>
        <w:snapToGrid/>
        <w:spacing w:line="576" w:lineRule="exact"/>
        <w:ind w:left="1920" w:hanging="1896" w:hangingChars="600"/>
        <w:textAlignment w:val="auto"/>
        <w:rPr>
          <w:rFonts w:hint="eastAsia" w:eastAsia="方正仿宋_GBK"/>
          <w:sz w:val="32"/>
          <w:szCs w:val="32"/>
        </w:rPr>
      </w:pPr>
      <w:r>
        <w:rPr>
          <w:rFonts w:hint="eastAsia" w:eastAsia="方正仿宋_GBK"/>
          <w:sz w:val="32"/>
          <w:szCs w:val="32"/>
        </w:rPr>
        <w:t xml:space="preserve">　       </w:t>
      </w:r>
      <w:r>
        <w:rPr>
          <w:rFonts w:eastAsia="方正仿宋_GBK"/>
          <w:sz w:val="32"/>
          <w:szCs w:val="32"/>
        </w:rPr>
        <w:t xml:space="preserve"> </w:t>
      </w:r>
      <w:r>
        <w:rPr>
          <w:rFonts w:hint="eastAsia" w:eastAsia="方正仿宋_GBK"/>
          <w:sz w:val="32"/>
          <w:szCs w:val="32"/>
        </w:rPr>
        <w:t>2</w:t>
      </w:r>
      <w:r>
        <w:rPr>
          <w:rFonts w:hint="eastAsia"/>
          <w:sz w:val="32"/>
          <w:szCs w:val="32"/>
          <w:lang w:eastAsia="zh-CN"/>
        </w:rPr>
        <w:t>．</w:t>
      </w:r>
      <w:r>
        <w:rPr>
          <w:rFonts w:hint="eastAsia" w:eastAsia="方正仿宋_GBK"/>
          <w:sz w:val="32"/>
          <w:szCs w:val="32"/>
        </w:rPr>
        <w:t>重庆市綦江区</w:t>
      </w:r>
      <w:r>
        <w:rPr>
          <w:rFonts w:hint="eastAsia" w:eastAsia="方正仿宋_GBK"/>
          <w:sz w:val="32"/>
          <w:szCs w:val="32"/>
          <w:lang w:val="en-US" w:eastAsia="zh-CN"/>
        </w:rPr>
        <w:t>林</w:t>
      </w:r>
      <w:r>
        <w:rPr>
          <w:rFonts w:hint="eastAsia" w:eastAsia="方正仿宋_GBK"/>
          <w:sz w:val="32"/>
          <w:szCs w:val="32"/>
        </w:rPr>
        <w:t>地定级和基准地价成果</w:t>
      </w:r>
    </w:p>
    <w:p>
      <w:pPr>
        <w:keepNext w:val="0"/>
        <w:keepLines w:val="0"/>
        <w:pageBreakBefore w:val="0"/>
        <w:widowControl w:val="0"/>
        <w:kinsoku/>
        <w:wordWrap/>
        <w:overflowPunct/>
        <w:topLinePunct w:val="0"/>
        <w:autoSpaceDE/>
        <w:autoSpaceDN/>
        <w:bidi w:val="0"/>
        <w:adjustRightInd/>
        <w:snapToGrid/>
        <w:spacing w:line="576" w:lineRule="exact"/>
        <w:ind w:left="1920" w:hanging="1896" w:hangingChars="600"/>
        <w:textAlignment w:val="auto"/>
        <w:rPr>
          <w:rFonts w:hint="eastAsia" w:eastAsia="方正仿宋_GBK"/>
          <w:sz w:val="32"/>
          <w:szCs w:val="32"/>
        </w:rPr>
      </w:pPr>
      <w:r>
        <w:rPr>
          <w:rFonts w:hint="eastAsia" w:eastAsia="方正仿宋_GBK"/>
          <w:sz w:val="32"/>
          <w:szCs w:val="32"/>
        </w:rPr>
        <w:t xml:space="preserve">          3</w:t>
      </w:r>
      <w:r>
        <w:rPr>
          <w:rFonts w:hint="eastAsia"/>
          <w:sz w:val="32"/>
          <w:szCs w:val="32"/>
          <w:lang w:eastAsia="zh-CN"/>
        </w:rPr>
        <w:t>．</w:t>
      </w:r>
      <w:r>
        <w:rPr>
          <w:rFonts w:hint="eastAsia" w:eastAsia="方正仿宋_GBK"/>
          <w:sz w:val="32"/>
          <w:szCs w:val="32"/>
        </w:rPr>
        <w:t>重庆市綦江区</w:t>
      </w:r>
      <w:r>
        <w:rPr>
          <w:rFonts w:hint="eastAsia" w:eastAsia="方正仿宋_GBK"/>
          <w:sz w:val="32"/>
          <w:szCs w:val="32"/>
          <w:lang w:eastAsia="zh-CN"/>
        </w:rPr>
        <w:t>草</w:t>
      </w:r>
      <w:r>
        <w:rPr>
          <w:rFonts w:hint="eastAsia" w:eastAsia="方正仿宋_GBK"/>
          <w:sz w:val="32"/>
          <w:szCs w:val="32"/>
        </w:rPr>
        <w:t>地定级和基准地价成果</w:t>
      </w:r>
    </w:p>
    <w:p>
      <w:pPr>
        <w:keepNext w:val="0"/>
        <w:keepLines w:val="0"/>
        <w:pageBreakBefore w:val="0"/>
        <w:widowControl w:val="0"/>
        <w:tabs>
          <w:tab w:val="left" w:pos="7560"/>
        </w:tabs>
        <w:kinsoku/>
        <w:wordWrap/>
        <w:overflowPunct/>
        <w:topLinePunct w:val="0"/>
        <w:autoSpaceDE/>
        <w:autoSpaceDN/>
        <w:bidi w:val="0"/>
        <w:adjustRightInd/>
        <w:snapToGrid/>
        <w:spacing w:line="576" w:lineRule="exact"/>
        <w:ind w:left="1920" w:hanging="1896" w:hangingChars="600"/>
        <w:textAlignment w:val="auto"/>
        <w:rPr>
          <w:rFonts w:hint="eastAsia" w:eastAsia="方正仿宋_GBK"/>
          <w:sz w:val="32"/>
          <w:szCs w:val="32"/>
        </w:rPr>
      </w:pPr>
    </w:p>
    <w:p>
      <w:pPr>
        <w:spacing w:line="576" w:lineRule="exact"/>
        <w:ind w:left="1920" w:hanging="1896" w:hangingChars="600"/>
        <w:rPr>
          <w:rFonts w:hint="eastAsia"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576" w:lineRule="exact"/>
        <w:ind w:firstLine="3887" w:firstLineChars="1230"/>
        <w:textAlignment w:val="auto"/>
        <w:rPr>
          <w:rFonts w:hint="eastAsia" w:eastAsia="方正仿宋_GBK"/>
          <w:sz w:val="32"/>
          <w:szCs w:val="32"/>
        </w:rPr>
      </w:pPr>
      <w:r>
        <w:rPr>
          <w:rFonts w:hint="eastAsia" w:eastAsia="方正仿宋_GBK"/>
          <w:sz w:val="32"/>
          <w:szCs w:val="32"/>
        </w:rPr>
        <w:t xml:space="preserve">     重庆市綦江区人民政府</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eastAsia="方正仿宋_GBK"/>
          <w:sz w:val="32"/>
          <w:szCs w:val="32"/>
        </w:rPr>
      </w:pPr>
      <w:r>
        <w:rPr>
          <w:rFonts w:hint="eastAsia" w:eastAsia="方正仿宋_GBK"/>
          <w:sz w:val="32"/>
          <w:szCs w:val="32"/>
        </w:rPr>
        <w:t xml:space="preserve">                                202</w:t>
      </w:r>
      <w:r>
        <w:rPr>
          <w:rFonts w:hint="eastAsia" w:eastAsia="方正仿宋_GBK"/>
          <w:sz w:val="32"/>
          <w:szCs w:val="32"/>
          <w:lang w:val="en-US" w:eastAsia="zh-CN"/>
        </w:rPr>
        <w:t>4</w:t>
      </w:r>
      <w:r>
        <w:rPr>
          <w:rFonts w:hint="eastAsia" w:eastAsia="方正仿宋_GBK"/>
          <w:sz w:val="32"/>
          <w:szCs w:val="32"/>
        </w:rPr>
        <w:t>年</w:t>
      </w:r>
      <w:r>
        <w:rPr>
          <w:rFonts w:hint="eastAsia" w:eastAsia="方正仿宋_GBK"/>
          <w:sz w:val="32"/>
          <w:szCs w:val="32"/>
          <w:lang w:val="en-US" w:eastAsia="zh-CN"/>
        </w:rPr>
        <w:t>9</w:t>
      </w:r>
      <w:r>
        <w:rPr>
          <w:rFonts w:hint="eastAsia" w:eastAsia="方正仿宋_GBK"/>
          <w:sz w:val="32"/>
          <w:szCs w:val="32"/>
        </w:rPr>
        <w:t>月</w:t>
      </w:r>
      <w:r>
        <w:rPr>
          <w:rFonts w:hint="eastAsia"/>
          <w:sz w:val="32"/>
          <w:szCs w:val="32"/>
          <w:lang w:val="en-US" w:eastAsia="zh-CN"/>
        </w:rPr>
        <w:t>25</w:t>
      </w:r>
      <w:r>
        <w:rPr>
          <w:rFonts w:hint="eastAsia" w:eastAsia="方正仿宋_GBK"/>
          <w:sz w:val="32"/>
          <w:szCs w:val="32"/>
        </w:rPr>
        <w:t>日</w:t>
      </w:r>
    </w:p>
    <w:p>
      <w:pPr>
        <w:keepNext w:val="0"/>
        <w:keepLines w:val="0"/>
        <w:pageBreakBefore w:val="0"/>
        <w:widowControl w:val="0"/>
        <w:kinsoku/>
        <w:wordWrap/>
        <w:overflowPunct/>
        <w:topLinePunct w:val="0"/>
        <w:autoSpaceDE/>
        <w:autoSpaceDN/>
        <w:bidi w:val="0"/>
        <w:adjustRightInd/>
        <w:snapToGrid/>
        <w:spacing w:line="576" w:lineRule="exact"/>
        <w:ind w:firstLine="632" w:firstLineChars="200"/>
        <w:textAlignment w:val="auto"/>
        <w:rPr>
          <w:rFonts w:eastAsia="方正黑体_GBK"/>
          <w:sz w:val="32"/>
          <w:szCs w:val="32"/>
        </w:rPr>
      </w:pPr>
      <w:r>
        <w:rPr>
          <w:rFonts w:hint="eastAsia"/>
          <w:sz w:val="32"/>
          <w:szCs w:val="32"/>
          <w:lang w:val="en-US" w:eastAsia="zh-CN"/>
        </w:rPr>
        <w:t>（此件公开发布）</w:t>
      </w:r>
      <w:r>
        <w:rPr>
          <w:rFonts w:eastAsia="方正仿宋_GBK"/>
          <w:sz w:val="32"/>
          <w:szCs w:val="32"/>
        </w:rPr>
        <w:br w:type="page"/>
      </w:r>
      <w:r>
        <w:rPr>
          <w:rFonts w:hint="eastAsia" w:ascii="方正黑体_GBK" w:hAnsi="方正黑体_GBK" w:eastAsia="方正黑体_GBK" w:cs="方正黑体_GBK"/>
          <w:sz w:val="32"/>
          <w:szCs w:val="32"/>
        </w:rPr>
        <w:t>附件</w:t>
      </w:r>
      <w:r>
        <w:rPr>
          <w:rFonts w:hint="default" w:ascii="Times New Roman" w:hAnsi="Times New Roman" w:eastAsia="方正黑体_GBK" w:cs="Times New Roman"/>
          <w:sz w:val="32"/>
          <w:szCs w:val="32"/>
        </w:rPr>
        <w:t>1</w:t>
      </w:r>
    </w:p>
    <w:p>
      <w:pPr>
        <w:pageBreakBefore w:val="0"/>
        <w:widowControl w:val="0"/>
        <w:kinsoku/>
        <w:wordWrap/>
        <w:overflowPunct/>
        <w:topLinePunct w:val="0"/>
        <w:autoSpaceDE/>
        <w:autoSpaceDN/>
        <w:bidi w:val="0"/>
        <w:adjustRightInd/>
        <w:snapToGrid/>
        <w:spacing w:line="580" w:lineRule="exact"/>
        <w:textAlignment w:val="auto"/>
        <w:rPr>
          <w:rFonts w:eastAsia="方正黑体_GBK"/>
          <w:sz w:val="32"/>
          <w:szCs w:val="32"/>
        </w:rPr>
      </w:pPr>
    </w:p>
    <w:p>
      <w:pPr>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重庆市綦江区园地定级和基准地价成果</w:t>
      </w:r>
    </w:p>
    <w:p>
      <w:pPr>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44"/>
          <w:szCs w:val="44"/>
          <w:lang w:val="en-US" w:eastAsia="zh-CN"/>
        </w:rPr>
      </w:pPr>
    </w:p>
    <w:p>
      <w:pPr>
        <w:pStyle w:val="2"/>
        <w:pageBreakBefore w:val="0"/>
        <w:widowControl w:val="0"/>
        <w:numPr>
          <w:ilvl w:val="0"/>
          <w:numId w:val="1"/>
        </w:numPr>
        <w:kinsoku/>
        <w:wordWrap/>
        <w:overflowPunct/>
        <w:topLinePunct w:val="0"/>
        <w:autoSpaceDE/>
        <w:autoSpaceDN/>
        <w:bidi w:val="0"/>
        <w:adjustRightInd/>
        <w:snapToGrid/>
        <w:spacing w:before="0" w:after="0" w:line="580" w:lineRule="exact"/>
        <w:ind w:firstLine="643"/>
        <w:jc w:val="left"/>
        <w:textAlignment w:val="auto"/>
        <w:rPr>
          <w:rFonts w:hint="eastAsia" w:ascii="方正黑体_GBK" w:hAnsi="方正黑体_GBK" w:eastAsia="方正黑体_GBK" w:cs="方正黑体_GBK"/>
          <w:b w:val="0"/>
          <w:bCs w:val="0"/>
        </w:rPr>
      </w:pPr>
      <w:bookmarkStart w:id="1" w:name="_Toc169867006"/>
      <w:r>
        <w:rPr>
          <w:rFonts w:hint="eastAsia" w:ascii="方正黑体_GBK" w:hAnsi="方正黑体_GBK" w:eastAsia="方正黑体_GBK" w:cs="方正黑体_GBK"/>
          <w:b w:val="0"/>
          <w:bCs w:val="0"/>
        </w:rPr>
        <w:t>园地基准地价表</w:t>
      </w:r>
      <w:bookmarkEnd w:id="1"/>
    </w:p>
    <w:p>
      <w:pPr>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rPr>
      </w:pPr>
      <w:r>
        <w:rPr>
          <w:rFonts w:hint="eastAsia" w:ascii="方正黑体_GBK" w:hAnsi="方正黑体_GBK" w:eastAsia="方正黑体_GBK" w:cs="方正黑体_GBK"/>
          <w:b w:val="0"/>
          <w:bCs w:val="0"/>
          <w:kern w:val="0"/>
          <w:sz w:val="32"/>
          <w:szCs w:val="32"/>
        </w:rPr>
        <w:t>园地基准地价表</w:t>
      </w:r>
    </w:p>
    <w:tbl>
      <w:tblPr>
        <w:tblStyle w:val="15"/>
        <w:tblW w:w="9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9"/>
        <w:gridCol w:w="3777"/>
        <w:gridCol w:w="3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8" w:hRule="atLeast"/>
          <w:jc w:val="center"/>
        </w:trPr>
        <w:tc>
          <w:tcPr>
            <w:tcW w:w="9100" w:type="dxa"/>
            <w:gridSpan w:val="3"/>
            <w:tcBorders>
              <w:top w:val="nil"/>
              <w:left w:val="nil"/>
              <w:bottom w:val="single" w:color="auto" w:sz="4" w:space="0"/>
              <w:right w:val="nil"/>
            </w:tcBorders>
            <w:shd w:val="clear" w:color="auto" w:fill="auto"/>
            <w:vAlign w:val="center"/>
          </w:tcPr>
          <w:p>
            <w:pPr>
              <w:widowControl/>
              <w:snapToGrid w:val="0"/>
              <w:spacing w:line="240" w:lineRule="auto"/>
              <w:ind w:firstLine="0" w:firstLineChars="0"/>
              <w:jc w:val="right"/>
              <w:rPr>
                <w:rFonts w:ascii="方正仿宋_GBK" w:hAnsi="宋体" w:eastAsia="方正仿宋_GBK"/>
                <w:kern w:val="0"/>
                <w:sz w:val="24"/>
                <w:szCs w:val="24"/>
              </w:rPr>
            </w:pPr>
            <w:r>
              <w:rPr>
                <w:rFonts w:hint="eastAsia" w:ascii="方正仿宋_GBK" w:hAnsi="宋体" w:eastAsia="方正仿宋_GBK"/>
                <w:kern w:val="0"/>
                <w:sz w:val="24"/>
                <w:szCs w:val="24"/>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jc w:val="center"/>
        </w:trPr>
        <w:tc>
          <w:tcPr>
            <w:tcW w:w="15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级别</w:t>
            </w:r>
          </w:p>
        </w:tc>
        <w:tc>
          <w:tcPr>
            <w:tcW w:w="37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果园</w:t>
            </w:r>
          </w:p>
        </w:tc>
        <w:tc>
          <w:tcPr>
            <w:tcW w:w="37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其他园地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5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w:t>
            </w:r>
          </w:p>
        </w:tc>
        <w:tc>
          <w:tcPr>
            <w:tcW w:w="37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19200</w:t>
            </w:r>
          </w:p>
        </w:tc>
        <w:tc>
          <w:tcPr>
            <w:tcW w:w="37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15740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5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2</w:t>
            </w:r>
          </w:p>
        </w:tc>
        <w:tc>
          <w:tcPr>
            <w:tcW w:w="37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14400</w:t>
            </w:r>
          </w:p>
        </w:tc>
        <w:tc>
          <w:tcPr>
            <w:tcW w:w="37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5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3</w:t>
            </w:r>
          </w:p>
        </w:tc>
        <w:tc>
          <w:tcPr>
            <w:tcW w:w="37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11400</w:t>
            </w:r>
          </w:p>
        </w:tc>
        <w:tc>
          <w:tcPr>
            <w:tcW w:w="37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9350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1" w:hRule="atLeast"/>
          <w:jc w:val="center"/>
        </w:trPr>
        <w:tc>
          <w:tcPr>
            <w:tcW w:w="15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4</w:t>
            </w:r>
          </w:p>
        </w:tc>
        <w:tc>
          <w:tcPr>
            <w:tcW w:w="37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9200</w:t>
            </w:r>
          </w:p>
        </w:tc>
        <w:tc>
          <w:tcPr>
            <w:tcW w:w="37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7540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9" w:hRule="atLeast"/>
          <w:jc w:val="center"/>
        </w:trPr>
        <w:tc>
          <w:tcPr>
            <w:tcW w:w="91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540"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1</w:t>
            </w:r>
            <w:r>
              <w:rPr>
                <w:rFonts w:hint="eastAsia"/>
                <w:b w:val="0"/>
              </w:rPr>
              <w:t>．</w:t>
            </w:r>
            <w:r>
              <w:rPr>
                <w:rFonts w:hint="default" w:ascii="Times New Roman" w:hAnsi="Times New Roman" w:eastAsia="方正仿宋_GBK" w:cs="Times New Roman"/>
                <w:kern w:val="0"/>
                <w:sz w:val="32"/>
                <w:szCs w:val="32"/>
              </w:rPr>
              <w:t>实体类型：园地土地价值，不包含地上附着物和定着物的价值</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540"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2</w:t>
            </w:r>
            <w:r>
              <w:rPr>
                <w:rFonts w:hint="eastAsia"/>
                <w:b w:val="0"/>
              </w:rPr>
              <w:t>．</w:t>
            </w:r>
            <w:r>
              <w:rPr>
                <w:rFonts w:hint="default" w:ascii="Times New Roman" w:hAnsi="Times New Roman" w:eastAsia="方正仿宋_GBK" w:cs="Times New Roman"/>
                <w:kern w:val="0"/>
                <w:sz w:val="32"/>
                <w:szCs w:val="32"/>
              </w:rPr>
              <w:t>土地权利：承包经营权</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540"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3</w:t>
            </w:r>
            <w:r>
              <w:rPr>
                <w:rFonts w:hint="eastAsia"/>
                <w:b w:val="0"/>
              </w:rPr>
              <w:t>．</w:t>
            </w:r>
            <w:r>
              <w:rPr>
                <w:rFonts w:hint="default" w:ascii="Times New Roman" w:hAnsi="Times New Roman" w:eastAsia="方正仿宋_GBK" w:cs="Times New Roman"/>
                <w:kern w:val="0"/>
                <w:sz w:val="32"/>
                <w:szCs w:val="32"/>
              </w:rPr>
              <w:t>土地权利年期：30年</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540" w:lineRule="exact"/>
              <w:ind w:firstLine="0" w:firstLineChars="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4</w:t>
            </w:r>
            <w:r>
              <w:rPr>
                <w:rFonts w:hint="eastAsia"/>
                <w:b w:val="0"/>
              </w:rPr>
              <w:t>．</w:t>
            </w:r>
            <w:r>
              <w:rPr>
                <w:rFonts w:hint="default" w:ascii="Times New Roman" w:hAnsi="Times New Roman" w:eastAsia="方正仿宋_GBK" w:cs="Times New Roman"/>
                <w:kern w:val="0"/>
                <w:sz w:val="32"/>
                <w:szCs w:val="32"/>
              </w:rPr>
              <w:t>利用类型：果园、其他园地。</w:t>
            </w:r>
          </w:p>
          <w:p>
            <w:pPr>
              <w:keepNext w:val="0"/>
              <w:keepLines w:val="0"/>
              <w:pageBreakBefore w:val="0"/>
              <w:widowControl/>
              <w:kinsoku/>
              <w:wordWrap/>
              <w:overflowPunct/>
              <w:topLinePunct w:val="0"/>
              <w:autoSpaceDE/>
              <w:autoSpaceDN/>
              <w:bidi w:val="0"/>
              <w:adjustRightInd/>
              <w:snapToGrid w:val="0"/>
              <w:spacing w:line="540" w:lineRule="exact"/>
              <w:ind w:firstLine="0" w:firstLineChars="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5</w:t>
            </w:r>
            <w:r>
              <w:rPr>
                <w:rFonts w:hint="eastAsia"/>
                <w:b w:val="0"/>
              </w:rPr>
              <w:t>．</w:t>
            </w:r>
            <w:r>
              <w:rPr>
                <w:rFonts w:hint="default" w:ascii="Times New Roman" w:hAnsi="Times New Roman" w:eastAsia="方正仿宋_GBK" w:cs="Times New Roman"/>
                <w:kern w:val="0"/>
                <w:sz w:val="32"/>
                <w:szCs w:val="32"/>
              </w:rPr>
              <w:t>基本设施状况：按照所在区域具有普遍性、适宜性的种植制度下，宗地外道路通达且有水源保障，宗地内有基本的排水与灌溉设施。</w:t>
            </w:r>
          </w:p>
          <w:p>
            <w:pPr>
              <w:keepNext w:val="0"/>
              <w:keepLines w:val="0"/>
              <w:pageBreakBefore w:val="0"/>
              <w:widowControl/>
              <w:kinsoku/>
              <w:wordWrap/>
              <w:overflowPunct/>
              <w:topLinePunct w:val="0"/>
              <w:autoSpaceDE/>
              <w:autoSpaceDN/>
              <w:bidi w:val="0"/>
              <w:adjustRightInd/>
              <w:snapToGrid w:val="0"/>
              <w:spacing w:line="540" w:lineRule="exact"/>
              <w:ind w:firstLine="0" w:firstLineChars="0"/>
              <w:jc w:val="left"/>
              <w:textAlignment w:val="auto"/>
              <w:rPr>
                <w:rFonts w:ascii="方正仿宋_GBK" w:hAnsi="宋体" w:eastAsia="方正仿宋_GBK"/>
                <w:kern w:val="0"/>
                <w:sz w:val="24"/>
                <w:szCs w:val="24"/>
              </w:rPr>
            </w:pPr>
            <w:r>
              <w:rPr>
                <w:rFonts w:hint="default" w:ascii="Times New Roman" w:hAnsi="Times New Roman" w:eastAsia="方正仿宋_GBK" w:cs="Times New Roman"/>
                <w:kern w:val="0"/>
                <w:sz w:val="32"/>
                <w:szCs w:val="32"/>
              </w:rPr>
              <w:t>6</w:t>
            </w:r>
            <w:r>
              <w:rPr>
                <w:rFonts w:hint="eastAsia"/>
                <w:b w:val="0"/>
              </w:rPr>
              <w:t>．</w:t>
            </w:r>
            <w:r>
              <w:rPr>
                <w:rFonts w:hint="default" w:ascii="Times New Roman" w:hAnsi="Times New Roman" w:eastAsia="方正仿宋_GBK" w:cs="Times New Roman"/>
                <w:kern w:val="0"/>
                <w:sz w:val="32"/>
                <w:szCs w:val="32"/>
              </w:rPr>
              <w:t>估价期日：2023年1月1日。</w:t>
            </w:r>
          </w:p>
        </w:tc>
      </w:tr>
    </w:tbl>
    <w:p>
      <w:pPr>
        <w:spacing w:line="240" w:lineRule="auto"/>
        <w:ind w:firstLine="0" w:firstLineChars="0"/>
        <w:rPr>
          <w:rFonts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32" w:firstLineChars="200"/>
        <w:textAlignment w:val="auto"/>
        <w:rPr>
          <w:rFonts w:hint="eastAsia" w:ascii="方正黑体_GBK" w:hAnsi="方正黑体_GBK" w:eastAsia="方正黑体_GBK" w:cs="方正黑体_GBK"/>
          <w:b w:val="0"/>
          <w:bCs w:val="0"/>
        </w:rPr>
      </w:pPr>
      <w:r>
        <w:rPr>
          <w:rFonts w:eastAsia="方正仿宋_GBK"/>
          <w:sz w:val="32"/>
          <w:szCs w:val="32"/>
        </w:rPr>
        <w:br w:type="page"/>
      </w:r>
      <w:bookmarkStart w:id="2" w:name="_Toc169867007"/>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b w:val="0"/>
          <w:bCs w:val="0"/>
        </w:rPr>
        <w:t>园地级别和基准地价图</w:t>
      </w:r>
      <w:bookmarkEnd w:id="2"/>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580" w:lineRule="exact"/>
        <w:ind w:left="0" w:leftChars="0"/>
        <w:jc w:val="center"/>
        <w:textAlignment w:val="auto"/>
        <w:rPr>
          <w:rFonts w:hint="eastAsia" w:eastAsiaTheme="majorEastAsia"/>
          <w:lang w:eastAsia="zh-CN"/>
        </w:rPr>
      </w:pPr>
      <w:r>
        <w:rPr>
          <w:rFonts w:hint="eastAsia" w:ascii="方正黑体_GBK" w:hAnsi="方正黑体_GBK" w:eastAsia="方正黑体_GBK" w:cs="方正黑体_GBK"/>
          <w:b w:val="0"/>
          <w:bCs w:val="0"/>
          <w:lang w:eastAsia="zh-CN"/>
        </w:rPr>
        <w:t>綦江区果园土地</w:t>
      </w:r>
      <w:r>
        <w:rPr>
          <w:rFonts w:hint="eastAsia" w:ascii="方正黑体_GBK" w:hAnsi="方正黑体_GBK" w:eastAsia="方正黑体_GBK" w:cs="方正黑体_GBK"/>
          <w:b w:val="0"/>
          <w:bCs w:val="0"/>
        </w:rPr>
        <w:t>级别和基准地价图</w:t>
      </w:r>
    </w:p>
    <w:p>
      <w:pPr>
        <w:spacing w:line="240" w:lineRule="auto"/>
        <w:ind w:firstLine="561" w:firstLineChars="0"/>
        <w:rPr>
          <w:rFonts w:eastAsia="方正仿宋_GBK"/>
          <w:sz w:val="32"/>
          <w:szCs w:val="20"/>
        </w:rPr>
      </w:pPr>
      <w:r>
        <w:drawing>
          <wp:inline distT="0" distB="0" distL="114300" distR="114300">
            <wp:extent cx="5028565" cy="657225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028565" cy="6572250"/>
                    </a:xfrm>
                    <a:prstGeom prst="rect">
                      <a:avLst/>
                    </a:prstGeom>
                    <a:noFill/>
                    <a:ln>
                      <a:noFill/>
                    </a:ln>
                  </pic:spPr>
                </pic:pic>
              </a:graphicData>
            </a:graphic>
          </wp:inline>
        </w:drawing>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580" w:lineRule="exact"/>
        <w:ind w:left="0" w:leftChars="0"/>
        <w:jc w:val="center"/>
        <w:textAlignment w:val="auto"/>
        <w:rPr>
          <w:rFonts w:hint="eastAsia" w:eastAsiaTheme="majorEastAsia"/>
          <w:lang w:eastAsia="zh-CN"/>
        </w:rPr>
      </w:pPr>
      <w:r>
        <w:rPr>
          <w:rFonts w:hint="eastAsia" w:ascii="方正黑体_GBK" w:hAnsi="方正黑体_GBK" w:eastAsia="方正黑体_GBK" w:cs="方正黑体_GBK"/>
          <w:b w:val="0"/>
          <w:bCs w:val="0"/>
          <w:lang w:eastAsia="zh-CN"/>
        </w:rPr>
        <w:t>綦江区其他园地土地</w:t>
      </w:r>
      <w:r>
        <w:rPr>
          <w:rFonts w:hint="eastAsia" w:ascii="方正黑体_GBK" w:hAnsi="方正黑体_GBK" w:eastAsia="方正黑体_GBK" w:cs="方正黑体_GBK"/>
          <w:b w:val="0"/>
          <w:bCs w:val="0"/>
        </w:rPr>
        <w:t>级别和基准地价图</w:t>
      </w:r>
    </w:p>
    <w:p>
      <w:pPr>
        <w:spacing w:line="240" w:lineRule="auto"/>
        <w:ind w:firstLine="561" w:firstLineChars="0"/>
        <w:rPr>
          <w:rFonts w:eastAsia="方正仿宋_GBK"/>
          <w:sz w:val="32"/>
          <w:szCs w:val="20"/>
        </w:rPr>
      </w:pPr>
      <w:r>
        <w:drawing>
          <wp:inline distT="0" distB="0" distL="114300" distR="114300">
            <wp:extent cx="4891405" cy="7162165"/>
            <wp:effectExtent l="0" t="0" r="444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4891405" cy="71621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pPr>
      <w:r>
        <w:rPr>
          <w:rFonts w:eastAsia="方正仿宋_GBK"/>
          <w:sz w:val="32"/>
          <w:szCs w:val="20"/>
        </w:rPr>
        <w:br w:type="page"/>
      </w:r>
      <w:bookmarkStart w:id="3" w:name="_Toc169867008"/>
      <w:r>
        <w:rPr>
          <w:rFonts w:hint="eastAsia" w:ascii="方正黑体_GBK" w:hAnsi="方正黑体_GBK" w:eastAsia="方正黑体_GBK" w:cs="方正黑体_GBK"/>
          <w:b w:val="0"/>
          <w:bCs w:val="0"/>
        </w:rPr>
        <w:t>三</w:t>
      </w:r>
      <w:r>
        <w:rPr>
          <w:rFonts w:hint="eastAsia" w:ascii="方正黑体_GBK" w:hAnsi="方正黑体_GBK" w:eastAsia="方正黑体_GBK" w:cs="方正黑体_GBK"/>
          <w:b w:val="0"/>
          <w:bCs w:val="0"/>
          <w:lang w:eastAsia="zh-CN"/>
        </w:rPr>
        <w:t>、</w:t>
      </w:r>
      <w:r>
        <w:rPr>
          <w:rFonts w:hint="eastAsia" w:ascii="方正黑体_GBK" w:hAnsi="方正黑体_GBK" w:eastAsia="方正黑体_GBK" w:cs="方正黑体_GBK"/>
          <w:b w:val="0"/>
          <w:bCs w:val="0"/>
        </w:rPr>
        <w:t>园地基准地价修正体系说明</w:t>
      </w:r>
      <w:bookmarkEnd w:id="3"/>
    </w:p>
    <w:p>
      <w:pPr>
        <w:pStyle w:val="3"/>
        <w:pageBreakBefore w:val="0"/>
        <w:widowControl w:val="0"/>
        <w:kinsoku/>
        <w:wordWrap/>
        <w:overflowPunct/>
        <w:topLinePunct w:val="0"/>
        <w:autoSpaceDE/>
        <w:autoSpaceDN/>
        <w:bidi w:val="0"/>
        <w:adjustRightInd/>
        <w:snapToGrid/>
        <w:spacing w:before="0" w:after="0" w:line="550" w:lineRule="exact"/>
        <w:ind w:firstLine="632" w:firstLineChars="200"/>
        <w:textAlignment w:val="auto"/>
        <w:rPr>
          <w:rFonts w:hint="eastAsia" w:ascii="方正楷体_GBK" w:hAnsi="方正楷体_GBK" w:eastAsia="方正楷体_GBK" w:cs="方正楷体_GBK"/>
          <w:b w:val="0"/>
          <w:bCs w:val="0"/>
          <w:lang w:eastAsia="zh-CN"/>
        </w:rPr>
      </w:pPr>
      <w:bookmarkStart w:id="4" w:name="_Toc169867009"/>
      <w:r>
        <w:rPr>
          <w:rFonts w:hint="eastAsia" w:ascii="方正楷体_GBK" w:hAnsi="方正楷体_GBK" w:eastAsia="方正楷体_GBK" w:cs="方正楷体_GBK"/>
          <w:b w:val="0"/>
          <w:bCs w:val="0"/>
          <w:lang w:eastAsia="zh-CN"/>
        </w:rPr>
        <w:t>（一）</w:t>
      </w:r>
      <w:r>
        <w:rPr>
          <w:rFonts w:hint="eastAsia" w:ascii="方正楷体_GBK" w:hAnsi="方正楷体_GBK" w:eastAsia="方正楷体_GBK" w:cs="方正楷体_GBK"/>
          <w:b w:val="0"/>
          <w:bCs w:val="0"/>
        </w:rPr>
        <w:t>适用范围</w:t>
      </w:r>
      <w:bookmarkEnd w:id="4"/>
      <w:r>
        <w:rPr>
          <w:rFonts w:hint="eastAsia" w:ascii="方正楷体_GBK" w:hAnsi="方正楷体_GBK" w:eastAsia="方正楷体_GBK" w:cs="方正楷体_GBK"/>
          <w:b w:val="0"/>
          <w:bCs w:val="0"/>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eastAsia" w:eastAsia="方正仿宋_GBK"/>
          <w:sz w:val="32"/>
          <w:szCs w:val="32"/>
          <w:lang w:eastAsia="zh-CN"/>
        </w:rPr>
      </w:pPr>
      <w:r>
        <w:rPr>
          <w:rFonts w:hint="eastAsia" w:eastAsia="方正仿宋_GBK"/>
          <w:sz w:val="32"/>
          <w:szCs w:val="32"/>
        </w:rPr>
        <w:t>本次园地涉及镇街范围为</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hint="eastAsia" w:eastAsia="方正仿宋_GBK"/>
          <w:sz w:val="32"/>
          <w:szCs w:val="32"/>
        </w:rPr>
        <w:t>5个街道：古南街道、文龙街道、三江街道、新盛街道、通惠街道；16个镇：石角镇、东溪镇、赶水镇、打通镇、石壕镇、永新镇、三角镇、隆盛镇、郭扶镇、篆塘镇、丁山镇、安稳镇、扶欢镇、永城镇、中峰镇、横山镇</w:t>
      </w:r>
      <w:r>
        <w:rPr>
          <w:rFonts w:eastAsia="方正仿宋_GBK"/>
          <w:sz w:val="32"/>
          <w:szCs w:val="32"/>
        </w:rPr>
        <w:t>。</w:t>
      </w:r>
    </w:p>
    <w:p>
      <w:pPr>
        <w:pStyle w:val="3"/>
        <w:pageBreakBefore w:val="0"/>
        <w:widowControl w:val="0"/>
        <w:kinsoku/>
        <w:wordWrap/>
        <w:overflowPunct/>
        <w:topLinePunct w:val="0"/>
        <w:autoSpaceDE/>
        <w:autoSpaceDN/>
        <w:bidi w:val="0"/>
        <w:adjustRightInd/>
        <w:snapToGrid/>
        <w:spacing w:before="0" w:after="0" w:line="550" w:lineRule="exact"/>
        <w:ind w:firstLine="632" w:firstLineChars="200"/>
        <w:textAlignment w:val="auto"/>
        <w:rPr>
          <w:rFonts w:hint="eastAsia" w:ascii="方正楷体_GBK" w:hAnsi="方正楷体_GBK" w:eastAsia="方正楷体_GBK" w:cs="方正楷体_GBK"/>
          <w:b w:val="0"/>
          <w:bCs w:val="0"/>
          <w:lang w:eastAsia="zh-CN"/>
        </w:rPr>
      </w:pPr>
      <w:bookmarkStart w:id="5" w:name="_Toc169867010"/>
      <w:r>
        <w:rPr>
          <w:rFonts w:hint="eastAsia" w:ascii="方正楷体_GBK" w:hAnsi="方正楷体_GBK" w:eastAsia="方正楷体_GBK" w:cs="方正楷体_GBK"/>
          <w:b w:val="0"/>
          <w:bCs w:val="0"/>
          <w:lang w:eastAsia="zh-CN"/>
        </w:rPr>
        <w:t>（二）</w:t>
      </w:r>
      <w:r>
        <w:rPr>
          <w:rFonts w:hint="eastAsia" w:ascii="方正楷体_GBK" w:hAnsi="方正楷体_GBK" w:eastAsia="方正楷体_GBK" w:cs="方正楷体_GBK"/>
          <w:b w:val="0"/>
          <w:bCs w:val="0"/>
        </w:rPr>
        <w:t>基准地价内涵</w:t>
      </w:r>
      <w:bookmarkEnd w:id="5"/>
      <w:r>
        <w:rPr>
          <w:rFonts w:hint="eastAsia" w:ascii="方正楷体_GBK" w:hAnsi="方正楷体_GBK" w:eastAsia="方正楷体_GBK" w:cs="方正楷体_GBK"/>
          <w:b w:val="0"/>
          <w:bCs w:val="0"/>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基准地价的内涵为园地不同级别、不同用途、设定基本设施状况下，特定权利类型、特定年限的区域平均价格。基准地价的价格表现形式为土地价格（单位：元/亩）。</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val="en-US" w:eastAsia="zh-CN"/>
        </w:rPr>
        <w:t>1</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实体类型</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园地土地价值，不包含地上附着物和定着物的价值。</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土地权利</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承包经营权。</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土地权利年期</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30年。</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利用类型</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果园、其他园地。</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5．基本设施状况</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rPr>
        <w:t>按照所在区域具有普遍性、适宜性的种植制度下，宗地外道路通达且有水源保障，宗地内有基本的排水与灌溉设施</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rPr>
        <w:t>6</w:t>
      </w:r>
      <w:r>
        <w:rPr>
          <w:rFonts w:hint="default" w:ascii="Times New Roman" w:hAnsi="Times New Roman" w:eastAsia="方正仿宋_GBK" w:cs="Times New Roman"/>
          <w:sz w:val="32"/>
          <w:szCs w:val="32"/>
        </w:rPr>
        <w:t>．</w:t>
      </w:r>
      <w:r>
        <w:rPr>
          <w:rFonts w:hint="eastAsia" w:ascii="Times New Roman" w:hAnsi="Times New Roman" w:eastAsia="方正仿宋_GBK" w:cs="Times New Roman"/>
          <w:sz w:val="32"/>
          <w:szCs w:val="32"/>
        </w:rPr>
        <w:t>估价期日</w:t>
      </w:r>
      <w:r>
        <w:rPr>
          <w:rFonts w:hint="eastAsia"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2023年1月1日。</w:t>
      </w:r>
    </w:p>
    <w:p>
      <w:pPr>
        <w:pStyle w:val="3"/>
        <w:pageBreakBefore w:val="0"/>
        <w:widowControl w:val="0"/>
        <w:kinsoku/>
        <w:wordWrap/>
        <w:overflowPunct/>
        <w:topLinePunct w:val="0"/>
        <w:autoSpaceDE/>
        <w:autoSpaceDN/>
        <w:bidi w:val="0"/>
        <w:adjustRightInd/>
        <w:snapToGrid/>
        <w:spacing w:before="0" w:after="0" w:line="550" w:lineRule="exact"/>
        <w:ind w:firstLine="632" w:firstLineChars="200"/>
        <w:textAlignment w:val="auto"/>
        <w:rPr>
          <w:rFonts w:hint="eastAsia" w:ascii="方正楷体_GBK" w:hAnsi="方正楷体_GBK" w:eastAsia="方正楷体_GBK" w:cs="方正楷体_GBK"/>
          <w:b w:val="0"/>
          <w:bCs w:val="0"/>
          <w:lang w:eastAsia="zh-CN"/>
        </w:rPr>
      </w:pPr>
      <w:bookmarkStart w:id="6" w:name="_Toc169867011"/>
      <w:r>
        <w:rPr>
          <w:rFonts w:hint="eastAsia" w:ascii="方正楷体_GBK" w:hAnsi="方正楷体_GBK" w:eastAsia="方正楷体_GBK" w:cs="方正楷体_GBK"/>
          <w:b w:val="0"/>
          <w:bCs w:val="0"/>
          <w:lang w:eastAsia="zh-CN"/>
        </w:rPr>
        <w:t>（三）</w:t>
      </w:r>
      <w:r>
        <w:rPr>
          <w:rFonts w:hint="eastAsia" w:ascii="方正楷体_GBK" w:hAnsi="方正楷体_GBK" w:eastAsia="方正楷体_GBK" w:cs="方正楷体_GBK"/>
          <w:b w:val="0"/>
          <w:bCs w:val="0"/>
        </w:rPr>
        <w:t>基准地价的应用</w:t>
      </w:r>
      <w:bookmarkEnd w:id="6"/>
      <w:r>
        <w:rPr>
          <w:rFonts w:hint="eastAsia" w:ascii="方正楷体_GBK" w:hAnsi="方正楷体_GBK" w:eastAsia="方正楷体_GBK" w:cs="方正楷体_GBK"/>
          <w:b w:val="0"/>
          <w:bCs w:val="0"/>
          <w:lang w:eastAsia="zh-CN"/>
        </w:rPr>
        <w:t>。</w:t>
      </w:r>
    </w:p>
    <w:p>
      <w:pPr>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hint="eastAsia" w:eastAsia="方正仿宋_GBK"/>
          <w:sz w:val="32"/>
          <w:szCs w:val="32"/>
        </w:rPr>
        <w:t>运用基准地价系数修正法进行宗地价格评估时应适用綦江区辖区范围内的园地，并根据宗地实际情况进行期日、年期、利用类型基本设施状况、园地价格影响因素修正</w:t>
      </w:r>
      <w:r>
        <w:rPr>
          <w:rFonts w:eastAsia="方正仿宋_GBK"/>
          <w:sz w:val="32"/>
          <w:szCs w:val="32"/>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eastAsia" w:ascii="方正楷体_GBK" w:eastAsia="方正楷体_GBK"/>
          <w:sz w:val="32"/>
          <w:szCs w:val="32"/>
          <w:lang w:eastAsia="zh-CN"/>
        </w:rPr>
      </w:pPr>
      <w:r>
        <w:rPr>
          <w:rFonts w:hint="default" w:ascii="Times New Roman" w:hAnsi="Times New Roman" w:eastAsia="方正楷体_GBK" w:cs="Times New Roman"/>
          <w:sz w:val="32"/>
          <w:szCs w:val="32"/>
        </w:rPr>
        <w:t>1</w:t>
      </w:r>
      <w:r>
        <w:rPr>
          <w:rFonts w:hint="default" w:ascii="Times New Roman" w:hAnsi="Times New Roman" w:cs="Times New Roman"/>
          <w:b w:val="0"/>
          <w:sz w:val="32"/>
          <w:szCs w:val="32"/>
        </w:rPr>
        <w:t>．</w:t>
      </w:r>
      <w:r>
        <w:rPr>
          <w:rFonts w:hint="eastAsia" w:ascii="方正仿宋_GBK" w:hAnsi="方正仿宋_GBK" w:eastAsia="方正仿宋_GBK" w:cs="方正仿宋_GBK"/>
          <w:sz w:val="32"/>
          <w:szCs w:val="32"/>
        </w:rPr>
        <w:t>宗地价格计算公式</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bookmarkStart w:id="7" w:name="_Hlk162216346"/>
      <w:r>
        <w:rPr>
          <w:rFonts w:eastAsia="方正仿宋_GBK"/>
          <w:sz w:val="32"/>
          <w:szCs w:val="32"/>
        </w:rPr>
        <w:t>P=</w:t>
      </w:r>
      <m:oMath>
        <m:sSub>
          <m:sSubPr>
            <m:ctrlPr>
              <w:rPr>
                <w:rFonts w:ascii="Cambria Math" w:hAnsi="Cambria Math" w:cs="仿宋"/>
                <w:iCs/>
                <w:kern w:val="0"/>
                <w:sz w:val="28"/>
                <w:szCs w:val="28"/>
                <w:lang w:bidi="zh-CN"/>
              </w:rPr>
            </m:ctrlPr>
          </m:sSubPr>
          <m:e>
            <m:r>
              <m:rPr>
                <m:sty m:val="p"/>
              </m:rPr>
              <w:rPr>
                <w:rFonts w:ascii="Cambria Math" w:hAnsi="Cambria Math"/>
                <w:sz w:val="28"/>
                <w:szCs w:val="28"/>
              </w:rPr>
              <m:t>P</m:t>
            </m:r>
            <m:ctrlPr>
              <w:rPr>
                <w:rFonts w:ascii="Cambria Math" w:hAnsi="Cambria Math" w:cs="仿宋"/>
                <w:iCs/>
                <w:kern w:val="0"/>
                <w:sz w:val="28"/>
                <w:szCs w:val="28"/>
                <w:lang w:bidi="zh-CN"/>
              </w:rPr>
            </m:ctrlPr>
          </m:e>
          <m:sub>
            <m:r>
              <m:rPr>
                <m:sty m:val="p"/>
              </m:rPr>
              <w:rPr>
                <w:rFonts w:ascii="Cambria Math" w:hAnsi="Cambria Math"/>
                <w:sz w:val="28"/>
                <w:szCs w:val="28"/>
              </w:rPr>
              <m:t>S</m:t>
            </m:r>
            <m:ctrlPr>
              <w:rPr>
                <w:rFonts w:ascii="Cambria Math" w:hAnsi="Cambria Math" w:cs="仿宋"/>
                <w:iCs/>
                <w:kern w:val="0"/>
                <w:sz w:val="28"/>
                <w:szCs w:val="28"/>
                <w:lang w:bidi="zh-CN"/>
              </w:rPr>
            </m:ctrlPr>
          </m:sub>
        </m:sSub>
        <m:r>
          <m:rPr>
            <m:sty m:val="p"/>
          </m:rPr>
          <w:rPr>
            <w:rFonts w:hint="eastAsia" w:ascii="Cambria Math" w:hAnsi="Cambria Math"/>
            <w:sz w:val="28"/>
            <w:szCs w:val="28"/>
          </w:rPr>
          <m:t>×</m:t>
        </m:r>
        <m:r>
          <m:rPr>
            <m:sty m:val="p"/>
          </m:rPr>
          <w:rPr>
            <w:rFonts w:ascii="Cambria Math" w:hAnsi="Cambria Math"/>
            <w:sz w:val="28"/>
            <w:szCs w:val="28"/>
          </w:rPr>
          <m:t>A</m:t>
        </m:r>
        <m:r>
          <m:rPr>
            <m:sty m:val="p"/>
          </m:rPr>
          <w:rPr>
            <w:rFonts w:hint="eastAsia" w:ascii="Cambria Math" w:hAnsi="Cambria Math"/>
            <w:sz w:val="28"/>
            <w:szCs w:val="28"/>
          </w:rPr>
          <m:t>×</m:t>
        </m:r>
        <m:r>
          <m:rPr>
            <m:sty m:val="p"/>
          </m:rPr>
          <w:rPr>
            <w:rFonts w:ascii="Cambria Math" w:hAnsi="Cambria Math"/>
            <w:sz w:val="28"/>
            <w:szCs w:val="28"/>
          </w:rPr>
          <m:t>B</m:t>
        </m:r>
        <m:r>
          <m:rPr>
            <m:sty m:val="p"/>
          </m:rPr>
          <w:rPr>
            <w:rFonts w:hint="eastAsia" w:ascii="Cambria Math" w:hAnsi="Cambria Math"/>
            <w:sz w:val="28"/>
            <w:szCs w:val="28"/>
          </w:rPr>
          <m:t>×</m:t>
        </m:r>
        <m:r>
          <m:rPr>
            <m:sty m:val="p"/>
          </m:rPr>
          <w:rPr>
            <w:rFonts w:ascii="Cambria Math" w:hAnsi="Cambria Math"/>
            <w:sz w:val="28"/>
            <w:szCs w:val="28"/>
          </w:rPr>
          <m:t>C</m:t>
        </m:r>
        <m:r>
          <m:rPr>
            <m:sty m:val="p"/>
          </m:rPr>
          <w:rPr>
            <w:rFonts w:hint="eastAsia" w:ascii="Cambria Math" w:hAnsi="Cambria Math"/>
            <w:sz w:val="28"/>
            <w:szCs w:val="28"/>
          </w:rPr>
          <m:t>×E</m:t>
        </m:r>
        <m:r>
          <m:rPr>
            <m:sty m:val="p"/>
          </m:rPr>
          <w:rPr>
            <w:rFonts w:ascii="Cambria Math" w:hAnsi="Cambria Math"/>
            <w:sz w:val="28"/>
            <w:szCs w:val="28"/>
          </w:rPr>
          <m:t>+</m:t>
        </m:r>
        <m:r>
          <m:rPr>
            <m:sty m:val="p"/>
          </m:rPr>
          <w:rPr>
            <w:rFonts w:hint="eastAsia" w:ascii="Cambria Math" w:hAnsi="Cambria Math"/>
            <w:sz w:val="28"/>
            <w:szCs w:val="28"/>
          </w:rPr>
          <m:t>D</m:t>
        </m:r>
      </m:oMath>
      <w:r>
        <w:rPr>
          <w:rFonts w:hint="eastAsia" w:eastAsia="方正仿宋_GBK"/>
          <w:sz w:val="28"/>
          <w:szCs w:val="28"/>
        </w:rPr>
        <w:t xml:space="preserve"> </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hint="eastAsia" w:eastAsia="方正仿宋_GBK"/>
          <w:sz w:val="32"/>
          <w:szCs w:val="32"/>
        </w:rPr>
        <w:t>式中：</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hint="eastAsia" w:eastAsia="方正仿宋_GBK"/>
          <w:sz w:val="32"/>
          <w:szCs w:val="32"/>
        </w:rPr>
        <w:t>P</w:t>
      </w:r>
      <w:r>
        <w:rPr>
          <w:rFonts w:eastAsia="方正仿宋_GBK"/>
          <w:sz w:val="32"/>
          <w:szCs w:val="32"/>
        </w:rPr>
        <w:t>—</w:t>
      </w:r>
      <w:r>
        <w:rPr>
          <w:rFonts w:hint="eastAsia" w:eastAsia="方正仿宋_GBK"/>
          <w:sz w:val="32"/>
          <w:szCs w:val="32"/>
        </w:rPr>
        <w:t>待估园地价格</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hint="eastAsia" w:eastAsia="方正仿宋_GBK"/>
          <w:sz w:val="32"/>
          <w:szCs w:val="32"/>
        </w:rPr>
        <w:t>Ps</w:t>
      </w:r>
      <w:r>
        <w:rPr>
          <w:rFonts w:eastAsia="方正仿宋_GBK"/>
          <w:sz w:val="32"/>
          <w:szCs w:val="32"/>
        </w:rPr>
        <w:t>—</w:t>
      </w:r>
      <w:r>
        <w:rPr>
          <w:rFonts w:hint="eastAsia" w:eastAsia="方正仿宋_GBK"/>
          <w:sz w:val="32"/>
          <w:szCs w:val="32"/>
        </w:rPr>
        <w:t>园地基准地价</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hint="eastAsia" w:eastAsia="方正仿宋_GBK"/>
          <w:sz w:val="32"/>
          <w:szCs w:val="32"/>
        </w:rPr>
        <w:t>A</w:t>
      </w:r>
      <w:r>
        <w:rPr>
          <w:rFonts w:eastAsia="方正仿宋_GBK"/>
          <w:sz w:val="32"/>
          <w:szCs w:val="32"/>
        </w:rPr>
        <w:t>—</w:t>
      </w:r>
      <w:r>
        <w:rPr>
          <w:rFonts w:hint="eastAsia" w:eastAsia="方正仿宋_GBK"/>
          <w:sz w:val="32"/>
          <w:szCs w:val="32"/>
        </w:rPr>
        <w:t>待估园地期日修正系数</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eastAsia="方正仿宋_GBK"/>
          <w:sz w:val="32"/>
          <w:szCs w:val="32"/>
        </w:rPr>
        <w:t>B—</w:t>
      </w:r>
      <w:r>
        <w:rPr>
          <w:rFonts w:hint="eastAsia" w:eastAsia="方正仿宋_GBK"/>
          <w:sz w:val="32"/>
          <w:szCs w:val="32"/>
        </w:rPr>
        <w:t>待估园地年期修正系数</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eastAsia="方正仿宋_GBK"/>
          <w:sz w:val="32"/>
          <w:szCs w:val="32"/>
        </w:rPr>
        <w:t>C—</w:t>
      </w:r>
      <w:r>
        <w:rPr>
          <w:rFonts w:hint="eastAsia" w:eastAsia="方正仿宋_GBK"/>
          <w:sz w:val="32"/>
          <w:szCs w:val="32"/>
        </w:rPr>
        <w:t>待估园地利用类型修正系数</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eastAsia="方正仿宋_GBK"/>
          <w:sz w:val="32"/>
          <w:szCs w:val="32"/>
        </w:rPr>
        <w:t>D—</w:t>
      </w:r>
      <w:r>
        <w:rPr>
          <w:rFonts w:hint="eastAsia" w:eastAsia="方正仿宋_GBK"/>
          <w:sz w:val="32"/>
          <w:szCs w:val="32"/>
        </w:rPr>
        <w:t>待估园地基本设施状况</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eastAsia="方正仿宋_GBK"/>
          <w:sz w:val="32"/>
          <w:szCs w:val="32"/>
        </w:rPr>
        <w:t>E—</w:t>
      </w:r>
      <w:r>
        <w:rPr>
          <w:rFonts w:hint="eastAsia" w:eastAsia="方正仿宋_GBK"/>
          <w:sz w:val="32"/>
          <w:szCs w:val="32"/>
        </w:rPr>
        <w:t>待估园地价格影响因素修正系数</w:t>
      </w:r>
    </w:p>
    <w:bookmarkEnd w:id="7"/>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eastAsia" w:ascii="仿宋" w:hAnsi="仿宋" w:eastAsia="方正楷体_GBK"/>
          <w:b/>
          <w:bCs/>
          <w:szCs w:val="28"/>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b w:val="0"/>
          <w:sz w:val="32"/>
          <w:szCs w:val="32"/>
        </w:rPr>
        <w:t>．</w:t>
      </w:r>
      <w:r>
        <w:rPr>
          <w:rFonts w:hint="eastAsia" w:ascii="方正仿宋_GBK" w:hAnsi="方正仿宋_GBK" w:eastAsia="方正仿宋_GBK" w:cs="方正仿宋_GBK"/>
          <w:sz w:val="32"/>
          <w:szCs w:val="32"/>
        </w:rPr>
        <w:t>宗地价格测算中有关参数的确定</w:t>
      </w:r>
      <w:r>
        <w:rPr>
          <w:rFonts w:hint="eastAsia" w:ascii="方正仿宋_GBK" w:hAnsi="方正仿宋_GBK" w:eastAsia="方正仿宋_GBK" w:cs="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hint="eastAsia" w:eastAsia="方正仿宋_GBK"/>
          <w:sz w:val="32"/>
          <w:szCs w:val="32"/>
        </w:rPr>
        <w:t>1</w:t>
      </w:r>
      <w:r>
        <w:rPr>
          <w:rFonts w:hint="eastAsia" w:eastAsia="方正仿宋_GBK"/>
          <w:sz w:val="32"/>
          <w:szCs w:val="32"/>
          <w:lang w:eastAsia="zh-CN"/>
        </w:rPr>
        <w:t>）</w:t>
      </w:r>
      <w:r>
        <w:rPr>
          <w:rFonts w:hint="eastAsia" w:eastAsia="方正仿宋_GBK"/>
          <w:sz w:val="32"/>
          <w:szCs w:val="32"/>
        </w:rPr>
        <w:t>适用的园地基准地价的确定</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pacing w:val="-6"/>
          <w:sz w:val="32"/>
          <w:szCs w:val="32"/>
        </w:rPr>
      </w:pPr>
      <w:r>
        <w:rPr>
          <w:rFonts w:hint="eastAsia" w:eastAsia="方正仿宋_GBK"/>
          <w:sz w:val="32"/>
          <w:szCs w:val="32"/>
        </w:rPr>
        <w:t>根据园地</w:t>
      </w:r>
      <w:r>
        <w:rPr>
          <w:rFonts w:hint="eastAsia" w:eastAsia="方正仿宋_GBK"/>
          <w:spacing w:val="-6"/>
          <w:sz w:val="32"/>
          <w:szCs w:val="32"/>
        </w:rPr>
        <w:t>的用途以及所在级别，选用园地基准地价进行评估。</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hint="eastAsia" w:eastAsia="方正仿宋_GBK"/>
          <w:sz w:val="32"/>
          <w:szCs w:val="32"/>
        </w:rPr>
        <w:t>2）期日修正系数的确定</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hint="eastAsia" w:eastAsia="方正仿宋_GBK"/>
          <w:sz w:val="32"/>
          <w:szCs w:val="32"/>
        </w:rPr>
        <w:t>本次</w:t>
      </w:r>
      <w:r>
        <w:rPr>
          <w:rFonts w:hint="eastAsia" w:eastAsia="方正仿宋_GBK"/>
          <w:spacing w:val="-6"/>
          <w:sz w:val="32"/>
          <w:szCs w:val="32"/>
        </w:rPr>
        <w:t>基准地价估价期日为</w:t>
      </w:r>
      <w:r>
        <w:rPr>
          <w:rFonts w:eastAsia="方正仿宋_GBK"/>
          <w:spacing w:val="-6"/>
          <w:sz w:val="32"/>
          <w:szCs w:val="32"/>
        </w:rPr>
        <w:t>2023年1月1日。若宗地评估期日不是2023年1月1日，应根据地价的实际变化程度进行期日</w:t>
      </w:r>
      <w:r>
        <w:rPr>
          <w:rFonts w:eastAsia="方正仿宋_GBK"/>
          <w:sz w:val="32"/>
          <w:szCs w:val="32"/>
        </w:rPr>
        <w:t>修正。</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hint="eastAsia" w:eastAsia="方正仿宋_GBK"/>
          <w:sz w:val="32"/>
          <w:szCs w:val="32"/>
        </w:rPr>
        <w:t>期日修正系数</w:t>
      </w:r>
      <w:r>
        <w:rPr>
          <w:rFonts w:eastAsia="方正仿宋_GBK"/>
          <w:sz w:val="32"/>
          <w:szCs w:val="32"/>
        </w:rPr>
        <w:t>=估价期日农产品零售价格指数÷基准地价期日农产品零售价格指数</w:t>
      </w:r>
      <w:r>
        <w:rPr>
          <w:rFonts w:hint="eastAsia" w:eastAsia="方正仿宋_GBK"/>
          <w:sz w:val="32"/>
          <w:szCs w:val="32"/>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hint="eastAsia" w:eastAsia="方正仿宋_GBK"/>
          <w:sz w:val="32"/>
          <w:szCs w:val="32"/>
        </w:rPr>
        <w:t>3）年期修正系数的确定</w:t>
      </w:r>
      <w:r>
        <w:rPr>
          <w:rFonts w:hint="eastAsia"/>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eastAsia="方正仿宋_GBK"/>
          <w:sz w:val="32"/>
          <w:szCs w:val="32"/>
        </w:rPr>
        <w:t>K</w:t>
      </w:r>
      <w:r>
        <w:rPr>
          <w:rFonts w:hint="eastAsia" w:eastAsia="方正仿宋_GBK"/>
          <w:sz w:val="32"/>
          <w:szCs w:val="32"/>
        </w:rPr>
        <w:t>y=[1</w:t>
      </w:r>
      <w:r>
        <w:rPr>
          <w:rFonts w:hint="eastAsia" w:ascii="方正仿宋_GBK" w:hAnsi="方正仿宋_GBK" w:eastAsia="方正仿宋_GBK" w:cs="方正仿宋_GBK"/>
          <w:sz w:val="32"/>
          <w:szCs w:val="32"/>
        </w:rPr>
        <w:t>-</w:t>
      </w:r>
      <w:r>
        <w:rPr>
          <w:rFonts w:hint="eastAsia" w:eastAsia="方正仿宋_GBK"/>
          <w:sz w:val="32"/>
          <w:szCs w:val="32"/>
        </w:rPr>
        <w:t>1/(1+r)</w:t>
      </w:r>
      <w:r>
        <w:rPr>
          <w:rFonts w:hint="eastAsia" w:eastAsia="方正仿宋_GBK"/>
          <w:sz w:val="32"/>
          <w:szCs w:val="32"/>
          <w:vertAlign w:val="superscript"/>
        </w:rPr>
        <w:t>n</w:t>
      </w:r>
      <w:r>
        <w:rPr>
          <w:rFonts w:hint="eastAsia" w:eastAsia="方正仿宋_GBK"/>
          <w:sz w:val="32"/>
          <w:szCs w:val="32"/>
        </w:rPr>
        <w:t>]/[1</w:t>
      </w:r>
      <w:r>
        <w:rPr>
          <w:rFonts w:hint="eastAsia" w:ascii="方正仿宋_GBK" w:hAnsi="方正仿宋_GBK" w:eastAsia="方正仿宋_GBK" w:cs="方正仿宋_GBK"/>
          <w:sz w:val="32"/>
          <w:szCs w:val="32"/>
        </w:rPr>
        <w:t>-</w:t>
      </w:r>
      <w:r>
        <w:rPr>
          <w:rFonts w:hint="eastAsia" w:eastAsia="方正仿宋_GBK"/>
          <w:sz w:val="32"/>
          <w:szCs w:val="32"/>
        </w:rPr>
        <w:t>1/(1+r)</w:t>
      </w:r>
      <w:r>
        <w:rPr>
          <w:rFonts w:hint="eastAsia" w:eastAsia="方正仿宋_GBK"/>
          <w:sz w:val="32"/>
          <w:szCs w:val="32"/>
          <w:vertAlign w:val="superscript"/>
        </w:rPr>
        <w:t>m</w:t>
      </w:r>
      <w:r>
        <w:rPr>
          <w:rFonts w:hint="eastAsia" w:eastAsia="方正仿宋_GBK"/>
          <w:sz w:val="32"/>
          <w:szCs w:val="32"/>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eastAsia="方正仿宋_GBK"/>
          <w:sz w:val="32"/>
          <w:szCs w:val="32"/>
        </w:rPr>
        <w:t>其中：K</w:t>
      </w:r>
      <w:r>
        <w:rPr>
          <w:rFonts w:hint="eastAsia" w:eastAsia="方正仿宋_GBK"/>
          <w:sz w:val="32"/>
          <w:szCs w:val="32"/>
        </w:rPr>
        <w:t>y</w:t>
      </w:r>
      <w:r>
        <w:rPr>
          <w:rFonts w:eastAsia="方正仿宋_GBK"/>
          <w:sz w:val="32"/>
          <w:szCs w:val="32"/>
        </w:rPr>
        <w:t>—年期修正系数</w:t>
      </w:r>
    </w:p>
    <w:p>
      <w:pPr>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eastAsia="方正仿宋_GBK"/>
          <w:sz w:val="32"/>
          <w:szCs w:val="32"/>
        </w:rPr>
        <w:t>r—土地还原率</w:t>
      </w:r>
      <w:r>
        <w:rPr>
          <w:rFonts w:hint="eastAsia" w:eastAsia="方正仿宋_GBK"/>
          <w:sz w:val="32"/>
          <w:szCs w:val="32"/>
        </w:rPr>
        <w:t>（</w:t>
      </w:r>
      <w:r>
        <w:rPr>
          <w:rFonts w:eastAsia="方正仿宋_GBK"/>
          <w:sz w:val="32"/>
          <w:szCs w:val="32"/>
        </w:rPr>
        <w:t>2.</w:t>
      </w:r>
      <w:r>
        <w:rPr>
          <w:rFonts w:hint="eastAsia" w:eastAsia="方正仿宋_GBK"/>
          <w:sz w:val="32"/>
          <w:szCs w:val="32"/>
        </w:rPr>
        <w:t>3%）</w:t>
      </w:r>
    </w:p>
    <w:p>
      <w:pPr>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eastAsia="方正仿宋_GBK"/>
          <w:sz w:val="32"/>
          <w:szCs w:val="32"/>
        </w:rPr>
        <w:t>n—</w:t>
      </w:r>
      <w:r>
        <w:rPr>
          <w:rFonts w:hint="eastAsia" w:eastAsia="方正仿宋_GBK"/>
          <w:sz w:val="32"/>
          <w:szCs w:val="32"/>
        </w:rPr>
        <w:t>待估园地的</w:t>
      </w:r>
      <w:r>
        <w:rPr>
          <w:rFonts w:eastAsia="方正仿宋_GBK"/>
          <w:sz w:val="32"/>
          <w:szCs w:val="32"/>
        </w:rPr>
        <w:t>使用</w:t>
      </w:r>
      <w:r>
        <w:rPr>
          <w:rFonts w:hint="eastAsia" w:eastAsia="方正仿宋_GBK"/>
          <w:sz w:val="32"/>
          <w:szCs w:val="32"/>
        </w:rPr>
        <w:t>年期</w:t>
      </w:r>
    </w:p>
    <w:p>
      <w:pPr>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eastAsia="方正仿宋_GBK"/>
          <w:sz w:val="32"/>
          <w:szCs w:val="32"/>
        </w:rPr>
        <w:t>m—基准地价定义的</w:t>
      </w:r>
      <w:r>
        <w:rPr>
          <w:rFonts w:hint="eastAsia" w:eastAsia="方正仿宋_GBK"/>
          <w:sz w:val="32"/>
          <w:szCs w:val="32"/>
        </w:rPr>
        <w:t>使用年期</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hint="eastAsia" w:eastAsia="方正仿宋_GBK"/>
          <w:sz w:val="32"/>
          <w:szCs w:val="32"/>
        </w:rPr>
        <w:t>4）利用类型修正系数的确定</w:t>
      </w:r>
      <w:r>
        <w:rPr>
          <w:rFonts w:hint="eastAsia"/>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eastAsia="方正仿宋_GBK"/>
          <w:sz w:val="32"/>
          <w:szCs w:val="32"/>
        </w:rPr>
      </w:pPr>
      <w:r>
        <w:rPr>
          <w:rFonts w:hint="eastAsia" w:eastAsia="方正仿宋_GBK"/>
          <w:sz w:val="32"/>
          <w:szCs w:val="32"/>
        </w:rPr>
        <w:t>如存在与基准地价规定的用地类型不一致时，需要进行用地类型修正。</w:t>
      </w:r>
    </w:p>
    <w:tbl>
      <w:tblPr>
        <w:tblStyle w:val="15"/>
        <w:tblW w:w="79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4"/>
        <w:gridCol w:w="2352"/>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79" w:hRule="atLeast"/>
          <w:jc w:val="center"/>
        </w:trPr>
        <w:tc>
          <w:tcPr>
            <w:tcW w:w="2984"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eastAsia" w:ascii="方正黑体_GBK" w:hAnsi="方正黑体_GBK" w:eastAsia="方正黑体_GBK" w:cs="方正黑体_GBK"/>
                <w:kern w:val="0"/>
                <w:sz w:val="24"/>
                <w:szCs w:val="24"/>
              </w:rPr>
            </w:pPr>
            <w:bookmarkStart w:id="8" w:name="_Hlk161833504"/>
            <w:r>
              <w:rPr>
                <w:rFonts w:hint="eastAsia" w:ascii="方正黑体_GBK" w:hAnsi="方正黑体_GBK" w:eastAsia="方正黑体_GBK" w:cs="方正黑体_GBK"/>
                <w:kern w:val="0"/>
                <w:sz w:val="24"/>
                <w:szCs w:val="24"/>
              </w:rPr>
              <w:t>用地类型</w:t>
            </w:r>
          </w:p>
        </w:tc>
        <w:tc>
          <w:tcPr>
            <w:tcW w:w="2352"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用途类别划分</w:t>
            </w:r>
          </w:p>
        </w:tc>
        <w:tc>
          <w:tcPr>
            <w:tcW w:w="2601"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298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其他园地</w:t>
            </w:r>
          </w:p>
        </w:tc>
        <w:tc>
          <w:tcPr>
            <w:tcW w:w="2352"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其他园地</w:t>
            </w:r>
          </w:p>
        </w:tc>
        <w:tc>
          <w:tcPr>
            <w:tcW w:w="2601"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298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p>
        </w:tc>
        <w:tc>
          <w:tcPr>
            <w:tcW w:w="2352"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茶园</w:t>
            </w:r>
          </w:p>
        </w:tc>
        <w:tc>
          <w:tcPr>
            <w:tcW w:w="2601"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1.07</w:t>
            </w:r>
          </w:p>
        </w:tc>
      </w:tr>
      <w:bookmarkEnd w:id="8"/>
    </w:tbl>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hAnsi="Times New Roman" w:eastAsia="方正仿宋_GBK" w:cs="Times New Roman"/>
          <w:sz w:val="32"/>
          <w:szCs w:val="32"/>
          <w:lang w:eastAsia="zh-CN"/>
        </w:rPr>
      </w:pPr>
      <w:r>
        <w:rPr>
          <w:rFonts w:hint="eastAsia" w:eastAsia="方正仿宋_GBK"/>
          <w:sz w:val="32"/>
          <w:szCs w:val="32"/>
          <w:lang w:eastAsia="zh-CN"/>
        </w:rPr>
        <w:t>（</w:t>
      </w:r>
      <w:r>
        <w:rPr>
          <w:rFonts w:hint="eastAsia" w:eastAsia="方正仿宋_GBK"/>
          <w:sz w:val="32"/>
          <w:szCs w:val="32"/>
        </w:rPr>
        <w:t>5）基本设施状况修正的确定</w:t>
      </w:r>
      <w:r>
        <w:rPr>
          <w:rFonts w:hint="eastAsia"/>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基本设施修正值详见下表：</w:t>
      </w:r>
    </w:p>
    <w:tbl>
      <w:tblPr>
        <w:tblStyle w:val="15"/>
        <w:tblW w:w="78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8"/>
        <w:gridCol w:w="2680"/>
        <w:gridCol w:w="3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jc w:val="center"/>
        </w:trPr>
        <w:tc>
          <w:tcPr>
            <w:tcW w:w="1988"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用途</w:t>
            </w:r>
          </w:p>
        </w:tc>
        <w:tc>
          <w:tcPr>
            <w:tcW w:w="2680" w:type="dxa"/>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基础设施说明</w:t>
            </w:r>
          </w:p>
        </w:tc>
        <w:tc>
          <w:tcPr>
            <w:tcW w:w="3151" w:type="dxa"/>
            <w:vAlign w:val="center"/>
          </w:tcPr>
          <w:p>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园地基础设施价格</w:t>
            </w:r>
          </w:p>
          <w:p>
            <w:pPr>
              <w:keepNext w:val="0"/>
              <w:keepLines w:val="0"/>
              <w:pageBreakBefore w:val="0"/>
              <w:widowControl/>
              <w:kinsoku/>
              <w:wordWrap/>
              <w:overflowPunct/>
              <w:topLinePunct w:val="0"/>
              <w:autoSpaceDE/>
              <w:autoSpaceDN/>
              <w:bidi w:val="0"/>
              <w:adjustRightInd/>
              <w:snapToGrid w:val="0"/>
              <w:spacing w:line="280" w:lineRule="exact"/>
              <w:ind w:firstLine="0" w:firstLineChars="0"/>
              <w:jc w:val="center"/>
              <w:textAlignment w:val="auto"/>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988"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果园、其他园地</w:t>
            </w:r>
          </w:p>
        </w:tc>
        <w:tc>
          <w:tcPr>
            <w:tcW w:w="2680" w:type="dxa"/>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道路通达</w:t>
            </w:r>
          </w:p>
        </w:tc>
        <w:tc>
          <w:tcPr>
            <w:tcW w:w="3151" w:type="dxa"/>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98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p>
        </w:tc>
        <w:tc>
          <w:tcPr>
            <w:tcW w:w="2680" w:type="dxa"/>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道路不通达</w:t>
            </w:r>
          </w:p>
        </w:tc>
        <w:tc>
          <w:tcPr>
            <w:tcW w:w="3151" w:type="dxa"/>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eastAsia" w:ascii="方正仿宋_GBK" w:hAnsi="方正仿宋_GBK" w:eastAsia="方正仿宋_GBK" w:cs="方正仿宋_GBK"/>
                <w:kern w:val="0"/>
                <w:sz w:val="24"/>
                <w:szCs w:val="24"/>
              </w:rPr>
              <w:t>-</w:t>
            </w:r>
            <w:r>
              <w:rPr>
                <w:rFonts w:hint="default" w:ascii="Times New Roman" w:hAnsi="Times New Roman" w:eastAsia="方正仿宋_GBK" w:cs="Times New Roman"/>
                <w:kern w:val="0"/>
                <w:sz w:val="24"/>
                <w:szCs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atLeast"/>
          <w:jc w:val="center"/>
        </w:trPr>
        <w:tc>
          <w:tcPr>
            <w:tcW w:w="198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p>
        </w:tc>
        <w:tc>
          <w:tcPr>
            <w:tcW w:w="2680" w:type="dxa"/>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有灌溉设施</w:t>
            </w:r>
          </w:p>
        </w:tc>
        <w:tc>
          <w:tcPr>
            <w:tcW w:w="3151" w:type="dxa"/>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1988"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p>
        </w:tc>
        <w:tc>
          <w:tcPr>
            <w:tcW w:w="2680" w:type="dxa"/>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无灌溉设施</w:t>
            </w:r>
          </w:p>
        </w:tc>
        <w:tc>
          <w:tcPr>
            <w:tcW w:w="3151" w:type="dxa"/>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eastAsia" w:ascii="方正仿宋_GBK" w:hAnsi="方正仿宋_GBK" w:eastAsia="方正仿宋_GBK" w:cs="方正仿宋_GBK"/>
                <w:kern w:val="0"/>
                <w:sz w:val="24"/>
                <w:szCs w:val="24"/>
              </w:rPr>
              <w:t>-</w:t>
            </w:r>
            <w:r>
              <w:rPr>
                <w:rFonts w:hint="default" w:ascii="Times New Roman" w:hAnsi="Times New Roman" w:eastAsia="方正仿宋_GBK" w:cs="Times New Roman"/>
                <w:kern w:val="0"/>
                <w:sz w:val="24"/>
                <w:szCs w:val="24"/>
              </w:rPr>
              <w:t>500</w:t>
            </w:r>
          </w:p>
        </w:tc>
      </w:tr>
    </w:tbl>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ascii="Times New Roman" w:hAnsi="Times New Roman" w:eastAsia="方正仿宋_GBK" w:cs="Times New Roman"/>
          <w:sz w:val="32"/>
          <w:szCs w:val="32"/>
        </w:rPr>
      </w:pPr>
      <w:r>
        <w:rPr>
          <w:rFonts w:hint="eastAsia" w:eastAsia="方正仿宋_GBK"/>
          <w:sz w:val="32"/>
          <w:szCs w:val="32"/>
          <w:lang w:eastAsia="zh-CN"/>
        </w:rPr>
        <w:t>（</w:t>
      </w:r>
      <w:r>
        <w:rPr>
          <w:rFonts w:eastAsia="方正仿宋_GBK"/>
          <w:sz w:val="32"/>
          <w:szCs w:val="32"/>
        </w:rPr>
        <w:t>6</w:t>
      </w:r>
      <w:r>
        <w:rPr>
          <w:rFonts w:hint="eastAsia" w:eastAsia="方正仿宋_GBK"/>
          <w:sz w:val="32"/>
          <w:szCs w:val="32"/>
        </w:rPr>
        <w:t>）园地价格影响</w:t>
      </w:r>
      <w:r>
        <w:rPr>
          <w:rFonts w:eastAsia="方正仿宋_GBK"/>
          <w:sz w:val="32"/>
          <w:szCs w:val="32"/>
        </w:rPr>
        <w:t>因素修正系数的确定</w:t>
      </w:r>
      <w:r>
        <w:rPr>
          <w:rFonts w:hint="eastAsia"/>
          <w:sz w:val="32"/>
          <w:szCs w:val="32"/>
          <w:lang w:eastAsia="zh-CN"/>
        </w:rPr>
        <w:t>。</w:t>
      </w:r>
      <w:r>
        <w:rPr>
          <w:rFonts w:hint="eastAsia" w:eastAsia="方正仿宋_GBK"/>
          <w:sz w:val="32"/>
          <w:szCs w:val="32"/>
        </w:rPr>
        <w:t xml:space="preserve"> </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hint="default" w:ascii="Times New Roman" w:hAnsi="Times New Roman" w:eastAsia="方正仿宋_GBK" w:cs="Times New Roman"/>
          <w:sz w:val="32"/>
          <w:szCs w:val="32"/>
        </w:rPr>
      </w:pPr>
      <w:r>
        <w:rPr>
          <w:rFonts w:hint="eastAsia" w:ascii="Times New Roman" w:hAnsi="Times New Roman" w:eastAsia="方正仿宋_GBK" w:cs="Times New Roman"/>
          <w:sz w:val="32"/>
          <w:szCs w:val="32"/>
        </w:rPr>
        <w:t>价格影响</w:t>
      </w:r>
      <w:r>
        <w:rPr>
          <w:rFonts w:ascii="Times New Roman" w:hAnsi="Times New Roman" w:eastAsia="方正仿宋_GBK" w:cs="Times New Roman"/>
          <w:sz w:val="32"/>
          <w:szCs w:val="32"/>
        </w:rPr>
        <w:t>因素修正系</w:t>
      </w:r>
      <w:r>
        <w:rPr>
          <w:rFonts w:hint="eastAsia" w:ascii="方正仿宋_GBK" w:hAnsi="方正仿宋_GBK" w:eastAsia="方正仿宋_GBK" w:cs="方正仿宋_GBK"/>
          <w:sz w:val="32"/>
          <w:szCs w:val="32"/>
        </w:rPr>
        <w:t>数=1+</w:t>
      </w:r>
      <m:oMath>
        <m:nary>
          <m:naryPr>
            <m:chr m:val="∑"/>
            <m:limLoc m:val="undOvr"/>
            <m:ctrlPr>
              <w:rPr>
                <w:rFonts w:hint="default" w:ascii="DejaVu Math TeX Gyre" w:hAnsi="DejaVu Math TeX Gyre" w:eastAsia="方正仿宋_GBK" w:cs="Times New Roman"/>
                <w:sz w:val="32"/>
                <w:szCs w:val="32"/>
              </w:rPr>
            </m:ctrlPr>
          </m:naryPr>
          <m:sub>
            <m:r>
              <m:rPr>
                <m:sty m:val="p"/>
              </m:rPr>
              <w:rPr>
                <w:rFonts w:hint="default" w:ascii="DejaVu Math TeX Gyre" w:hAnsi="DejaVu Math TeX Gyre" w:eastAsia="方正仿宋_GBK" w:cs="Times New Roman"/>
                <w:sz w:val="32"/>
                <w:szCs w:val="32"/>
              </w:rPr>
              <m:t>i=1</m:t>
            </m:r>
            <m:ctrlPr>
              <w:rPr>
                <w:rFonts w:hint="default" w:ascii="DejaVu Math TeX Gyre" w:hAnsi="DejaVu Math TeX Gyre" w:eastAsia="方正仿宋_GBK" w:cs="Times New Roman"/>
                <w:sz w:val="32"/>
                <w:szCs w:val="32"/>
              </w:rPr>
            </m:ctrlPr>
          </m:sub>
          <m:sup>
            <m:r>
              <m:rPr>
                <m:sty m:val="p"/>
              </m:rPr>
              <w:rPr>
                <w:rFonts w:hint="default" w:ascii="DejaVu Math TeX Gyre" w:hAnsi="DejaVu Math TeX Gyre" w:eastAsia="方正仿宋_GBK" w:cs="Times New Roman"/>
                <w:sz w:val="32"/>
                <w:szCs w:val="32"/>
              </w:rPr>
              <m:t>n</m:t>
            </m:r>
            <m:ctrlPr>
              <w:rPr>
                <w:rFonts w:hint="default" w:ascii="DejaVu Math TeX Gyre" w:hAnsi="DejaVu Math TeX Gyre" w:eastAsia="方正仿宋_GBK" w:cs="Times New Roman"/>
                <w:sz w:val="32"/>
                <w:szCs w:val="32"/>
              </w:rPr>
            </m:ctrlPr>
          </m:sup>
          <m:e>
            <m:sSub>
              <m:sSubPr>
                <m:ctrlPr>
                  <w:rPr>
                    <w:rFonts w:hint="default" w:ascii="DejaVu Math TeX Gyre" w:hAnsi="DejaVu Math TeX Gyre" w:eastAsia="方正仿宋_GBK" w:cs="Times New Roman"/>
                    <w:sz w:val="32"/>
                    <w:szCs w:val="32"/>
                  </w:rPr>
                </m:ctrlPr>
              </m:sSubPr>
              <m:e>
                <m:r>
                  <m:rPr>
                    <m:sty m:val="p"/>
                  </m:rPr>
                  <w:rPr>
                    <w:rFonts w:hint="default" w:ascii="DejaVu Math TeX Gyre" w:hAnsi="DejaVu Math TeX Gyre" w:eastAsia="方正仿宋_GBK" w:cs="Times New Roman"/>
                    <w:sz w:val="32"/>
                    <w:szCs w:val="32"/>
                  </w:rPr>
                  <m:t>(K</m:t>
                </m:r>
                <m:ctrlPr>
                  <w:rPr>
                    <w:rFonts w:hint="default" w:ascii="DejaVu Math TeX Gyre" w:hAnsi="DejaVu Math TeX Gyre" w:eastAsia="方正仿宋_GBK" w:cs="Times New Roman"/>
                    <w:sz w:val="32"/>
                    <w:szCs w:val="32"/>
                  </w:rPr>
                </m:ctrlPr>
              </m:e>
              <m:sub>
                <m:eqArr>
                  <m:eqArrPr>
                    <m:ctrlPr>
                      <w:rPr>
                        <w:rFonts w:hint="default" w:ascii="DejaVu Math TeX Gyre" w:hAnsi="DejaVu Math TeX Gyre" w:eastAsia="方正仿宋_GBK" w:cs="Times New Roman"/>
                        <w:sz w:val="32"/>
                        <w:szCs w:val="32"/>
                      </w:rPr>
                    </m:ctrlPr>
                  </m:eqArrPr>
                  <m:e>
                    <m:r>
                      <m:rPr>
                        <m:sty m:val="p"/>
                      </m:rPr>
                      <w:rPr>
                        <w:rFonts w:hint="default" w:ascii="DejaVu Math TeX Gyre" w:hAnsi="DejaVu Math TeX Gyre" w:eastAsia="方正仿宋_GBK" w:cs="Times New Roman"/>
                        <w:sz w:val="32"/>
                        <w:szCs w:val="32"/>
                      </w:rPr>
                      <m:t>i</m:t>
                    </m:r>
                    <m:ctrlPr>
                      <w:rPr>
                        <w:rFonts w:hint="default" w:ascii="DejaVu Math TeX Gyre" w:hAnsi="DejaVu Math TeX Gyre" w:eastAsia="方正仿宋_GBK" w:cs="Times New Roman"/>
                        <w:sz w:val="32"/>
                        <w:szCs w:val="32"/>
                      </w:rPr>
                    </m:ctrlPr>
                  </m:e>
                  <m:e>
                    <m:ctrlPr>
                      <w:rPr>
                        <w:rFonts w:hint="default" w:ascii="DejaVu Math TeX Gyre" w:hAnsi="DejaVu Math TeX Gyre" w:eastAsia="方正仿宋_GBK" w:cs="Times New Roman"/>
                        <w:sz w:val="32"/>
                        <w:szCs w:val="32"/>
                      </w:rPr>
                    </m:ctrlPr>
                  </m:e>
                </m:eqArr>
                <m:ctrlPr>
                  <w:rPr>
                    <w:rFonts w:hint="default" w:ascii="DejaVu Math TeX Gyre" w:hAnsi="DejaVu Math TeX Gyre" w:eastAsia="方正仿宋_GBK" w:cs="Times New Roman"/>
                    <w:sz w:val="32"/>
                    <w:szCs w:val="32"/>
                  </w:rPr>
                </m:ctrlPr>
              </m:sub>
            </m:sSub>
            <m:r>
              <m:rPr>
                <m:sty m:val="p"/>
              </m:rPr>
              <w:rPr>
                <w:rFonts w:hint="default" w:ascii="DejaVu Math TeX Gyre" w:hAnsi="DejaVu Math TeX Gyre" w:eastAsia="方正仿宋_GBK" w:cs="Times New Roman"/>
                <w:sz w:val="32"/>
                <w:szCs w:val="32"/>
              </w:rPr>
              <m:t>÷100)</m:t>
            </m:r>
            <m:ctrlPr>
              <w:rPr>
                <w:rFonts w:hint="default" w:ascii="DejaVu Math TeX Gyre" w:hAnsi="DejaVu Math TeX Gyre" w:eastAsia="方正仿宋_GBK" w:cs="Times New Roman"/>
                <w:sz w:val="32"/>
                <w:szCs w:val="32"/>
              </w:rPr>
            </m:ctrlPr>
          </m:e>
        </m:nary>
      </m:oMath>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按照《</w:t>
      </w:r>
      <w:r>
        <w:rPr>
          <w:rFonts w:hint="eastAsia" w:ascii="Times New Roman" w:hAnsi="Times New Roman" w:eastAsia="方正仿宋_GBK" w:cs="Times New Roman"/>
          <w:sz w:val="32"/>
          <w:szCs w:val="32"/>
        </w:rPr>
        <w:t>园地价格影响修正系数表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根据园地各种因素情况确定每种因素的修正系数，应用上述公式测算宗地的价格影响因素修正系数。</w:t>
      </w:r>
      <w:r>
        <w:rPr>
          <w:rFonts w:ascii="Times New Roman" w:hAnsi="Times New Roman" w:eastAsia="方正仿宋_GBK" w:cs="Times New Roman"/>
          <w:sz w:val="32"/>
          <w:szCs w:val="32"/>
        </w:rPr>
        <w:t>K</w:t>
      </w:r>
      <w:r>
        <w:rPr>
          <w:rFonts w:hint="eastAsia" w:ascii="Times New Roman" w:hAnsi="Times New Roman" w:eastAsia="方正仿宋_GBK" w:cs="Times New Roman"/>
          <w:sz w:val="32"/>
          <w:szCs w:val="32"/>
        </w:rPr>
        <w:t>i</w:t>
      </w:r>
      <w:r>
        <w:rPr>
          <w:rFonts w:ascii="Times New Roman" w:hAnsi="Times New Roman" w:eastAsia="方正仿宋_GBK" w:cs="Times New Roman"/>
          <w:sz w:val="32"/>
          <w:szCs w:val="32"/>
        </w:rPr>
        <w:t>为待估</w:t>
      </w:r>
      <w:r>
        <w:rPr>
          <w:rFonts w:hint="eastAsia" w:ascii="Times New Roman" w:hAnsi="Times New Roman" w:eastAsia="方正仿宋_GBK" w:cs="Times New Roman"/>
          <w:sz w:val="32"/>
          <w:szCs w:val="32"/>
        </w:rPr>
        <w:t>园地</w:t>
      </w:r>
      <w:r>
        <w:rPr>
          <w:rFonts w:ascii="Times New Roman" w:hAnsi="Times New Roman" w:eastAsia="方正仿宋_GBK" w:cs="Times New Roman"/>
          <w:sz w:val="32"/>
          <w:szCs w:val="32"/>
        </w:rPr>
        <w:t>第</w:t>
      </w:r>
      <w:r>
        <w:rPr>
          <w:rFonts w:hint="eastAsia" w:ascii="Times New Roman" w:hAnsi="Times New Roman" w:eastAsia="方正仿宋_GBK" w:cs="Times New Roman"/>
          <w:sz w:val="32"/>
          <w:szCs w:val="32"/>
        </w:rPr>
        <w:t>i</w:t>
      </w:r>
      <w:r>
        <w:rPr>
          <w:rFonts w:ascii="Times New Roman" w:hAnsi="Times New Roman" w:eastAsia="方正仿宋_GBK" w:cs="Times New Roman"/>
          <w:sz w:val="32"/>
          <w:szCs w:val="32"/>
        </w:rPr>
        <w:t>种因素的修正系数。</w:t>
      </w:r>
    </w:p>
    <w:p>
      <w:pPr>
        <w:keepNext w:val="0"/>
        <w:keepLines w:val="0"/>
        <w:pageBreakBefore w:val="0"/>
        <w:widowControl w:val="0"/>
        <w:kinsoku/>
        <w:wordWrap/>
        <w:overflowPunct/>
        <w:topLinePunct w:val="0"/>
        <w:autoSpaceDE/>
        <w:autoSpaceDN/>
        <w:bidi w:val="0"/>
        <w:adjustRightInd/>
        <w:snapToGrid/>
        <w:spacing w:line="550" w:lineRule="exact"/>
        <w:ind w:firstLine="632" w:firstLineChars="200"/>
        <w:textAlignment w:val="auto"/>
        <w:rPr>
          <w:rFonts w:ascii="Times New Roman" w:hAnsi="Times New Roman" w:eastAsia="方正仿宋_GBK" w:cs="Times New Roman"/>
          <w:sz w:val="32"/>
          <w:szCs w:val="32"/>
        </w:rPr>
        <w:sectPr>
          <w:footerReference r:id="rId3" w:type="default"/>
          <w:pgSz w:w="11906" w:h="16838"/>
          <w:pgMar w:top="2098" w:right="1531" w:bottom="1985" w:left="1531" w:header="851" w:footer="1474" w:gutter="0"/>
          <w:pgNumType w:fmt="decimal"/>
          <w:cols w:space="720" w:num="1"/>
          <w:docGrid w:type="linesAndChars" w:linePitch="579" w:charSpace="-849"/>
        </w:sectPr>
      </w:pPr>
      <w:r>
        <w:rPr>
          <w:rFonts w:hint="eastAsia" w:ascii="Times New Roman" w:hAnsi="Times New Roman" w:eastAsia="方正仿宋_GBK" w:cs="Times New Roman"/>
          <w:sz w:val="32"/>
          <w:szCs w:val="32"/>
        </w:rPr>
        <w:t>详见附表：园地价格影响修正系数表</w:t>
      </w:r>
    </w:p>
    <w:p>
      <w:pPr>
        <w:widowControl/>
        <w:spacing w:line="240" w:lineRule="auto"/>
        <w:ind w:firstLine="0" w:firstLineChars="0"/>
        <w:jc w:val="center"/>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果园因素修正指标说明表</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小标宋_GBK" w:hAnsi="方正小标宋_GBK" w:eastAsia="方正小标宋_GBK" w:cs="方正小标宋_GBK"/>
          <w:b w:val="0"/>
          <w:bCs/>
          <w:sz w:val="36"/>
          <w:szCs w:val="36"/>
        </w:rPr>
      </w:pPr>
    </w:p>
    <w:tbl>
      <w:tblPr>
        <w:tblStyle w:val="15"/>
        <w:tblW w:w="14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2042"/>
        <w:gridCol w:w="2129"/>
        <w:gridCol w:w="2115"/>
        <w:gridCol w:w="2347"/>
        <w:gridCol w:w="2208"/>
        <w:gridCol w:w="2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1467" w:type="dxa"/>
            <w:vMerge w:val="restart"/>
            <w:shd w:val="clear" w:color="auto" w:fill="auto"/>
            <w:vAlign w:val="center"/>
          </w:tcPr>
          <w:p>
            <w:pPr>
              <w:spacing w:line="240" w:lineRule="auto"/>
              <w:ind w:firstLine="0" w:firstLineChars="0"/>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区位因素</w:t>
            </w:r>
          </w:p>
        </w:tc>
        <w:tc>
          <w:tcPr>
            <w:tcW w:w="2042" w:type="dxa"/>
            <w:vMerge w:val="restart"/>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因素体系</w:t>
            </w:r>
          </w:p>
        </w:tc>
        <w:tc>
          <w:tcPr>
            <w:tcW w:w="10995" w:type="dxa"/>
            <w:gridSpan w:val="5"/>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修正指标说明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color w:val="000000"/>
                <w:sz w:val="21"/>
                <w:szCs w:val="21"/>
              </w:rPr>
            </w:pPr>
          </w:p>
        </w:tc>
        <w:tc>
          <w:tcPr>
            <w:tcW w:w="2129"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优</w:t>
            </w:r>
          </w:p>
        </w:tc>
        <w:tc>
          <w:tcPr>
            <w:tcW w:w="211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较优</w:t>
            </w:r>
          </w:p>
        </w:tc>
        <w:tc>
          <w:tcPr>
            <w:tcW w:w="234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一般</w:t>
            </w:r>
          </w:p>
        </w:tc>
        <w:tc>
          <w:tcPr>
            <w:tcW w:w="2208"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较劣</w:t>
            </w:r>
          </w:p>
        </w:tc>
        <w:tc>
          <w:tcPr>
            <w:tcW w:w="219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中心城市影响度（m）</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＜1000</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[1000</w:t>
            </w:r>
            <w:r>
              <w:rPr>
                <w:rFonts w:hint="eastAsia"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1500)</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[1500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2000)</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[2000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3000)</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对外交通便利度（m）</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＜1000</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[1000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1500)</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[1500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2000)</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[2000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3000)</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道路通达度</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国道、省道能通达</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县道能通达</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乡道能通达</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只有村道能通达</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无道路通达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农贸市场影响度（m）</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＜1000</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[1000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1500)</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[1500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2000)</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[2000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3000)</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pacing w:val="-11"/>
                <w:sz w:val="21"/>
                <w:szCs w:val="21"/>
              </w:rPr>
              <w:t>社会经济因素</w:t>
            </w: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水源保证率</w:t>
            </w:r>
          </w:p>
        </w:tc>
        <w:tc>
          <w:tcPr>
            <w:tcW w:w="424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充分满足（＜130m）</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基本满足（130～320m）</w:t>
            </w:r>
          </w:p>
        </w:tc>
        <w:tc>
          <w:tcPr>
            <w:tcW w:w="440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不满足（≥320m）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林网化程度（㎡）</w:t>
            </w:r>
          </w:p>
        </w:tc>
        <w:tc>
          <w:tcPr>
            <w:tcW w:w="424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≥10000</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w:t>
            </w:r>
            <w:r>
              <w:rPr>
                <w:rFonts w:hint="default" w:ascii="Times New Roman" w:hAnsi="Times New Roman" w:eastAsia="方正仿宋_GBK" w:cs="Times New Roman"/>
                <w:color w:val="000000"/>
                <w:sz w:val="20"/>
                <w:szCs w:val="20"/>
              </w:rPr>
              <w:t>6000～10000</w:t>
            </w:r>
            <w:r>
              <w:rPr>
                <w:rFonts w:hint="default" w:ascii="Times New Roman" w:hAnsi="Times New Roman" w:eastAsia="方正仿宋_GBK" w:cs="Times New Roman"/>
                <w:kern w:val="0"/>
                <w:sz w:val="20"/>
                <w:szCs w:val="20"/>
              </w:rPr>
              <w:t>)</w:t>
            </w:r>
          </w:p>
        </w:tc>
        <w:tc>
          <w:tcPr>
            <w:tcW w:w="440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连片程度(公顷）</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≥20</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w:t>
            </w:r>
            <w:r>
              <w:rPr>
                <w:rFonts w:hint="default" w:ascii="Times New Roman" w:hAnsi="Times New Roman" w:eastAsia="方正仿宋_GBK" w:cs="Times New Roman"/>
                <w:color w:val="000000"/>
                <w:sz w:val="20"/>
                <w:szCs w:val="20"/>
              </w:rPr>
              <w:t>10～20</w:t>
            </w:r>
            <w:r>
              <w:rPr>
                <w:rFonts w:hint="default" w:ascii="Times New Roman" w:hAnsi="Times New Roman" w:eastAsia="方正仿宋_GBK" w:cs="Times New Roman"/>
                <w:kern w:val="0"/>
                <w:sz w:val="20"/>
                <w:szCs w:val="20"/>
              </w:rPr>
              <w:t>)</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w:t>
            </w:r>
            <w:r>
              <w:rPr>
                <w:rFonts w:hint="default" w:ascii="Times New Roman" w:hAnsi="Times New Roman" w:eastAsia="方正仿宋_GBK" w:cs="Times New Roman"/>
                <w:color w:val="000000"/>
                <w:sz w:val="20"/>
                <w:szCs w:val="20"/>
              </w:rPr>
              <w:t>5～10</w:t>
            </w:r>
            <w:r>
              <w:rPr>
                <w:rFonts w:hint="default" w:ascii="Times New Roman" w:hAnsi="Times New Roman" w:eastAsia="方正仿宋_GBK" w:cs="Times New Roman"/>
                <w:kern w:val="0"/>
                <w:sz w:val="20"/>
                <w:szCs w:val="20"/>
              </w:rPr>
              <w:t>)</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w:t>
            </w:r>
            <w:r>
              <w:rPr>
                <w:rFonts w:hint="default" w:ascii="Times New Roman" w:hAnsi="Times New Roman" w:eastAsia="方正仿宋_GBK" w:cs="Times New Roman"/>
                <w:color w:val="000000"/>
                <w:sz w:val="20"/>
                <w:szCs w:val="20"/>
              </w:rPr>
              <w:t>2～5</w:t>
            </w:r>
            <w:r>
              <w:rPr>
                <w:rFonts w:hint="default" w:ascii="Times New Roman" w:hAnsi="Times New Roman" w:eastAsia="方正仿宋_GBK" w:cs="Times New Roman"/>
                <w:kern w:val="0"/>
                <w:sz w:val="20"/>
                <w:szCs w:val="20"/>
              </w:rPr>
              <w:t>)</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产品认证</w:t>
            </w:r>
          </w:p>
        </w:tc>
        <w:tc>
          <w:tcPr>
            <w:tcW w:w="424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有产品认证</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w:t>
            </w:r>
          </w:p>
        </w:tc>
        <w:tc>
          <w:tcPr>
            <w:tcW w:w="440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无产品认证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劳作距离（m）</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≤200</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(200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500]</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(500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800]</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(800</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kern w:val="0"/>
                <w:sz w:val="20"/>
                <w:szCs w:val="20"/>
              </w:rPr>
              <w:t>1200]</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田间路网</w:t>
            </w:r>
          </w:p>
        </w:tc>
        <w:tc>
          <w:tcPr>
            <w:tcW w:w="424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＞4%</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w:t>
            </w:r>
            <w:r>
              <w:rPr>
                <w:rFonts w:hint="default" w:ascii="Times New Roman" w:hAnsi="Times New Roman" w:eastAsia="方正仿宋_GBK" w:cs="Times New Roman"/>
                <w:color w:val="000000"/>
                <w:sz w:val="20"/>
                <w:szCs w:val="20"/>
              </w:rPr>
              <w:t>2</w:t>
            </w:r>
            <w:r>
              <w:rPr>
                <w:rFonts w:hint="default" w:ascii="方正仿宋_GBK" w:hAnsi="方正仿宋_GBK" w:eastAsia="方正仿宋_GBK" w:cs="方正仿宋_GBK"/>
                <w:kern w:val="0"/>
                <w:sz w:val="20"/>
                <w:szCs w:val="20"/>
              </w:rPr>
              <w:t>-</w:t>
            </w:r>
            <w:r>
              <w:rPr>
                <w:rFonts w:hint="default" w:ascii="Times New Roman" w:hAnsi="Times New Roman" w:eastAsia="方正仿宋_GBK" w:cs="Times New Roman"/>
                <w:color w:val="000000"/>
                <w:sz w:val="20"/>
                <w:szCs w:val="20"/>
              </w:rPr>
              <w:t>4%</w:t>
            </w:r>
            <w:r>
              <w:rPr>
                <w:rFonts w:hint="default" w:ascii="Times New Roman" w:hAnsi="Times New Roman" w:eastAsia="方正仿宋_GBK" w:cs="Times New Roman"/>
                <w:kern w:val="0"/>
                <w:sz w:val="20"/>
                <w:szCs w:val="20"/>
              </w:rPr>
              <w:t>]</w:t>
            </w:r>
          </w:p>
        </w:tc>
        <w:tc>
          <w:tcPr>
            <w:tcW w:w="440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w:t>
            </w:r>
            <w:r>
              <w:rPr>
                <w:rFonts w:hint="default" w:ascii="Times New Roman" w:hAnsi="Times New Roman" w:eastAsia="方正仿宋_GBK" w:cs="Times New Roman"/>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自然因素</w:t>
            </w: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有效土层厚度</w:t>
            </w:r>
          </w:p>
        </w:tc>
        <w:tc>
          <w:tcPr>
            <w:tcW w:w="424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≥100</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[40～100)</w:t>
            </w:r>
          </w:p>
        </w:tc>
        <w:tc>
          <w:tcPr>
            <w:tcW w:w="440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&lt;40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土壤pH值</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[6.0～6.5)</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[5.5～6.0)</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[5.0～5.5)</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[6.5～7.5)</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&lt;5.0，≥7.5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土壤有机质含量（g/Kg）</w:t>
            </w:r>
          </w:p>
        </w:tc>
        <w:tc>
          <w:tcPr>
            <w:tcW w:w="424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≥20</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[10～20)</w:t>
            </w:r>
          </w:p>
        </w:tc>
        <w:tc>
          <w:tcPr>
            <w:tcW w:w="4404"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土壤质地</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砂壤土</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壤质土</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砂质土</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黏质土</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砾质土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color w:val="000000"/>
                <w:sz w:val="21"/>
                <w:szCs w:val="21"/>
              </w:rPr>
            </w:pPr>
            <w:r>
              <w:rPr>
                <w:rFonts w:hint="default" w:ascii="Times New Roman" w:hAnsi="Times New Roman" w:eastAsia="方正黑体_GBK" w:cs="Times New Roman"/>
                <w:color w:val="000000"/>
                <w:sz w:val="21"/>
                <w:szCs w:val="21"/>
              </w:rPr>
              <w:t>坡度</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(6°～15°]</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(15°～25°]</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≤6°</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kern w:val="0"/>
                <w:sz w:val="20"/>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46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z w:val="21"/>
                <w:szCs w:val="21"/>
              </w:rPr>
            </w:pPr>
          </w:p>
        </w:tc>
        <w:tc>
          <w:tcPr>
            <w:tcW w:w="204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color w:val="000000"/>
                <w:sz w:val="21"/>
                <w:szCs w:val="21"/>
              </w:rPr>
            </w:pPr>
            <w:r>
              <w:rPr>
                <w:rFonts w:hint="eastAsia" w:ascii="方正黑体_GBK" w:hAnsi="方正黑体_GBK" w:eastAsia="方正黑体_GBK" w:cs="方正黑体_GBK"/>
                <w:color w:val="000000"/>
                <w:sz w:val="21"/>
                <w:szCs w:val="21"/>
              </w:rPr>
              <w:t>坡向</w:t>
            </w:r>
          </w:p>
        </w:tc>
        <w:tc>
          <w:tcPr>
            <w:tcW w:w="2129"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阳坡</w:t>
            </w:r>
          </w:p>
        </w:tc>
        <w:tc>
          <w:tcPr>
            <w:tcW w:w="211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半阳坡</w:t>
            </w:r>
          </w:p>
        </w:tc>
        <w:tc>
          <w:tcPr>
            <w:tcW w:w="2347"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w:t>
            </w:r>
          </w:p>
        </w:tc>
        <w:tc>
          <w:tcPr>
            <w:tcW w:w="220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半阴坡</w:t>
            </w:r>
          </w:p>
        </w:tc>
        <w:tc>
          <w:tcPr>
            <w:tcW w:w="2196"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sz w:val="20"/>
                <w:szCs w:val="20"/>
              </w:rPr>
            </w:pPr>
            <w:r>
              <w:rPr>
                <w:rFonts w:hint="default" w:ascii="Times New Roman" w:hAnsi="Times New Roman" w:eastAsia="方正仿宋_GBK" w:cs="Times New Roman"/>
                <w:color w:val="000000"/>
                <w:sz w:val="20"/>
                <w:szCs w:val="20"/>
              </w:rPr>
              <w:t>阴坡</w:t>
            </w:r>
          </w:p>
        </w:tc>
      </w:tr>
    </w:tbl>
    <w:p>
      <w:pPr>
        <w:widowControl/>
        <w:spacing w:line="240" w:lineRule="auto"/>
        <w:ind w:firstLine="0" w:firstLineChars="0"/>
        <w:jc w:val="center"/>
        <w:rPr>
          <w:rFonts w:ascii="方正小标宋_GBK" w:hAnsi="仿宋" w:eastAsia="方正小标宋_GBK"/>
          <w:sz w:val="32"/>
          <w:szCs w:val="32"/>
        </w:rPr>
        <w:sectPr>
          <w:pgSz w:w="16840" w:h="11907" w:orient="landscape"/>
          <w:pgMar w:top="1701" w:right="1418" w:bottom="1134" w:left="1134" w:header="851" w:footer="1418" w:gutter="0"/>
          <w:pgNumType w:fmt="decimal"/>
          <w:cols w:space="720" w:num="1"/>
          <w:docGrid w:linePitch="435" w:charSpace="0"/>
        </w:sectPr>
      </w:pPr>
    </w:p>
    <w:p>
      <w:pPr>
        <w:keepNext w:val="0"/>
        <w:keepLines w:val="0"/>
        <w:pageBreakBefore w:val="0"/>
        <w:widowControl/>
        <w:kinsoku/>
        <w:wordWrap/>
        <w:overflowPunct/>
        <w:topLinePunct w:val="0"/>
        <w:autoSpaceDE/>
        <w:autoSpaceDN/>
        <w:bidi w:val="0"/>
        <w:adjustRightInd/>
        <w:snapToGrid/>
        <w:spacing w:line="240" w:lineRule="exact"/>
        <w:ind w:firstLine="0" w:firstLineChars="0"/>
        <w:jc w:val="both"/>
        <w:textAlignment w:val="auto"/>
        <w:rPr>
          <w:rFonts w:hint="default" w:ascii="方正黑体_GBK" w:hAnsi="方正黑体_GBK" w:eastAsia="方正黑体_GBK" w:cs="方正黑体_GBK"/>
          <w:b w:val="0"/>
          <w:bCs/>
          <w:sz w:val="32"/>
          <w:szCs w:val="32"/>
          <w:lang w:val="en-US" w:eastAsia="zh-CN"/>
        </w:rPr>
      </w:pPr>
    </w:p>
    <w:p>
      <w:pPr>
        <w:widowControl/>
        <w:spacing w:line="240" w:lineRule="auto"/>
        <w:ind w:firstLine="0" w:firstLineChars="0"/>
        <w:jc w:val="center"/>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其他园地因素修正指标说明表</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小标宋_GBK" w:hAnsi="方正小标宋_GBK" w:eastAsia="方正小标宋_GBK" w:cs="方正小标宋_GBK"/>
          <w:b w:val="0"/>
          <w:bCs/>
          <w:sz w:val="36"/>
          <w:szCs w:val="36"/>
        </w:rPr>
      </w:pPr>
    </w:p>
    <w:tbl>
      <w:tblPr>
        <w:tblStyle w:val="15"/>
        <w:tblW w:w="14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665"/>
        <w:gridCol w:w="2239"/>
        <w:gridCol w:w="2335"/>
        <w:gridCol w:w="2332"/>
        <w:gridCol w:w="2190"/>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1561" w:type="dxa"/>
            <w:vMerge w:val="restart"/>
            <w:shd w:val="clear" w:color="auto" w:fill="auto"/>
            <w:vAlign w:val="center"/>
          </w:tcPr>
          <w:p>
            <w:pPr>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区位因素</w:t>
            </w:r>
          </w:p>
        </w:tc>
        <w:tc>
          <w:tcPr>
            <w:tcW w:w="1665" w:type="dxa"/>
            <w:vMerge w:val="restart"/>
            <w:shd w:val="clear" w:color="auto" w:fill="auto"/>
            <w:vAlign w:val="center"/>
          </w:tcPr>
          <w:p>
            <w:pPr>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因素体系</w:t>
            </w:r>
          </w:p>
        </w:tc>
        <w:tc>
          <w:tcPr>
            <w:tcW w:w="11278" w:type="dxa"/>
            <w:gridSpan w:val="5"/>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修正指标说明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561"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665"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239"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优</w:t>
            </w:r>
          </w:p>
        </w:tc>
        <w:tc>
          <w:tcPr>
            <w:tcW w:w="233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较优</w:t>
            </w:r>
          </w:p>
        </w:tc>
        <w:tc>
          <w:tcPr>
            <w:tcW w:w="2332"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一般</w:t>
            </w:r>
          </w:p>
        </w:tc>
        <w:tc>
          <w:tcPr>
            <w:tcW w:w="2190"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较劣</w:t>
            </w:r>
          </w:p>
        </w:tc>
        <w:tc>
          <w:tcPr>
            <w:tcW w:w="2182"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中心城市影响度（m）</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＜1000</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[1000</w:t>
            </w:r>
            <w:r>
              <w:rPr>
                <w:rFonts w:hint="eastAsia" w:ascii="方正仿宋_GBK" w:hAnsi="方正仿宋_GBK" w:eastAsia="方正仿宋_GBK" w:cs="方正仿宋_GBK"/>
                <w:kern w:val="0"/>
                <w:sz w:val="20"/>
                <w:szCs w:val="20"/>
              </w:rPr>
              <w:t>-</w:t>
            </w:r>
            <w:r>
              <w:rPr>
                <w:rFonts w:hint="eastAsia" w:eastAsia="方正仿宋_GBK" w:cs="宋体"/>
                <w:kern w:val="0"/>
                <w:sz w:val="20"/>
                <w:szCs w:val="20"/>
              </w:rPr>
              <w:t>1500)</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[1500</w:t>
            </w:r>
            <w:r>
              <w:rPr>
                <w:rFonts w:hint="eastAsia" w:ascii="方正仿宋_GBK" w:hAnsi="方正仿宋_GBK" w:eastAsia="方正仿宋_GBK" w:cs="方正仿宋_GBK"/>
                <w:kern w:val="0"/>
                <w:sz w:val="20"/>
                <w:szCs w:val="20"/>
              </w:rPr>
              <w:t>-</w:t>
            </w:r>
            <w:r>
              <w:rPr>
                <w:rFonts w:hint="eastAsia" w:eastAsia="方正仿宋_GBK" w:cs="宋体"/>
                <w:kern w:val="0"/>
                <w:sz w:val="20"/>
                <w:szCs w:val="20"/>
              </w:rPr>
              <w:t>2000)</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[2000</w:t>
            </w:r>
            <w:r>
              <w:rPr>
                <w:rFonts w:hint="eastAsia" w:ascii="方正仿宋_GBK" w:hAnsi="方正仿宋_GBK" w:eastAsia="方正仿宋_GBK" w:cs="方正仿宋_GBK"/>
                <w:kern w:val="0"/>
                <w:sz w:val="20"/>
                <w:szCs w:val="20"/>
              </w:rPr>
              <w:t>-</w:t>
            </w:r>
            <w:r>
              <w:rPr>
                <w:rFonts w:hint="eastAsia" w:eastAsia="方正仿宋_GBK" w:cs="宋体"/>
                <w:kern w:val="0"/>
                <w:sz w:val="20"/>
                <w:szCs w:val="20"/>
              </w:rPr>
              <w:t>3000)</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对外交通便利度（m）</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＜1000</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[1000</w:t>
            </w:r>
            <w:r>
              <w:rPr>
                <w:rFonts w:hint="eastAsia" w:ascii="方正仿宋_GBK" w:hAnsi="方正仿宋_GBK" w:eastAsia="方正仿宋_GBK" w:cs="方正仿宋_GBK"/>
                <w:kern w:val="0"/>
                <w:sz w:val="20"/>
                <w:szCs w:val="20"/>
              </w:rPr>
              <w:t>-</w:t>
            </w:r>
            <w:r>
              <w:rPr>
                <w:rFonts w:hint="eastAsia" w:eastAsia="方正仿宋_GBK" w:cs="宋体"/>
                <w:kern w:val="0"/>
                <w:sz w:val="20"/>
                <w:szCs w:val="20"/>
              </w:rPr>
              <w:t>1500)</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[1500</w:t>
            </w:r>
            <w:r>
              <w:rPr>
                <w:rFonts w:hint="eastAsia" w:ascii="方正仿宋_GBK" w:hAnsi="方正仿宋_GBK" w:eastAsia="方正仿宋_GBK" w:cs="方正仿宋_GBK"/>
                <w:kern w:val="0"/>
                <w:sz w:val="20"/>
                <w:szCs w:val="20"/>
              </w:rPr>
              <w:t>-</w:t>
            </w:r>
            <w:r>
              <w:rPr>
                <w:rFonts w:hint="eastAsia" w:eastAsia="方正仿宋_GBK" w:cs="宋体"/>
                <w:kern w:val="0"/>
                <w:sz w:val="20"/>
                <w:szCs w:val="20"/>
              </w:rPr>
              <w:t>2000)</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[2000</w:t>
            </w:r>
            <w:r>
              <w:rPr>
                <w:rFonts w:hint="eastAsia" w:ascii="方正仿宋_GBK" w:hAnsi="方正仿宋_GBK" w:eastAsia="方正仿宋_GBK" w:cs="方正仿宋_GBK"/>
                <w:kern w:val="0"/>
                <w:sz w:val="20"/>
                <w:szCs w:val="20"/>
              </w:rPr>
              <w:t>-</w:t>
            </w:r>
            <w:r>
              <w:rPr>
                <w:rFonts w:hint="eastAsia" w:eastAsia="方正仿宋_GBK" w:cs="宋体"/>
                <w:kern w:val="0"/>
                <w:sz w:val="20"/>
                <w:szCs w:val="20"/>
              </w:rPr>
              <w:t>3000)</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道路通达度</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国道、省道能通达</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县道能通达</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乡道能通达</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只有村道能通达</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无道路通达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社会经济因素</w:t>
            </w:r>
          </w:p>
        </w:tc>
        <w:tc>
          <w:tcPr>
            <w:tcW w:w="166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水源保证率</w:t>
            </w:r>
          </w:p>
        </w:tc>
        <w:tc>
          <w:tcPr>
            <w:tcW w:w="4574"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充分满足（＜130m）</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基本满足（130～320m）</w:t>
            </w:r>
          </w:p>
        </w:tc>
        <w:tc>
          <w:tcPr>
            <w:tcW w:w="4372"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不满足（≥320m）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林网化程度（㎡）</w:t>
            </w:r>
          </w:p>
        </w:tc>
        <w:tc>
          <w:tcPr>
            <w:tcW w:w="4574"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≥10000</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s="宋体"/>
                <w:color w:val="000000"/>
                <w:kern w:val="0"/>
                <w:sz w:val="20"/>
                <w:szCs w:val="20"/>
              </w:rPr>
              <w:t>6000～10000</w:t>
            </w:r>
            <w:r>
              <w:rPr>
                <w:rFonts w:hint="eastAsia" w:eastAsia="方正仿宋_GBK" w:cs="宋体"/>
                <w:kern w:val="0"/>
                <w:sz w:val="20"/>
                <w:szCs w:val="20"/>
              </w:rPr>
              <w:t>)</w:t>
            </w:r>
          </w:p>
        </w:tc>
        <w:tc>
          <w:tcPr>
            <w:tcW w:w="4372"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连片程度(公顷）</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olor w:val="000000"/>
                <w:sz w:val="20"/>
                <w:szCs w:val="20"/>
              </w:rPr>
              <w:t>≥20</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olor w:val="000000"/>
                <w:sz w:val="20"/>
                <w:szCs w:val="20"/>
              </w:rPr>
              <w:t>10～20</w:t>
            </w:r>
            <w:r>
              <w:rPr>
                <w:rFonts w:hint="eastAsia" w:eastAsia="方正仿宋_GBK" w:cs="宋体"/>
                <w:kern w:val="0"/>
                <w:sz w:val="20"/>
                <w:szCs w:val="20"/>
              </w:rPr>
              <w:t>)</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olor w:val="000000"/>
                <w:sz w:val="20"/>
                <w:szCs w:val="20"/>
              </w:rPr>
              <w:t>5～10</w:t>
            </w:r>
            <w:r>
              <w:rPr>
                <w:rFonts w:hint="eastAsia" w:eastAsia="方正仿宋_GBK" w:cs="宋体"/>
                <w:kern w:val="0"/>
                <w:sz w:val="20"/>
                <w:szCs w:val="20"/>
              </w:rPr>
              <w:t>)</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olor w:val="000000"/>
                <w:sz w:val="20"/>
                <w:szCs w:val="20"/>
              </w:rPr>
              <w:t>2～5</w:t>
            </w:r>
            <w:r>
              <w:rPr>
                <w:rFonts w:hint="eastAsia" w:eastAsia="方正仿宋_GBK" w:cs="宋体"/>
                <w:kern w:val="0"/>
                <w:sz w:val="20"/>
                <w:szCs w:val="20"/>
              </w:rPr>
              <w:t>)</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产品认证</w:t>
            </w:r>
          </w:p>
        </w:tc>
        <w:tc>
          <w:tcPr>
            <w:tcW w:w="4574"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有产品认证</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w:t>
            </w:r>
          </w:p>
        </w:tc>
        <w:tc>
          <w:tcPr>
            <w:tcW w:w="4372"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无产品认证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劳作距离（m）</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olor w:val="000000"/>
                <w:sz w:val="20"/>
                <w:szCs w:val="20"/>
              </w:rPr>
              <w:t>≤200</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(200</w:t>
            </w:r>
            <w:r>
              <w:rPr>
                <w:rFonts w:hint="eastAsia" w:ascii="方正仿宋_GBK" w:hAnsi="方正仿宋_GBK" w:eastAsia="方正仿宋_GBK" w:cs="方正仿宋_GBK"/>
                <w:kern w:val="0"/>
                <w:sz w:val="20"/>
                <w:szCs w:val="20"/>
              </w:rPr>
              <w:t>-</w:t>
            </w:r>
            <w:r>
              <w:rPr>
                <w:rFonts w:hint="eastAsia" w:eastAsia="方正仿宋_GBK" w:cs="宋体"/>
                <w:kern w:val="0"/>
                <w:sz w:val="20"/>
                <w:szCs w:val="20"/>
              </w:rPr>
              <w:t>500]</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(500</w:t>
            </w:r>
            <w:r>
              <w:rPr>
                <w:rFonts w:hint="eastAsia" w:ascii="方正仿宋_GBK" w:hAnsi="方正仿宋_GBK" w:eastAsia="方正仿宋_GBK" w:cs="方正仿宋_GBK"/>
                <w:kern w:val="0"/>
                <w:sz w:val="20"/>
                <w:szCs w:val="20"/>
              </w:rPr>
              <w:t>-</w:t>
            </w:r>
            <w:r>
              <w:rPr>
                <w:rFonts w:hint="eastAsia" w:eastAsia="方正仿宋_GBK" w:cs="宋体"/>
                <w:kern w:val="0"/>
                <w:sz w:val="20"/>
                <w:szCs w:val="20"/>
              </w:rPr>
              <w:t>800]</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(800</w:t>
            </w:r>
            <w:r>
              <w:rPr>
                <w:rFonts w:hint="eastAsia" w:ascii="方正仿宋_GBK" w:hAnsi="方正仿宋_GBK" w:eastAsia="方正仿宋_GBK" w:cs="方正仿宋_GBK"/>
                <w:kern w:val="0"/>
                <w:sz w:val="20"/>
                <w:szCs w:val="20"/>
              </w:rPr>
              <w:t>-</w:t>
            </w:r>
            <w:r>
              <w:rPr>
                <w:rFonts w:hint="eastAsia" w:eastAsia="方正仿宋_GBK" w:cs="宋体"/>
                <w:kern w:val="0"/>
                <w:sz w:val="20"/>
                <w:szCs w:val="20"/>
              </w:rPr>
              <w:t>1200]</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olor w:val="000000"/>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田间路网</w:t>
            </w:r>
          </w:p>
        </w:tc>
        <w:tc>
          <w:tcPr>
            <w:tcW w:w="4574"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＞4%</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olor w:val="000000"/>
                <w:sz w:val="20"/>
                <w:szCs w:val="20"/>
              </w:rPr>
              <w:t>2-4%</w:t>
            </w:r>
            <w:r>
              <w:rPr>
                <w:rFonts w:hint="eastAsia" w:eastAsia="方正仿宋_GBK" w:cs="宋体"/>
                <w:kern w:val="0"/>
                <w:sz w:val="20"/>
                <w:szCs w:val="20"/>
              </w:rPr>
              <w:t>]</w:t>
            </w:r>
          </w:p>
        </w:tc>
        <w:tc>
          <w:tcPr>
            <w:tcW w:w="4372"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olor w:val="00000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自然因素</w:t>
            </w: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有效土层厚度(cm)</w:t>
            </w:r>
          </w:p>
        </w:tc>
        <w:tc>
          <w:tcPr>
            <w:tcW w:w="4574"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≥100</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[40～100)</w:t>
            </w:r>
          </w:p>
        </w:tc>
        <w:tc>
          <w:tcPr>
            <w:tcW w:w="4372"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&lt;40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土壤pH值</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[6.0～6.5)</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[5.5～6.0)</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[5.0～5.5)</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[6.5～7.5)</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&lt;5.0，≥7.5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土壤有机质含量（g/Kg）</w:t>
            </w:r>
          </w:p>
        </w:tc>
        <w:tc>
          <w:tcPr>
            <w:tcW w:w="4574"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≥20</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[10～20)</w:t>
            </w:r>
          </w:p>
        </w:tc>
        <w:tc>
          <w:tcPr>
            <w:tcW w:w="4372"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土壤质地</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砂壤土</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壤质土</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砂质土</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黏质土</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砾质土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坡度</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(6°～15°]</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(15°～25°]</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≤6°</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坡向</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阳坡</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半阳坡</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半阴坡</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阴坡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1561" w:type="dxa"/>
            <w:vMerge w:val="continue"/>
            <w:shd w:val="clear" w:color="auto" w:fill="auto"/>
            <w:vAlign w:val="center"/>
          </w:tcPr>
          <w:p>
            <w:pPr>
              <w:widowControl/>
              <w:spacing w:line="240" w:lineRule="auto"/>
              <w:ind w:firstLine="0" w:firstLineChars="0"/>
              <w:jc w:val="left"/>
              <w:rPr>
                <w:rFonts w:hint="eastAsia" w:ascii="方正黑体_GBK" w:hAnsi="方正黑体_GBK" w:eastAsia="方正黑体_GBK" w:cs="方正黑体_GBK"/>
                <w:color w:val="000000"/>
                <w:kern w:val="0"/>
                <w:sz w:val="21"/>
                <w:szCs w:val="21"/>
              </w:rPr>
            </w:pPr>
          </w:p>
        </w:tc>
        <w:tc>
          <w:tcPr>
            <w:tcW w:w="1665" w:type="dxa"/>
            <w:shd w:val="clear" w:color="auto" w:fill="auto"/>
            <w:vAlign w:val="center"/>
          </w:tcPr>
          <w:p>
            <w:pPr>
              <w:widowControl/>
              <w:spacing w:line="280" w:lineRule="exact"/>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海拔（m）</w:t>
            </w:r>
          </w:p>
        </w:tc>
        <w:tc>
          <w:tcPr>
            <w:tcW w:w="2239"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s="宋体"/>
                <w:color w:val="000000"/>
                <w:kern w:val="0"/>
                <w:sz w:val="20"/>
                <w:szCs w:val="20"/>
              </w:rPr>
              <w:t>400～500</w:t>
            </w:r>
            <w:r>
              <w:rPr>
                <w:rFonts w:hint="eastAsia" w:eastAsia="方正仿宋_GBK" w:cs="宋体"/>
                <w:kern w:val="0"/>
                <w:sz w:val="20"/>
                <w:szCs w:val="20"/>
              </w:rPr>
              <w:t>)</w:t>
            </w:r>
          </w:p>
        </w:tc>
        <w:tc>
          <w:tcPr>
            <w:tcW w:w="2335"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s="宋体"/>
                <w:color w:val="000000"/>
                <w:kern w:val="0"/>
                <w:sz w:val="20"/>
                <w:szCs w:val="20"/>
              </w:rPr>
              <w:t>300～400</w:t>
            </w:r>
            <w:r>
              <w:rPr>
                <w:rFonts w:hint="eastAsia" w:eastAsia="方正仿宋_GBK" w:cs="宋体"/>
                <w:kern w:val="0"/>
                <w:sz w:val="20"/>
                <w:szCs w:val="20"/>
              </w:rPr>
              <w:t>)</w:t>
            </w:r>
          </w:p>
        </w:tc>
        <w:tc>
          <w:tcPr>
            <w:tcW w:w="233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s="宋体"/>
                <w:color w:val="000000"/>
                <w:kern w:val="0"/>
                <w:sz w:val="20"/>
                <w:szCs w:val="20"/>
              </w:rPr>
              <w:t>500～700</w:t>
            </w:r>
            <w:r>
              <w:rPr>
                <w:rFonts w:hint="eastAsia" w:eastAsia="方正仿宋_GBK" w:cs="宋体"/>
                <w:kern w:val="0"/>
                <w:sz w:val="20"/>
                <w:szCs w:val="20"/>
              </w:rPr>
              <w:t>)</w:t>
            </w:r>
          </w:p>
        </w:tc>
        <w:tc>
          <w:tcPr>
            <w:tcW w:w="2190"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kern w:val="0"/>
                <w:sz w:val="20"/>
                <w:szCs w:val="20"/>
              </w:rPr>
              <w:t>[</w:t>
            </w:r>
            <w:r>
              <w:rPr>
                <w:rFonts w:hint="eastAsia" w:eastAsia="方正仿宋_GBK" w:cs="宋体"/>
                <w:color w:val="000000"/>
                <w:kern w:val="0"/>
                <w:sz w:val="20"/>
                <w:szCs w:val="20"/>
              </w:rPr>
              <w:t>700～1000</w:t>
            </w:r>
            <w:r>
              <w:rPr>
                <w:rFonts w:hint="eastAsia" w:eastAsia="方正仿宋_GBK" w:cs="宋体"/>
                <w:kern w:val="0"/>
                <w:sz w:val="20"/>
                <w:szCs w:val="20"/>
              </w:rPr>
              <w:t>)</w:t>
            </w:r>
          </w:p>
        </w:tc>
        <w:tc>
          <w:tcPr>
            <w:tcW w:w="2182"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&lt;300，≥1000</w:t>
            </w:r>
          </w:p>
        </w:tc>
      </w:tr>
    </w:tbl>
    <w:p>
      <w:pPr>
        <w:widowControl/>
        <w:spacing w:line="240" w:lineRule="auto"/>
        <w:ind w:firstLine="0" w:firstLineChars="0"/>
        <w:jc w:val="center"/>
        <w:rPr>
          <w:b/>
          <w:sz w:val="22"/>
          <w:szCs w:val="22"/>
        </w:rPr>
        <w:sectPr>
          <w:pgSz w:w="16840" w:h="11907" w:orient="landscape"/>
          <w:pgMar w:top="1701" w:right="1418" w:bottom="1134" w:left="1134" w:header="851" w:footer="1418" w:gutter="0"/>
          <w:pgNumType w:fmt="decimal"/>
          <w:cols w:space="720" w:num="1"/>
          <w:docGrid w:linePitch="435" w:charSpace="0"/>
        </w:sectPr>
      </w:pPr>
    </w:p>
    <w:p>
      <w:pPr>
        <w:widowControl/>
        <w:spacing w:line="420" w:lineRule="exact"/>
        <w:ind w:firstLine="0" w:firstLineChars="0"/>
        <w:jc w:val="center"/>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果园因素修正系数表</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小标宋_GBK" w:hAnsi="方正小标宋_GBK" w:eastAsia="方正小标宋_GBK" w:cs="方正小标宋_GBK"/>
          <w:b w:val="0"/>
          <w:bCs/>
          <w:sz w:val="36"/>
          <w:szCs w:val="36"/>
        </w:rPr>
      </w:pPr>
    </w:p>
    <w:tbl>
      <w:tblPr>
        <w:tblStyle w:val="15"/>
        <w:tblW w:w="145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1485"/>
        <w:gridCol w:w="652"/>
        <w:gridCol w:w="622"/>
        <w:gridCol w:w="571"/>
        <w:gridCol w:w="636"/>
        <w:gridCol w:w="709"/>
        <w:gridCol w:w="621"/>
        <w:gridCol w:w="636"/>
        <w:gridCol w:w="571"/>
        <w:gridCol w:w="636"/>
        <w:gridCol w:w="681"/>
        <w:gridCol w:w="621"/>
        <w:gridCol w:w="636"/>
        <w:gridCol w:w="571"/>
        <w:gridCol w:w="636"/>
        <w:gridCol w:w="681"/>
        <w:gridCol w:w="621"/>
        <w:gridCol w:w="636"/>
        <w:gridCol w:w="571"/>
        <w:gridCol w:w="636"/>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区位因素</w:t>
            </w:r>
          </w:p>
        </w:tc>
        <w:tc>
          <w:tcPr>
            <w:tcW w:w="1485"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因素体系</w:t>
            </w:r>
          </w:p>
        </w:tc>
        <w:tc>
          <w:tcPr>
            <w:tcW w:w="12667" w:type="dxa"/>
            <w:gridSpan w:val="20"/>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p>
        </w:tc>
        <w:tc>
          <w:tcPr>
            <w:tcW w:w="3190" w:type="dxa"/>
            <w:gridSpan w:val="5"/>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1级地</w:t>
            </w:r>
          </w:p>
        </w:tc>
        <w:tc>
          <w:tcPr>
            <w:tcW w:w="3145" w:type="dxa"/>
            <w:gridSpan w:val="5"/>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2级地</w:t>
            </w:r>
          </w:p>
        </w:tc>
        <w:tc>
          <w:tcPr>
            <w:tcW w:w="3145" w:type="dxa"/>
            <w:gridSpan w:val="5"/>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3级地</w:t>
            </w:r>
          </w:p>
        </w:tc>
        <w:tc>
          <w:tcPr>
            <w:tcW w:w="3187" w:type="dxa"/>
            <w:gridSpan w:val="5"/>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4级地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p>
        </w:tc>
        <w:tc>
          <w:tcPr>
            <w:tcW w:w="65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优</w:t>
            </w:r>
          </w:p>
        </w:tc>
        <w:tc>
          <w:tcPr>
            <w:tcW w:w="6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较优</w:t>
            </w:r>
          </w:p>
        </w:tc>
        <w:tc>
          <w:tcPr>
            <w:tcW w:w="57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一般</w:t>
            </w:r>
          </w:p>
        </w:tc>
        <w:tc>
          <w:tcPr>
            <w:tcW w:w="6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较劣</w:t>
            </w:r>
          </w:p>
        </w:tc>
        <w:tc>
          <w:tcPr>
            <w:tcW w:w="70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劣</w:t>
            </w:r>
          </w:p>
        </w:tc>
        <w:tc>
          <w:tcPr>
            <w:tcW w:w="6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优</w:t>
            </w:r>
          </w:p>
        </w:tc>
        <w:tc>
          <w:tcPr>
            <w:tcW w:w="6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较优</w:t>
            </w:r>
          </w:p>
        </w:tc>
        <w:tc>
          <w:tcPr>
            <w:tcW w:w="57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一般</w:t>
            </w:r>
          </w:p>
        </w:tc>
        <w:tc>
          <w:tcPr>
            <w:tcW w:w="6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较劣</w:t>
            </w:r>
          </w:p>
        </w:tc>
        <w:tc>
          <w:tcPr>
            <w:tcW w:w="6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劣</w:t>
            </w:r>
          </w:p>
        </w:tc>
        <w:tc>
          <w:tcPr>
            <w:tcW w:w="6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优</w:t>
            </w:r>
          </w:p>
        </w:tc>
        <w:tc>
          <w:tcPr>
            <w:tcW w:w="6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较优</w:t>
            </w:r>
          </w:p>
        </w:tc>
        <w:tc>
          <w:tcPr>
            <w:tcW w:w="57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一般</w:t>
            </w:r>
          </w:p>
        </w:tc>
        <w:tc>
          <w:tcPr>
            <w:tcW w:w="6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较劣</w:t>
            </w:r>
          </w:p>
        </w:tc>
        <w:tc>
          <w:tcPr>
            <w:tcW w:w="6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劣</w:t>
            </w:r>
          </w:p>
        </w:tc>
        <w:tc>
          <w:tcPr>
            <w:tcW w:w="62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优</w:t>
            </w:r>
          </w:p>
        </w:tc>
        <w:tc>
          <w:tcPr>
            <w:tcW w:w="6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较优</w:t>
            </w:r>
          </w:p>
        </w:tc>
        <w:tc>
          <w:tcPr>
            <w:tcW w:w="57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一般</w:t>
            </w:r>
          </w:p>
        </w:tc>
        <w:tc>
          <w:tcPr>
            <w:tcW w:w="63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方正黑体_GBK" w:cs="Times New Roman"/>
                <w:kern w:val="0"/>
                <w:sz w:val="21"/>
                <w:szCs w:val="21"/>
              </w:rPr>
            </w:pPr>
            <w:r>
              <w:rPr>
                <w:rFonts w:hint="default" w:ascii="Times New Roman" w:hAnsi="Times New Roman" w:eastAsia="方正黑体_GBK" w:cs="Times New Roman"/>
                <w:kern w:val="0"/>
                <w:sz w:val="21"/>
                <w:szCs w:val="21"/>
              </w:rPr>
              <w:t>较劣</w:t>
            </w:r>
          </w:p>
        </w:tc>
        <w:tc>
          <w:tcPr>
            <w:tcW w:w="72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spacing w:val="-17"/>
                <w:kern w:val="0"/>
                <w:sz w:val="21"/>
                <w:szCs w:val="21"/>
              </w:rPr>
            </w:pPr>
            <w:r>
              <w:rPr>
                <w:rFonts w:hint="eastAsia" w:ascii="方正黑体_GBK" w:hAnsi="方正黑体_GBK" w:eastAsia="方正黑体_GBK" w:cs="方正黑体_GBK"/>
                <w:spacing w:val="-17"/>
                <w:kern w:val="0"/>
                <w:sz w:val="21"/>
                <w:szCs w:val="21"/>
              </w:rPr>
              <w:t>中心城市影响度</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1.21</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-0.99</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1.23</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-0.42</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-0.84</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1.07</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0.54</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-0.42</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-0.83</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0.88</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0.44</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-0.46</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spacing w:val="-17"/>
                <w:kern w:val="0"/>
                <w:sz w:val="21"/>
                <w:szCs w:val="21"/>
              </w:rPr>
            </w:pPr>
            <w:r>
              <w:rPr>
                <w:rFonts w:hint="eastAsia" w:ascii="方正黑体_GBK" w:hAnsi="方正黑体_GBK" w:eastAsia="方正黑体_GBK" w:cs="方正黑体_GBK"/>
                <w:spacing w:val="-17"/>
                <w:kern w:val="0"/>
                <w:sz w:val="21"/>
                <w:szCs w:val="21"/>
              </w:rPr>
              <w:t>对外交通便利度</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-0.44</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-0.87</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道路通达度</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-0.44</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-0.87</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spacing w:val="-17"/>
                <w:kern w:val="0"/>
                <w:sz w:val="21"/>
                <w:szCs w:val="21"/>
              </w:rPr>
              <w:t>农贸市场影响</w:t>
            </w:r>
            <w:r>
              <w:rPr>
                <w:rFonts w:hint="eastAsia" w:ascii="方正黑体_GBK" w:hAnsi="方正黑体_GBK" w:eastAsia="方正黑体_GBK" w:cs="方正黑体_GBK"/>
                <w:kern w:val="0"/>
                <w:sz w:val="21"/>
                <w:szCs w:val="21"/>
              </w:rPr>
              <w:t>度</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-0.44</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-0.87</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社会经济因素</w:t>
            </w: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水源保证率</w:t>
            </w:r>
          </w:p>
        </w:tc>
        <w:tc>
          <w:tcPr>
            <w:tcW w:w="127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45"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-0.87</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9"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林网化程度</w:t>
            </w:r>
          </w:p>
        </w:tc>
        <w:tc>
          <w:tcPr>
            <w:tcW w:w="127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45"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-0.26</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-0.22</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0.26</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-0.21</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9"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连片程度</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0.83</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-0.71</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0.84</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-0.31</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-0.61</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0.65</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-0.33</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产品认证</w:t>
            </w:r>
          </w:p>
        </w:tc>
        <w:tc>
          <w:tcPr>
            <w:tcW w:w="127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45"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-0.26</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-0.22</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0.26</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-0.21</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9"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劳作距离</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0.83</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-0.71</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0.84</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-0.31</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-0.61</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0.65</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-0.33</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田间路网</w:t>
            </w:r>
          </w:p>
        </w:tc>
        <w:tc>
          <w:tcPr>
            <w:tcW w:w="127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45"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-0.77</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-0.65</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-0.64</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9"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352"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自然因素</w:t>
            </w: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有效土层厚度</w:t>
            </w:r>
          </w:p>
        </w:tc>
        <w:tc>
          <w:tcPr>
            <w:tcW w:w="127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45"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-0.87</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9"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土壤pH值</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-0.44</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-0.87</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spacing w:val="-17"/>
                <w:kern w:val="0"/>
                <w:sz w:val="21"/>
                <w:szCs w:val="21"/>
              </w:rPr>
              <w:t>土壤有机质含量</w:t>
            </w:r>
          </w:p>
        </w:tc>
        <w:tc>
          <w:tcPr>
            <w:tcW w:w="127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45"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-0.87</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1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1257"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9"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土壤质地</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-0.44</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-0.87</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坡度</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0.83</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-0.71</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0.84</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0.42</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-0.31</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-0.61</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0.65</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-0.33</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352"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p>
        </w:tc>
        <w:tc>
          <w:tcPr>
            <w:tcW w:w="148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坡向</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-0.44</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-0.87</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0.51</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837" w:type="dxa"/>
            <w:gridSpan w:val="2"/>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kern w:val="0"/>
                <w:sz w:val="21"/>
                <w:szCs w:val="21"/>
              </w:rPr>
            </w:pPr>
            <w:r>
              <w:rPr>
                <w:rFonts w:hint="eastAsia" w:ascii="方正黑体_GBK" w:hAnsi="方正黑体_GBK" w:eastAsia="方正黑体_GBK" w:cs="方正黑体_GBK"/>
                <w:kern w:val="0"/>
                <w:sz w:val="21"/>
                <w:szCs w:val="21"/>
              </w:rPr>
              <w:t>合计</w:t>
            </w:r>
          </w:p>
        </w:tc>
        <w:tc>
          <w:tcPr>
            <w:tcW w:w="65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14.19</w:t>
            </w:r>
          </w:p>
        </w:tc>
        <w:tc>
          <w:tcPr>
            <w:tcW w:w="62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9.36</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-8.12</w:t>
            </w:r>
          </w:p>
        </w:tc>
        <w:tc>
          <w:tcPr>
            <w:tcW w:w="70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w:t>
            </w:r>
            <w:r>
              <w:rPr>
                <w:rFonts w:hint="eastAsia" w:asciiTheme="majorEastAsia" w:hAnsiTheme="majorEastAsia" w:eastAsiaTheme="majorEastAsia" w:cstheme="majorEastAsia"/>
                <w:spacing w:val="-11"/>
                <w:kern w:val="0"/>
                <w:sz w:val="18"/>
                <w:szCs w:val="18"/>
              </w:rPr>
              <w:t>12.24</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14.43</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9.5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-6.88</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spacing w:val="-11"/>
                <w:kern w:val="0"/>
                <w:sz w:val="18"/>
                <w:szCs w:val="18"/>
              </w:rPr>
              <w:t>-10.42</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12.61</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8.33</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-6.79</w:t>
            </w:r>
          </w:p>
        </w:tc>
        <w:tc>
          <w:tcPr>
            <w:tcW w:w="6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w:t>
            </w:r>
            <w:r>
              <w:rPr>
                <w:rFonts w:hint="eastAsia" w:asciiTheme="majorEastAsia" w:hAnsiTheme="majorEastAsia" w:eastAsiaTheme="majorEastAsia" w:cstheme="majorEastAsia"/>
                <w:spacing w:val="-11"/>
                <w:kern w:val="0"/>
                <w:sz w:val="18"/>
                <w:szCs w:val="18"/>
              </w:rPr>
              <w:t>10.26</w:t>
            </w:r>
          </w:p>
        </w:tc>
        <w:tc>
          <w:tcPr>
            <w:tcW w:w="62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11.09</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7.35</w:t>
            </w:r>
          </w:p>
        </w:tc>
        <w:tc>
          <w:tcPr>
            <w:tcW w:w="5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6"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-7.44</w:t>
            </w:r>
          </w:p>
        </w:tc>
        <w:tc>
          <w:tcPr>
            <w:tcW w:w="7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-11.29</w:t>
            </w:r>
          </w:p>
        </w:tc>
      </w:tr>
    </w:tbl>
    <w:p>
      <w:pPr>
        <w:widowControl/>
        <w:spacing w:line="240" w:lineRule="auto"/>
        <w:ind w:firstLine="0" w:firstLineChars="0"/>
        <w:jc w:val="center"/>
        <w:rPr>
          <w:b/>
          <w:sz w:val="22"/>
          <w:szCs w:val="22"/>
        </w:rPr>
        <w:sectPr>
          <w:pgSz w:w="16840" w:h="11907" w:orient="landscape"/>
          <w:pgMar w:top="1304" w:right="1418" w:bottom="1020" w:left="1020" w:header="851" w:footer="1417" w:gutter="0"/>
          <w:pgNumType w:fmt="decimal"/>
          <w:cols w:space="0" w:num="1"/>
          <w:rtlGutter w:val="0"/>
          <w:docGrid w:linePitch="435" w:charSpace="0"/>
        </w:sectPr>
      </w:pPr>
    </w:p>
    <w:p>
      <w:pPr>
        <w:widowControl/>
        <w:spacing w:line="240" w:lineRule="auto"/>
        <w:ind w:firstLine="0" w:firstLineChars="0"/>
        <w:jc w:val="center"/>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其他园地修正系数表</w:t>
      </w:r>
    </w:p>
    <w:tbl>
      <w:tblPr>
        <w:tblStyle w:val="15"/>
        <w:tblW w:w="147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374"/>
        <w:gridCol w:w="624"/>
        <w:gridCol w:w="580"/>
        <w:gridCol w:w="580"/>
        <w:gridCol w:w="633"/>
        <w:gridCol w:w="722"/>
        <w:gridCol w:w="633"/>
        <w:gridCol w:w="698"/>
        <w:gridCol w:w="624"/>
        <w:gridCol w:w="635"/>
        <w:gridCol w:w="734"/>
        <w:gridCol w:w="624"/>
        <w:gridCol w:w="580"/>
        <w:gridCol w:w="580"/>
        <w:gridCol w:w="633"/>
        <w:gridCol w:w="633"/>
        <w:gridCol w:w="624"/>
        <w:gridCol w:w="580"/>
        <w:gridCol w:w="580"/>
        <w:gridCol w:w="633"/>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区位因素</w:t>
            </w:r>
          </w:p>
        </w:tc>
        <w:tc>
          <w:tcPr>
            <w:tcW w:w="1374"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因素体系</w:t>
            </w:r>
          </w:p>
        </w:tc>
        <w:tc>
          <w:tcPr>
            <w:tcW w:w="12652" w:type="dxa"/>
            <w:gridSpan w:val="20"/>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3139"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default" w:ascii="Times New Roman" w:hAnsi="Times New Roman" w:eastAsia="方正黑体_GBK" w:cs="Times New Roman"/>
                <w:kern w:val="0"/>
                <w:sz w:val="18"/>
                <w:szCs w:val="18"/>
              </w:rPr>
              <w:t>1</w:t>
            </w:r>
            <w:r>
              <w:rPr>
                <w:rFonts w:hint="eastAsia" w:ascii="方正黑体_GBK" w:hAnsi="方正黑体_GBK" w:eastAsia="方正黑体_GBK" w:cs="方正黑体_GBK"/>
                <w:kern w:val="0"/>
                <w:sz w:val="18"/>
                <w:szCs w:val="18"/>
              </w:rPr>
              <w:t>级地</w:t>
            </w:r>
          </w:p>
        </w:tc>
        <w:tc>
          <w:tcPr>
            <w:tcW w:w="3324"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default" w:ascii="Times New Roman" w:hAnsi="Times New Roman" w:eastAsia="方正黑体_GBK" w:cs="Times New Roman"/>
                <w:kern w:val="0"/>
                <w:sz w:val="18"/>
                <w:szCs w:val="18"/>
              </w:rPr>
              <w:t>2</w:t>
            </w:r>
            <w:r>
              <w:rPr>
                <w:rFonts w:hint="eastAsia" w:ascii="方正黑体_GBK" w:hAnsi="方正黑体_GBK" w:eastAsia="方正黑体_GBK" w:cs="方正黑体_GBK"/>
                <w:kern w:val="0"/>
                <w:sz w:val="18"/>
                <w:szCs w:val="18"/>
              </w:rPr>
              <w:t>级地</w:t>
            </w:r>
          </w:p>
        </w:tc>
        <w:tc>
          <w:tcPr>
            <w:tcW w:w="3050"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default" w:ascii="Times New Roman" w:hAnsi="Times New Roman" w:eastAsia="方正黑体_GBK" w:cs="Times New Roman"/>
                <w:kern w:val="0"/>
                <w:sz w:val="18"/>
                <w:szCs w:val="18"/>
              </w:rPr>
              <w:t>3</w:t>
            </w:r>
            <w:r>
              <w:rPr>
                <w:rFonts w:hint="eastAsia" w:ascii="方正黑体_GBK" w:hAnsi="方正黑体_GBK" w:eastAsia="方正黑体_GBK" w:cs="方正黑体_GBK"/>
                <w:kern w:val="0"/>
                <w:sz w:val="18"/>
                <w:szCs w:val="18"/>
              </w:rPr>
              <w:t>级地</w:t>
            </w:r>
          </w:p>
        </w:tc>
        <w:tc>
          <w:tcPr>
            <w:tcW w:w="3139" w:type="dxa"/>
            <w:gridSpan w:val="5"/>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default" w:ascii="Times New Roman" w:hAnsi="Times New Roman" w:eastAsia="方正黑体_GBK" w:cs="Times New Roman"/>
                <w:kern w:val="0"/>
                <w:sz w:val="18"/>
                <w:szCs w:val="18"/>
              </w:rPr>
              <w:t>4</w:t>
            </w:r>
            <w:r>
              <w:rPr>
                <w:rFonts w:hint="eastAsia" w:ascii="方正黑体_GBK" w:hAnsi="方正黑体_GBK" w:eastAsia="方正黑体_GBK" w:cs="方正黑体_GBK"/>
                <w:kern w:val="0"/>
                <w:sz w:val="18"/>
                <w:szCs w:val="18"/>
              </w:rPr>
              <w:t>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优</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较优</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一般</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较劣</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劣</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优</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较优</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一般</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较劣</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劣</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优</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较优</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一般</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较劣</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劣</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优</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较优</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一般</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较劣</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spacing w:val="-17"/>
                <w:kern w:val="0"/>
                <w:sz w:val="18"/>
                <w:szCs w:val="18"/>
              </w:rPr>
            </w:pPr>
            <w:r>
              <w:rPr>
                <w:rFonts w:hint="eastAsia" w:ascii="方正黑体_GBK" w:hAnsi="方正黑体_GBK" w:eastAsia="方正黑体_GBK" w:cs="方正黑体_GBK"/>
                <w:spacing w:val="-17"/>
                <w:kern w:val="0"/>
                <w:sz w:val="18"/>
                <w:szCs w:val="18"/>
              </w:rPr>
              <w:t>中心城市影响度</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-0.88</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-1.76</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1.6</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-0.73</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-1.46</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1.38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0.69</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-0.65</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-1.29</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1.25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-0.66</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spacing w:val="-17"/>
                <w:kern w:val="0"/>
                <w:sz w:val="18"/>
                <w:szCs w:val="18"/>
              </w:rPr>
            </w:pPr>
            <w:r>
              <w:rPr>
                <w:rFonts w:hint="eastAsia" w:ascii="方正黑体_GBK" w:hAnsi="方正黑体_GBK" w:eastAsia="方正黑体_GBK" w:cs="方正黑体_GBK"/>
                <w:spacing w:val="-17"/>
                <w:kern w:val="0"/>
                <w:sz w:val="18"/>
                <w:szCs w:val="18"/>
              </w:rPr>
              <w:t>对外交通便利度</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0.44</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-0.99</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-0.71</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0.34</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道路通达度</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-0.9</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-1.8</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1.61</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0.81</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-1.43</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1.34</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0.67</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-0.65</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-1.29</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1.23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-0.67</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社会经济因素</w:t>
            </w: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水源保证率</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-0.99</w:t>
            </w:r>
          </w:p>
        </w:tc>
        <w:tc>
          <w:tcPr>
            <w:tcW w:w="133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6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266"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-0.71</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林网化程度</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-0.62</w:t>
            </w:r>
          </w:p>
        </w:tc>
        <w:tc>
          <w:tcPr>
            <w:tcW w:w="133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0.56</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6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-0.49</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266"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连片程度</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-0.41</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-0.81</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-0.32</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-0.64</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-0.29</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-0.58</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产品认证</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-0.62</w:t>
            </w:r>
          </w:p>
        </w:tc>
        <w:tc>
          <w:tcPr>
            <w:tcW w:w="133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0.56</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6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-0.49</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266"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劳作距离</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-0.41</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-0.81</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-0.32</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-0.64</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-0.29</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-0.58</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田间路网</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-0.41</w:t>
            </w:r>
          </w:p>
        </w:tc>
        <w:tc>
          <w:tcPr>
            <w:tcW w:w="133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6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-0.64</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266"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-0.58</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33" w:type="dxa"/>
            <w:vMerge w:val="restar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自然因素</w:t>
            </w: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有效土层厚度</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-0.81</w:t>
            </w:r>
          </w:p>
        </w:tc>
        <w:tc>
          <w:tcPr>
            <w:tcW w:w="133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6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-0.64</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266"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-0.58</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土壤pH值</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-0.41</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-0.81</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-0.32</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-0.64</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-0.29</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-0.58</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spacing w:val="-17"/>
                <w:kern w:val="0"/>
                <w:sz w:val="18"/>
                <w:szCs w:val="18"/>
              </w:rPr>
              <w:t>土壤有机质含量</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-0.81</w:t>
            </w:r>
          </w:p>
        </w:tc>
        <w:tc>
          <w:tcPr>
            <w:tcW w:w="1331"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69"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-0.64</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266"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-0.58</w:t>
            </w:r>
          </w:p>
        </w:tc>
        <w:tc>
          <w:tcPr>
            <w:tcW w:w="1204"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1355"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土壤质地</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0.44</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-0.99</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0.89</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-0.79</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-0.71</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0.34</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-0.37</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坡度</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-0.31</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-0.62</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0.56</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0.28</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-0.25</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-0.49</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-0.23</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-0.45</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-0.23</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坡向</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-0.41</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-0.81</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-0.32</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-0.64</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-0.29</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-0.58</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733" w:type="dxa"/>
            <w:vMerge w:val="continue"/>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p>
        </w:tc>
        <w:tc>
          <w:tcPr>
            <w:tcW w:w="137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海拔</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-0.41</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-0.81</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0.72</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0.36</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-0.32</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-0.64</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-0.29</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-0.58</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0.55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0.28</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-0.3</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2107" w:type="dxa"/>
            <w:gridSpan w:val="2"/>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黑体_GBK" w:hAnsi="方正黑体_GBK" w:eastAsia="方正黑体_GBK" w:cs="方正黑体_GBK"/>
                <w:kern w:val="0"/>
                <w:sz w:val="18"/>
                <w:szCs w:val="18"/>
              </w:rPr>
            </w:pPr>
            <w:r>
              <w:rPr>
                <w:rFonts w:hint="eastAsia" w:ascii="方正黑体_GBK" w:hAnsi="方正黑体_GBK" w:eastAsia="方正黑体_GBK" w:cs="方正黑体_GBK"/>
                <w:kern w:val="0"/>
                <w:sz w:val="18"/>
                <w:szCs w:val="18"/>
              </w:rPr>
              <w:t>合计</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13.25</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8.7</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-9.4</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-14.87</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13.32</w:t>
            </w:r>
          </w:p>
        </w:tc>
        <w:tc>
          <w:tcPr>
            <w:tcW w:w="6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8.76</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-7.79</w:t>
            </w:r>
          </w:p>
        </w:tc>
        <w:tc>
          <w:tcPr>
            <w:tcW w:w="73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-11.85</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11.12</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7.29</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-7.05</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-10.7</w:t>
            </w:r>
          </w:p>
        </w:tc>
        <w:tc>
          <w:tcPr>
            <w:tcW w:w="62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10.21</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6.74</w:t>
            </w:r>
          </w:p>
        </w:tc>
        <w:tc>
          <w:tcPr>
            <w:tcW w:w="58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0</w:t>
            </w:r>
          </w:p>
        </w:tc>
        <w:tc>
          <w:tcPr>
            <w:tcW w:w="63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-7.26</w:t>
            </w:r>
          </w:p>
        </w:tc>
        <w:tc>
          <w:tcPr>
            <w:tcW w:w="72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20" w:lineRule="exact"/>
              <w:ind w:firstLine="0" w:firstLineChars="0"/>
              <w:jc w:val="center"/>
              <w:textAlignment w:val="auto"/>
              <w:rPr>
                <w:rFonts w:hint="eastAsia" w:asciiTheme="majorEastAsia" w:hAnsiTheme="majorEastAsia" w:eastAsiaTheme="majorEastAsia" w:cstheme="majorEastAsia"/>
                <w:kern w:val="0"/>
                <w:sz w:val="18"/>
                <w:szCs w:val="18"/>
              </w:rPr>
            </w:pPr>
            <w:r>
              <w:rPr>
                <w:rFonts w:hint="eastAsia" w:asciiTheme="majorEastAsia" w:hAnsiTheme="majorEastAsia" w:eastAsiaTheme="majorEastAsia" w:cstheme="majorEastAsia"/>
                <w:kern w:val="0"/>
                <w:sz w:val="18"/>
                <w:szCs w:val="18"/>
              </w:rPr>
              <w:t>-11.06</w:t>
            </w:r>
          </w:p>
        </w:tc>
      </w:tr>
    </w:tbl>
    <w:p>
      <w:pPr>
        <w:keepNext w:val="0"/>
        <w:keepLines w:val="0"/>
        <w:pageBreakBefore w:val="0"/>
        <w:widowControl/>
        <w:tabs>
          <w:tab w:val="center" w:pos="60"/>
        </w:tabs>
        <w:kinsoku/>
        <w:wordWrap/>
        <w:overflowPunct/>
        <w:topLinePunct w:val="0"/>
        <w:autoSpaceDE/>
        <w:autoSpaceDN/>
        <w:bidi w:val="0"/>
        <w:adjustRightInd/>
        <w:snapToGrid/>
        <w:spacing w:line="240" w:lineRule="exact"/>
        <w:ind w:firstLine="0" w:firstLineChars="0"/>
        <w:jc w:val="both"/>
        <w:textAlignment w:val="auto"/>
        <w:rPr>
          <w:rFonts w:hint="eastAsia" w:eastAsia="方正仿宋_GBK"/>
          <w:b/>
          <w:sz w:val="22"/>
          <w:szCs w:val="22"/>
          <w:lang w:eastAsia="zh-CN"/>
        </w:rPr>
      </w:pPr>
      <w:r>
        <w:rPr>
          <w:rFonts w:hint="eastAsia"/>
          <w:b/>
          <w:sz w:val="22"/>
          <w:szCs w:val="22"/>
          <w:lang w:eastAsia="zh-CN"/>
        </w:rPr>
        <w:tab/>
      </w:r>
    </w:p>
    <w:p>
      <w:pPr>
        <w:keepNext w:val="0"/>
        <w:keepLines w:val="0"/>
        <w:pageBreakBefore w:val="0"/>
        <w:widowControl/>
        <w:tabs>
          <w:tab w:val="left" w:pos="709"/>
        </w:tabs>
        <w:kinsoku/>
        <w:wordWrap/>
        <w:overflowPunct/>
        <w:topLinePunct w:val="0"/>
        <w:autoSpaceDE/>
        <w:autoSpaceDN/>
        <w:bidi w:val="0"/>
        <w:adjustRightInd/>
        <w:snapToGrid/>
        <w:spacing w:line="240" w:lineRule="exact"/>
        <w:ind w:firstLine="0" w:firstLineChars="0"/>
        <w:jc w:val="left"/>
        <w:textAlignment w:val="auto"/>
        <w:rPr>
          <w:rFonts w:hint="eastAsia" w:ascii="方正小标宋_GBK" w:hAnsi="仿宋" w:eastAsia="方正小标宋_GBK"/>
          <w:sz w:val="32"/>
          <w:szCs w:val="32"/>
          <w:lang w:eastAsia="zh-CN"/>
        </w:rPr>
        <w:sectPr>
          <w:pgSz w:w="16840" w:h="11907" w:orient="landscape"/>
          <w:pgMar w:top="1701" w:right="1418" w:bottom="1134" w:left="1134" w:header="851" w:footer="1418" w:gutter="0"/>
          <w:pgNumType w:fmt="decimal"/>
          <w:cols w:space="720" w:num="1"/>
          <w:docGrid w:linePitch="435" w:charSpace="0"/>
        </w:sectPr>
      </w:pPr>
    </w:p>
    <w:p>
      <w:pPr>
        <w:pageBreakBefore w:val="0"/>
        <w:kinsoku/>
        <w:wordWrap/>
        <w:overflowPunct/>
        <w:topLinePunct w:val="0"/>
        <w:autoSpaceDE/>
        <w:autoSpaceDN/>
        <w:bidi w:val="0"/>
        <w:adjustRightInd/>
        <w:spacing w:line="580" w:lineRule="exact"/>
        <w:textAlignment w:val="auto"/>
        <w:rPr>
          <w:rFonts w:eastAsia="方正黑体_GBK"/>
          <w:sz w:val="32"/>
          <w:szCs w:val="32"/>
        </w:rPr>
      </w:pPr>
      <w:r>
        <w:rPr>
          <w:rFonts w:hint="eastAsia" w:ascii="方正黑体_GBK" w:hAnsi="方正黑体_GBK" w:eastAsia="方正黑体_GBK" w:cs="方正黑体_GBK"/>
          <w:sz w:val="32"/>
          <w:szCs w:val="32"/>
        </w:rPr>
        <w:t>附件</w:t>
      </w:r>
      <w:r>
        <w:rPr>
          <w:rFonts w:hint="default" w:ascii="Times New Roman" w:hAnsi="Times New Roman" w:eastAsia="方正黑体_GBK" w:cs="Times New Roman"/>
          <w:sz w:val="32"/>
          <w:szCs w:val="32"/>
        </w:rPr>
        <w:t>2</w:t>
      </w:r>
    </w:p>
    <w:p>
      <w:pPr>
        <w:pageBreakBefore w:val="0"/>
        <w:kinsoku/>
        <w:wordWrap/>
        <w:overflowPunct/>
        <w:topLinePunct w:val="0"/>
        <w:autoSpaceDE/>
        <w:autoSpaceDN/>
        <w:bidi w:val="0"/>
        <w:adjustRightInd/>
        <w:spacing w:line="580" w:lineRule="exact"/>
        <w:textAlignment w:val="auto"/>
        <w:rPr>
          <w:rFonts w:eastAsia="方正黑体_GBK"/>
          <w:sz w:val="32"/>
          <w:szCs w:val="32"/>
        </w:rPr>
      </w:pPr>
    </w:p>
    <w:p>
      <w:pPr>
        <w:pageBreakBefore w:val="0"/>
        <w:kinsoku/>
        <w:wordWrap/>
        <w:overflowPunct/>
        <w:topLinePunct w:val="0"/>
        <w:autoSpaceDE/>
        <w:autoSpaceDN/>
        <w:bidi w:val="0"/>
        <w:adjustRightInd/>
        <w:spacing w:line="58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重庆市綦江区林地定级和基准地价成果</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44"/>
          <w:szCs w:val="44"/>
          <w:lang w:val="en-US" w:eastAsia="zh-CN"/>
        </w:rPr>
      </w:pPr>
    </w:p>
    <w:p>
      <w:pPr>
        <w:pStyle w:val="2"/>
        <w:pageBreakBefore w:val="0"/>
        <w:numPr>
          <w:ilvl w:val="0"/>
          <w:numId w:val="2"/>
        </w:numPr>
        <w:kinsoku/>
        <w:wordWrap/>
        <w:overflowPunct/>
        <w:topLinePunct w:val="0"/>
        <w:autoSpaceDE/>
        <w:autoSpaceDN/>
        <w:bidi w:val="0"/>
        <w:adjustRightInd/>
        <w:spacing w:before="0" w:after="0" w:line="580" w:lineRule="exact"/>
        <w:ind w:firstLine="643"/>
        <w:textAlignment w:val="auto"/>
        <w:rPr>
          <w:rFonts w:hint="eastAsia" w:ascii="方正黑体_GBK" w:hAnsi="方正黑体_GBK" w:eastAsia="方正黑体_GBK" w:cs="方正黑体_GBK"/>
          <w:b w:val="0"/>
          <w:bCs w:val="0"/>
        </w:rPr>
      </w:pPr>
      <w:bookmarkStart w:id="9" w:name="_Toc169867014"/>
      <w:r>
        <w:rPr>
          <w:rFonts w:hint="eastAsia" w:ascii="方正黑体_GBK" w:hAnsi="方正黑体_GBK" w:eastAsia="方正黑体_GBK" w:cs="方正黑体_GBK"/>
          <w:b w:val="0"/>
          <w:bCs w:val="0"/>
        </w:rPr>
        <w:t>林地基准地价表</w:t>
      </w:r>
      <w:bookmarkEnd w:id="9"/>
    </w:p>
    <w:p>
      <w:pPr>
        <w:pageBreakBefore w:val="0"/>
        <w:widowControl/>
        <w:kinsoku/>
        <w:wordWrap/>
        <w:overflowPunct/>
        <w:topLinePunct w:val="0"/>
        <w:autoSpaceDE/>
        <w:autoSpaceDN/>
        <w:bidi w:val="0"/>
        <w:adjustRightInd/>
        <w:snapToGrid w:val="0"/>
        <w:spacing w:line="580" w:lineRule="exact"/>
        <w:ind w:firstLine="0" w:firstLineChars="0"/>
        <w:jc w:val="center"/>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kern w:val="0"/>
          <w:sz w:val="32"/>
          <w:szCs w:val="32"/>
        </w:rPr>
        <w:t>林地基准地价表</w:t>
      </w:r>
    </w:p>
    <w:tbl>
      <w:tblPr>
        <w:tblStyle w:val="15"/>
        <w:tblW w:w="92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5"/>
        <w:gridCol w:w="5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1" w:hRule="atLeast"/>
          <w:jc w:val="center"/>
        </w:trPr>
        <w:tc>
          <w:tcPr>
            <w:tcW w:w="9258" w:type="dxa"/>
            <w:gridSpan w:val="2"/>
            <w:tcBorders>
              <w:top w:val="nil"/>
              <w:left w:val="nil"/>
              <w:bottom w:val="single" w:color="auto" w:sz="4" w:space="0"/>
              <w:right w:val="nil"/>
            </w:tcBorders>
            <w:shd w:val="clear" w:color="auto" w:fill="auto"/>
            <w:vAlign w:val="center"/>
          </w:tcPr>
          <w:p>
            <w:pPr>
              <w:widowControl/>
              <w:snapToGrid w:val="0"/>
              <w:spacing w:line="240" w:lineRule="auto"/>
              <w:ind w:firstLine="0" w:firstLineChars="0"/>
              <w:jc w:val="right"/>
              <w:rPr>
                <w:rFonts w:ascii="方正仿宋_GBK" w:hAnsi="宋体" w:eastAsia="方正仿宋_GBK"/>
                <w:kern w:val="0"/>
                <w:sz w:val="24"/>
                <w:szCs w:val="24"/>
              </w:rPr>
            </w:pPr>
            <w:r>
              <w:rPr>
                <w:rFonts w:hint="eastAsia" w:ascii="方正仿宋_GBK" w:hAnsi="宋体" w:eastAsia="方正仿宋_GBK"/>
                <w:kern w:val="0"/>
                <w:sz w:val="24"/>
                <w:szCs w:val="24"/>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jc w:val="center"/>
        </w:trPr>
        <w:tc>
          <w:tcPr>
            <w:tcW w:w="3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级别</w:t>
            </w:r>
          </w:p>
        </w:tc>
        <w:tc>
          <w:tcPr>
            <w:tcW w:w="56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基准地价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7" w:hRule="atLeast"/>
          <w:jc w:val="center"/>
        </w:trPr>
        <w:tc>
          <w:tcPr>
            <w:tcW w:w="3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w:t>
            </w:r>
          </w:p>
        </w:tc>
        <w:tc>
          <w:tcPr>
            <w:tcW w:w="56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17980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3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2</w:t>
            </w:r>
          </w:p>
        </w:tc>
        <w:tc>
          <w:tcPr>
            <w:tcW w:w="56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14150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3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3</w:t>
            </w:r>
          </w:p>
        </w:tc>
        <w:tc>
          <w:tcPr>
            <w:tcW w:w="56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11310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3" w:hRule="atLeast"/>
          <w:jc w:val="center"/>
        </w:trPr>
        <w:tc>
          <w:tcPr>
            <w:tcW w:w="36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4</w:t>
            </w:r>
          </w:p>
        </w:tc>
        <w:tc>
          <w:tcPr>
            <w:tcW w:w="56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9130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2" w:hRule="atLeast"/>
          <w:jc w:val="center"/>
        </w:trPr>
        <w:tc>
          <w:tcPr>
            <w:tcW w:w="92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440"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1</w:t>
            </w:r>
            <w:r>
              <w:rPr>
                <w:rFonts w:hint="eastAsia"/>
                <w:b w:val="0"/>
              </w:rPr>
              <w:t>．</w:t>
            </w:r>
            <w:r>
              <w:rPr>
                <w:rFonts w:hint="default" w:ascii="Times New Roman" w:hAnsi="Times New Roman" w:eastAsia="方正仿宋_GBK" w:cs="Times New Roman"/>
                <w:kern w:val="0"/>
                <w:sz w:val="32"/>
                <w:szCs w:val="32"/>
              </w:rPr>
              <w:t>实体类型：林地及其地上附着物和定着物的价值</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440"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2</w:t>
            </w:r>
            <w:r>
              <w:rPr>
                <w:rFonts w:hint="eastAsia"/>
                <w:b w:val="0"/>
              </w:rPr>
              <w:t>．</w:t>
            </w:r>
            <w:r>
              <w:rPr>
                <w:rFonts w:hint="default" w:ascii="Times New Roman" w:hAnsi="Times New Roman" w:eastAsia="方正仿宋_GBK" w:cs="Times New Roman"/>
                <w:kern w:val="0"/>
                <w:sz w:val="32"/>
                <w:szCs w:val="32"/>
              </w:rPr>
              <w:t>土地权利：承包经营权</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440"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3</w:t>
            </w:r>
            <w:r>
              <w:rPr>
                <w:rFonts w:hint="eastAsia"/>
                <w:b w:val="0"/>
              </w:rPr>
              <w:t>．</w:t>
            </w:r>
            <w:r>
              <w:rPr>
                <w:rFonts w:hint="default" w:ascii="Times New Roman" w:hAnsi="Times New Roman" w:eastAsia="方正仿宋_GBK" w:cs="Times New Roman"/>
                <w:kern w:val="0"/>
                <w:sz w:val="32"/>
                <w:szCs w:val="32"/>
              </w:rPr>
              <w:t>土地权利年期：70年</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440" w:lineRule="exact"/>
              <w:ind w:firstLine="0" w:firstLineChars="0"/>
              <w:jc w:val="left"/>
              <w:textAlignment w:val="auto"/>
              <w:rPr>
                <w:rFonts w:hint="eastAsia" w:ascii="方正仿宋_GBK" w:hAnsi="方正仿宋_GBK" w:eastAsia="方正仿宋_GBK" w:cs="方正仿宋_GBK"/>
                <w:kern w:val="0"/>
                <w:sz w:val="32"/>
                <w:szCs w:val="32"/>
              </w:rPr>
            </w:pPr>
            <w:r>
              <w:rPr>
                <w:rFonts w:hint="default" w:ascii="Times New Roman" w:hAnsi="Times New Roman" w:eastAsia="方正仿宋_GBK" w:cs="Times New Roman"/>
                <w:kern w:val="0"/>
                <w:sz w:val="32"/>
                <w:szCs w:val="32"/>
              </w:rPr>
              <w:t>4</w:t>
            </w:r>
            <w:r>
              <w:rPr>
                <w:rFonts w:hint="eastAsia"/>
                <w:b w:val="0"/>
              </w:rPr>
              <w:t>．</w:t>
            </w:r>
            <w:r>
              <w:rPr>
                <w:rFonts w:hint="default" w:ascii="Times New Roman" w:hAnsi="Times New Roman" w:eastAsia="方正仿宋_GBK" w:cs="Times New Roman"/>
                <w:kern w:val="0"/>
                <w:sz w:val="32"/>
                <w:szCs w:val="32"/>
              </w:rPr>
              <w:t>利用类型：林地</w:t>
            </w:r>
            <w:r>
              <w:rPr>
                <w:rFonts w:hint="eastAsia" w:ascii="方正仿宋_GBK" w:hAnsi="方正仿宋_GBK" w:eastAsia="方正仿宋_GBK" w:cs="方正仿宋_GBK"/>
                <w:kern w:val="0"/>
                <w:sz w:val="32"/>
                <w:szCs w:val="32"/>
              </w:rPr>
              <w:t>类型为乔木林地，林种为“高大乔木或珍贵树种”，初始龄组为“成熟林”。</w:t>
            </w:r>
          </w:p>
          <w:p>
            <w:pPr>
              <w:keepNext w:val="0"/>
              <w:keepLines w:val="0"/>
              <w:pageBreakBefore w:val="0"/>
              <w:widowControl/>
              <w:kinsoku/>
              <w:wordWrap/>
              <w:overflowPunct/>
              <w:topLinePunct w:val="0"/>
              <w:autoSpaceDE/>
              <w:autoSpaceDN/>
              <w:bidi w:val="0"/>
              <w:adjustRightInd/>
              <w:snapToGrid w:val="0"/>
              <w:spacing w:line="440" w:lineRule="exact"/>
              <w:ind w:firstLine="0" w:firstLineChars="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5</w:t>
            </w:r>
            <w:r>
              <w:rPr>
                <w:rFonts w:hint="eastAsia"/>
                <w:b w:val="0"/>
              </w:rPr>
              <w:t>．</w:t>
            </w:r>
            <w:r>
              <w:rPr>
                <w:rFonts w:hint="default" w:ascii="Times New Roman" w:hAnsi="Times New Roman" w:eastAsia="方正仿宋_GBK" w:cs="Times New Roman"/>
                <w:kern w:val="0"/>
                <w:sz w:val="32"/>
                <w:szCs w:val="32"/>
              </w:rPr>
              <w:t>基本设施状况：按照所在区域具有普遍性、适宜性的种植制度下，宗地外道路通达。</w:t>
            </w:r>
          </w:p>
          <w:p>
            <w:pPr>
              <w:keepNext w:val="0"/>
              <w:keepLines w:val="0"/>
              <w:pageBreakBefore w:val="0"/>
              <w:widowControl/>
              <w:kinsoku/>
              <w:wordWrap/>
              <w:overflowPunct/>
              <w:topLinePunct w:val="0"/>
              <w:autoSpaceDE/>
              <w:autoSpaceDN/>
              <w:bidi w:val="0"/>
              <w:adjustRightInd/>
              <w:snapToGrid w:val="0"/>
              <w:spacing w:line="440" w:lineRule="exact"/>
              <w:ind w:firstLine="0" w:firstLineChars="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6</w:t>
            </w:r>
            <w:r>
              <w:rPr>
                <w:rFonts w:hint="eastAsia"/>
                <w:b w:val="0"/>
              </w:rPr>
              <w:t>．</w:t>
            </w:r>
            <w:r>
              <w:rPr>
                <w:rFonts w:hint="default" w:ascii="Times New Roman" w:hAnsi="Times New Roman" w:eastAsia="方正仿宋_GBK" w:cs="Times New Roman"/>
                <w:kern w:val="0"/>
                <w:sz w:val="32"/>
                <w:szCs w:val="32"/>
              </w:rPr>
              <w:t>估价期日：2023年1月1日。</w:t>
            </w:r>
          </w:p>
        </w:tc>
      </w:tr>
    </w:tbl>
    <w:p>
      <w:pPr>
        <w:spacing w:line="240" w:lineRule="auto"/>
        <w:ind w:firstLine="0" w:firstLineChars="0"/>
        <w:rPr>
          <w:rFonts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方正黑体_GBK" w:hAnsi="方正黑体_GBK" w:eastAsia="方正黑体_GBK" w:cs="方正黑体_GBK"/>
        </w:rPr>
      </w:pPr>
      <w:r>
        <w:rPr>
          <w:rFonts w:eastAsia="方正仿宋_GBK"/>
          <w:sz w:val="32"/>
          <w:szCs w:val="32"/>
        </w:rPr>
        <w:br w:type="page"/>
      </w:r>
      <w:bookmarkStart w:id="10" w:name="_Toc169867015"/>
      <w:r>
        <w:rPr>
          <w:rFonts w:hint="eastAsia" w:ascii="方正黑体_GBK" w:hAnsi="方正黑体_GBK" w:eastAsia="方正黑体_GBK" w:cs="方正黑体_GBK"/>
          <w:sz w:val="32"/>
          <w:szCs w:val="32"/>
          <w:lang w:eastAsia="zh-CN"/>
        </w:rPr>
        <w:t>二、</w:t>
      </w:r>
      <w:r>
        <w:rPr>
          <w:rFonts w:hint="eastAsia" w:ascii="方正黑体_GBK" w:hAnsi="方正黑体_GBK" w:eastAsia="方正黑体_GBK" w:cs="方正黑体_GBK"/>
          <w:b w:val="0"/>
          <w:bCs w:val="0"/>
        </w:rPr>
        <w:t>林地级别和基准地价图</w:t>
      </w:r>
      <w:bookmarkEnd w:id="10"/>
      <w:r>
        <w:rPr>
          <w:rFonts w:hint="eastAsia" w:ascii="方正黑体_GBK" w:hAnsi="方正黑体_GBK" w:eastAsia="方正黑体_GBK" w:cs="方正黑体_GBK"/>
        </w:rPr>
        <w:t xml:space="preserve"> </w:t>
      </w:r>
    </w:p>
    <w:p>
      <w:pPr>
        <w:pageBreakBefore w:val="0"/>
        <w:widowControl w:val="0"/>
        <w:numPr>
          <w:ilvl w:val="0"/>
          <w:numId w:val="0"/>
        </w:numPr>
        <w:kinsoku/>
        <w:wordWrap/>
        <w:overflowPunct/>
        <w:topLinePunct w:val="0"/>
        <w:autoSpaceDE/>
        <w:autoSpaceDN/>
        <w:bidi w:val="0"/>
        <w:adjustRightInd/>
        <w:snapToGrid/>
        <w:spacing w:line="580" w:lineRule="exact"/>
        <w:ind w:left="0" w:leftChars="0"/>
        <w:jc w:val="center"/>
        <w:textAlignment w:val="auto"/>
        <w:rPr>
          <w:rFonts w:hint="eastAsia" w:eastAsia="宋体"/>
          <w:lang w:eastAsia="zh-CN"/>
        </w:rPr>
      </w:pPr>
      <w:r>
        <w:rPr>
          <w:rFonts w:hint="eastAsia" w:ascii="方正黑体_GBK" w:hAnsi="方正黑体_GBK" w:eastAsia="方正黑体_GBK" w:cs="方正黑体_GBK"/>
          <w:sz w:val="32"/>
          <w:szCs w:val="32"/>
          <w:lang w:eastAsia="zh-CN"/>
        </w:rPr>
        <w:t>綦江区林地土地级别和基准地价图</w:t>
      </w:r>
    </w:p>
    <w:p>
      <w:pPr>
        <w:spacing w:line="240" w:lineRule="auto"/>
        <w:ind w:firstLine="561" w:firstLineChars="0"/>
        <w:rPr>
          <w:rFonts w:eastAsia="方正仿宋_GBK"/>
          <w:sz w:val="32"/>
          <w:szCs w:val="20"/>
        </w:rPr>
      </w:pPr>
      <w:r>
        <w:drawing>
          <wp:inline distT="0" distB="0" distL="114300" distR="114300">
            <wp:extent cx="5432425" cy="7400925"/>
            <wp:effectExtent l="0" t="0" r="158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432425" cy="7400925"/>
                    </a:xfrm>
                    <a:prstGeom prst="rect">
                      <a:avLst/>
                    </a:prstGeom>
                    <a:noFill/>
                    <a:ln>
                      <a:noFill/>
                    </a:ln>
                  </pic:spPr>
                </pic:pic>
              </a:graphicData>
            </a:graphic>
          </wp:inline>
        </w:drawing>
      </w:r>
    </w:p>
    <w:p>
      <w:pPr>
        <w:spacing w:line="240" w:lineRule="auto"/>
        <w:ind w:firstLine="561" w:firstLineChars="0"/>
        <w:rPr>
          <w:rFonts w:eastAsia="方正仿宋_GBK"/>
          <w:sz w:val="32"/>
          <w:szCs w:val="20"/>
        </w:rPr>
      </w:pP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pPr>
      <w:r>
        <w:rPr>
          <w:rFonts w:eastAsia="方正仿宋_GBK"/>
          <w:sz w:val="32"/>
          <w:szCs w:val="20"/>
        </w:rPr>
        <w:br w:type="page"/>
      </w:r>
      <w:bookmarkStart w:id="11" w:name="_Toc169867016"/>
      <w:r>
        <w:rPr>
          <w:rFonts w:hint="eastAsia" w:ascii="方正黑体_GBK" w:hAnsi="方正黑体_GBK" w:eastAsia="方正黑体_GBK" w:cs="方正黑体_GBK"/>
          <w:b w:val="0"/>
          <w:bCs w:val="0"/>
        </w:rPr>
        <w:t>三</w:t>
      </w:r>
      <w:r>
        <w:rPr>
          <w:rFonts w:hint="eastAsia" w:ascii="方正黑体_GBK" w:hAnsi="方正黑体_GBK" w:eastAsia="方正黑体_GBK" w:cs="方正黑体_GBK"/>
          <w:b w:val="0"/>
          <w:bCs w:val="0"/>
          <w:lang w:eastAsia="zh-CN"/>
        </w:rPr>
        <w:t>、</w:t>
      </w:r>
      <w:r>
        <w:rPr>
          <w:rFonts w:hint="eastAsia" w:ascii="方正黑体_GBK" w:hAnsi="方正黑体_GBK" w:eastAsia="方正黑体_GBK" w:cs="方正黑体_GBK"/>
          <w:b w:val="0"/>
          <w:bCs w:val="0"/>
        </w:rPr>
        <w:t>林地基准地价修正体系说明</w:t>
      </w:r>
      <w:bookmarkEnd w:id="11"/>
    </w:p>
    <w:p>
      <w:pPr>
        <w:pStyle w:val="3"/>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方正楷体_GBK" w:hAnsi="方正楷体_GBK" w:eastAsia="方正楷体_GBK" w:cs="方正楷体_GBK"/>
          <w:b w:val="0"/>
          <w:bCs w:val="0"/>
          <w:lang w:eastAsia="zh-CN"/>
        </w:rPr>
      </w:pPr>
      <w:bookmarkStart w:id="12" w:name="_Toc169867017"/>
      <w:r>
        <w:rPr>
          <w:rFonts w:hint="eastAsia" w:ascii="方正楷体_GBK" w:hAnsi="方正楷体_GBK" w:eastAsia="方正楷体_GBK" w:cs="方正楷体_GBK"/>
          <w:b w:val="0"/>
          <w:bCs w:val="0"/>
          <w:lang w:eastAsia="zh-CN"/>
        </w:rPr>
        <w:t>（一）</w:t>
      </w:r>
      <w:r>
        <w:rPr>
          <w:rFonts w:hint="eastAsia" w:ascii="方正楷体_GBK" w:hAnsi="方正楷体_GBK" w:eastAsia="方正楷体_GBK" w:cs="方正楷体_GBK"/>
          <w:b w:val="0"/>
          <w:bCs w:val="0"/>
        </w:rPr>
        <w:t>适用范围</w:t>
      </w:r>
      <w:bookmarkEnd w:id="12"/>
      <w:r>
        <w:rPr>
          <w:rFonts w:hint="eastAsia" w:ascii="方正楷体_GBK" w:hAnsi="方正楷体_GBK" w:eastAsia="方正楷体_GBK" w:cs="方正楷体_GBK"/>
          <w:b w:val="0"/>
          <w:bCs w:val="0"/>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eastAsia="方正仿宋_GBK"/>
          <w:sz w:val="32"/>
          <w:szCs w:val="32"/>
          <w:lang w:eastAsia="zh-CN"/>
        </w:rPr>
      </w:pPr>
      <w:r>
        <w:rPr>
          <w:rFonts w:hint="eastAsia" w:eastAsia="方正仿宋_GBK"/>
          <w:sz w:val="32"/>
          <w:szCs w:val="32"/>
        </w:rPr>
        <w:t>本次林地涉及范围包括</w:t>
      </w:r>
      <w:r>
        <w:rPr>
          <w:rFonts w:hint="eastAsia" w:eastAsia="方正仿宋_GBK"/>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eastAsia="方正仿宋_GBK"/>
          <w:sz w:val="32"/>
          <w:szCs w:val="32"/>
        </w:rPr>
      </w:pPr>
      <w:r>
        <w:rPr>
          <w:rFonts w:hint="eastAsia" w:eastAsia="方正仿宋_GBK"/>
          <w:sz w:val="32"/>
          <w:szCs w:val="32"/>
        </w:rPr>
        <w:t>5个街道：古南街道、文龙街道、三江街道、新盛街道、通惠街道；16个镇：石角镇、东溪镇、赶水镇、打通镇、石壕镇、永新镇、三角镇、隆盛镇、郭扶镇、篆塘镇、丁山镇、安稳镇、扶欢镇、永城镇、中峰镇、横山镇</w:t>
      </w:r>
      <w:r>
        <w:rPr>
          <w:rFonts w:eastAsia="方正仿宋_GBK"/>
          <w:sz w:val="32"/>
          <w:szCs w:val="32"/>
        </w:rPr>
        <w:t>。</w:t>
      </w:r>
    </w:p>
    <w:p>
      <w:pPr>
        <w:pStyle w:val="3"/>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方正仿宋_GBK" w:eastAsia="方正楷体_GBK"/>
          <w:lang w:eastAsia="zh-CN"/>
        </w:rPr>
      </w:pPr>
      <w:bookmarkStart w:id="13" w:name="_Toc169867018"/>
      <w:r>
        <w:rPr>
          <w:rFonts w:hint="eastAsia" w:ascii="方正楷体_GBK" w:hAnsi="方正楷体_GBK" w:eastAsia="方正楷体_GBK" w:cs="方正楷体_GBK"/>
          <w:b w:val="0"/>
          <w:bCs w:val="0"/>
          <w:lang w:eastAsia="zh-CN"/>
        </w:rPr>
        <w:t>（二）</w:t>
      </w:r>
      <w:r>
        <w:rPr>
          <w:rFonts w:hint="eastAsia" w:ascii="方正楷体_GBK" w:hAnsi="方正楷体_GBK" w:eastAsia="方正楷体_GBK" w:cs="方正楷体_GBK"/>
          <w:b w:val="0"/>
          <w:bCs w:val="0"/>
        </w:rPr>
        <w:t>基准地价内涵</w:t>
      </w:r>
      <w:bookmarkEnd w:id="13"/>
      <w:r>
        <w:rPr>
          <w:rFonts w:hint="eastAsia" w:ascii="方正楷体_GBK" w:hAnsi="方正楷体_GBK" w:eastAsia="方正楷体_GBK" w:cs="方正楷体_GBK"/>
          <w:b w:val="0"/>
          <w:bCs w:val="0"/>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基准地价的内涵为林地不同级别、不同用途、设定基本设施状况下，特定权利类型、特定年限的区域平均价格。基准地价的价格表现形式为土地价格（单位：元/亩）。</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b w:val="0"/>
          <w:sz w:val="32"/>
          <w:szCs w:val="32"/>
        </w:rPr>
        <w:t>．</w:t>
      </w:r>
      <w:r>
        <w:rPr>
          <w:rFonts w:hint="default" w:ascii="Times New Roman" w:hAnsi="Times New Roman" w:eastAsia="方正仿宋_GBK" w:cs="Times New Roman"/>
          <w:sz w:val="32"/>
          <w:szCs w:val="32"/>
        </w:rPr>
        <w:t>实体类型</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林地及其地上附着物和定着物的价值。</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b w:val="0"/>
          <w:sz w:val="32"/>
          <w:szCs w:val="32"/>
        </w:rPr>
        <w:t>．</w:t>
      </w:r>
      <w:r>
        <w:rPr>
          <w:rFonts w:hint="default" w:ascii="Times New Roman" w:hAnsi="Times New Roman" w:eastAsia="方正仿宋_GBK" w:cs="Times New Roman"/>
          <w:sz w:val="32"/>
          <w:szCs w:val="32"/>
        </w:rPr>
        <w:t>土地权利</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承包经营权。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b w:val="0"/>
          <w:sz w:val="32"/>
          <w:szCs w:val="32"/>
        </w:rPr>
        <w:t>．</w:t>
      </w:r>
      <w:r>
        <w:rPr>
          <w:rFonts w:hint="default" w:ascii="Times New Roman" w:hAnsi="Times New Roman" w:eastAsia="方正仿宋_GBK" w:cs="Times New Roman"/>
          <w:sz w:val="32"/>
          <w:szCs w:val="32"/>
        </w:rPr>
        <w:t>土地权利年期</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70年。</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b w:val="0"/>
          <w:sz w:val="32"/>
          <w:szCs w:val="32"/>
        </w:rPr>
        <w:t>．</w:t>
      </w:r>
      <w:r>
        <w:rPr>
          <w:rFonts w:hint="default" w:ascii="Times New Roman" w:hAnsi="Times New Roman" w:eastAsia="方正仿宋_GBK" w:cs="Times New Roman"/>
          <w:sz w:val="32"/>
          <w:szCs w:val="32"/>
        </w:rPr>
        <w:t>利用类型</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林地</w:t>
      </w:r>
      <w:r>
        <w:rPr>
          <w:rFonts w:hint="eastAsia" w:ascii="方正仿宋_GBK" w:hAnsi="方正仿宋_GBK" w:eastAsia="方正仿宋_GBK" w:cs="方正仿宋_GBK"/>
          <w:sz w:val="32"/>
          <w:szCs w:val="32"/>
        </w:rPr>
        <w:t>类型为乔木林地，林种为“高大乔木或珍贵树种”，初始龄组为“成熟林”。</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b w:val="0"/>
          <w:sz w:val="32"/>
          <w:szCs w:val="32"/>
        </w:rPr>
        <w:t>．</w:t>
      </w:r>
      <w:r>
        <w:rPr>
          <w:rFonts w:hint="default" w:ascii="Times New Roman" w:hAnsi="Times New Roman" w:eastAsia="方正仿宋_GBK" w:cs="Times New Roman"/>
          <w:sz w:val="32"/>
          <w:szCs w:val="32"/>
        </w:rPr>
        <w:t>基本设施状况</w:t>
      </w:r>
      <w:r>
        <w:rPr>
          <w:rFonts w:hint="default" w:ascii="Times New Roman" w:hAnsi="Times New Roman"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按照所在区域具有普遍性、适宜性的种植制度下，宗地外道路通达。</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6</w:t>
      </w:r>
      <w:r>
        <w:rPr>
          <w:rFonts w:hint="default" w:ascii="Times New Roman" w:hAnsi="Times New Roman" w:eastAsia="方正仿宋_GBK" w:cs="Times New Roman"/>
          <w:b w:val="0"/>
          <w:sz w:val="32"/>
          <w:szCs w:val="32"/>
        </w:rPr>
        <w:t>．</w:t>
      </w:r>
      <w:r>
        <w:rPr>
          <w:rFonts w:hint="default" w:ascii="Times New Roman" w:hAnsi="Times New Roman" w:eastAsia="方正仿宋_GBK" w:cs="Times New Roman"/>
          <w:sz w:val="32"/>
          <w:szCs w:val="32"/>
        </w:rPr>
        <w:t>估价期日</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2023年1月1日。</w:t>
      </w:r>
    </w:p>
    <w:p>
      <w:pPr>
        <w:pStyle w:val="3"/>
        <w:keepNext/>
        <w:keepLines/>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方正楷体_GBK" w:hAnsi="方正楷体_GBK" w:eastAsia="方正楷体_GBK" w:cs="方正楷体_GBK"/>
          <w:b w:val="0"/>
          <w:bCs w:val="0"/>
          <w:lang w:eastAsia="zh-CN"/>
        </w:rPr>
      </w:pPr>
      <w:bookmarkStart w:id="14" w:name="_Toc169867019"/>
      <w:r>
        <w:rPr>
          <w:rFonts w:hint="eastAsia" w:ascii="方正楷体_GBK" w:hAnsi="方正楷体_GBK" w:eastAsia="方正楷体_GBK" w:cs="方正楷体_GBK"/>
          <w:b w:val="0"/>
          <w:bCs w:val="0"/>
          <w:lang w:eastAsia="zh-CN"/>
        </w:rPr>
        <w:t>（三）</w:t>
      </w:r>
      <w:r>
        <w:rPr>
          <w:rFonts w:hint="eastAsia" w:ascii="方正楷体_GBK" w:hAnsi="方正楷体_GBK" w:eastAsia="方正楷体_GBK" w:cs="方正楷体_GBK"/>
          <w:b w:val="0"/>
          <w:bCs w:val="0"/>
        </w:rPr>
        <w:t>基准地价的应用</w:t>
      </w:r>
      <w:bookmarkEnd w:id="14"/>
      <w:r>
        <w:rPr>
          <w:rFonts w:hint="eastAsia" w:ascii="方正楷体_GBK" w:hAnsi="方正楷体_GBK" w:eastAsia="方正楷体_GBK" w:cs="方正楷体_GBK"/>
          <w:b w:val="0"/>
          <w:bCs w:val="0"/>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运用基准地价系数修正法进行宗地价格评估时应适用綦江区辖区范围内的所有林地，并根据宗地实际情况进行期日、年期、利用类型、林种、龄组、基本设施状况、林地价格影响因素修正。</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b w:val="0"/>
          <w:sz w:val="32"/>
          <w:szCs w:val="32"/>
        </w:rPr>
        <w:t>．</w:t>
      </w:r>
      <w:r>
        <w:rPr>
          <w:rFonts w:hint="default" w:ascii="Times New Roman" w:hAnsi="Times New Roman" w:eastAsia="方正仿宋_GBK" w:cs="Times New Roman"/>
          <w:sz w:val="32"/>
          <w:szCs w:val="32"/>
        </w:rPr>
        <w:t>宗地价格计算公式</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P=</w:t>
      </w:r>
      <m:oMath>
        <m:sSub>
          <w:bookmarkStart w:id="15" w:name="_Hlk162190643"/>
          <m:sSubPr>
            <m:ctrlPr>
              <w:rPr>
                <w:rFonts w:hint="default" w:ascii="Cambria Math" w:hAnsi="Cambria Math" w:eastAsia="方正仿宋_GBK" w:cs="Times New Roman"/>
                <w:iCs/>
                <w:color w:val="000000"/>
                <w:kern w:val="0"/>
                <w:sz w:val="32"/>
                <w:szCs w:val="32"/>
                <w:lang w:val="zh-CN" w:bidi="zh-CN"/>
              </w:rPr>
            </m:ctrlPr>
          </m:sSubPr>
          <m:e>
            <m:r>
              <m:rPr>
                <m:sty m:val="p"/>
              </m:rPr>
              <w:rPr>
                <w:rFonts w:hint="default" w:ascii="Cambria Math" w:hAnsi="Cambria Math" w:eastAsia="方正仿宋_GBK" w:cs="Times New Roman"/>
                <w:color w:val="000000"/>
                <w:sz w:val="32"/>
                <w:szCs w:val="32"/>
              </w:rPr>
              <m:t>P</m:t>
            </m:r>
            <m:ctrlPr>
              <w:rPr>
                <w:rFonts w:hint="default" w:ascii="Cambria Math" w:hAnsi="Cambria Math" w:eastAsia="方正仿宋_GBK" w:cs="Times New Roman"/>
                <w:iCs/>
                <w:color w:val="000000"/>
                <w:kern w:val="0"/>
                <w:sz w:val="32"/>
                <w:szCs w:val="32"/>
                <w:lang w:val="zh-CN" w:bidi="zh-CN"/>
              </w:rPr>
            </m:ctrlPr>
          </m:e>
          <m:sub>
            <m:r>
              <m:rPr>
                <m:sty m:val="p"/>
              </m:rPr>
              <w:rPr>
                <w:rFonts w:hint="default" w:ascii="Cambria Math" w:hAnsi="Cambria Math" w:eastAsia="方正仿宋_GBK" w:cs="Times New Roman"/>
                <w:color w:val="000000"/>
                <w:sz w:val="32"/>
                <w:szCs w:val="32"/>
              </w:rPr>
              <m:t>S</m:t>
            </m:r>
            <m:ctrlPr>
              <w:rPr>
                <w:rFonts w:hint="default" w:ascii="Cambria Math" w:hAnsi="Cambria Math" w:eastAsia="方正仿宋_GBK" w:cs="Times New Roman"/>
                <w:iCs/>
                <w:color w:val="000000"/>
                <w:kern w:val="0"/>
                <w:sz w:val="32"/>
                <w:szCs w:val="32"/>
                <w:lang w:val="zh-CN" w:bidi="zh-CN"/>
              </w:rPr>
            </m:ctrlPr>
          </m:sub>
        </m:sSub>
        <m:r>
          <m:rPr>
            <m:sty m:val="p"/>
          </m:rPr>
          <w:rPr>
            <w:rFonts w:hint="default" w:ascii="Cambria Math" w:hAnsi="Cambria Math" w:eastAsia="方正仿宋_GBK" w:cs="Times New Roman"/>
            <w:color w:val="000000"/>
            <w:kern w:val="0"/>
            <w:sz w:val="32"/>
            <w:szCs w:val="32"/>
            <w:lang w:bidi="zh-CN"/>
          </w:rPr>
          <m:t>×A×B×C×D×E×G+F</m:t>
        </m:r>
      </m:oMath>
      <w:bookmarkEnd w:id="15"/>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式中：</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bookmarkStart w:id="16" w:name="_Hlk162190652"/>
      <w:r>
        <w:rPr>
          <w:rFonts w:hint="default" w:ascii="Times New Roman" w:hAnsi="Times New Roman" w:eastAsia="方正仿宋_GBK" w:cs="Times New Roman"/>
          <w:sz w:val="32"/>
          <w:szCs w:val="32"/>
        </w:rPr>
        <w:t>P—待估林地价格</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Ps—林地基准地价</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A—待估林地期日修正系数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B—待估林地年期修正系数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C—待估林地利用类型修正系数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D—待估林地林种修正系数（仅林地类型为乔木时进行修正）</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E—待估林地龄组修正系数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F—待估林地基本设施状况修正值</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G—待估林地价格影响因素修正系</w:t>
      </w:r>
      <w:bookmarkEnd w:id="16"/>
      <w:r>
        <w:rPr>
          <w:rFonts w:hint="default" w:ascii="Times New Roman" w:hAnsi="Times New Roman" w:eastAsia="方正仿宋_GBK" w:cs="Times New Roman"/>
          <w:sz w:val="32"/>
          <w:szCs w:val="32"/>
        </w:rPr>
        <w:t>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b/>
          <w:bCs/>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b w:val="0"/>
          <w:sz w:val="32"/>
          <w:szCs w:val="32"/>
        </w:rPr>
        <w:t>．</w:t>
      </w:r>
      <w:r>
        <w:rPr>
          <w:rFonts w:hint="default" w:ascii="Times New Roman" w:hAnsi="Times New Roman" w:eastAsia="方正仿宋_GBK" w:cs="Times New Roman"/>
          <w:sz w:val="32"/>
          <w:szCs w:val="32"/>
        </w:rPr>
        <w:t>宗地价格测算中有关参数的确定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1）适用的林地基准地价的确定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根据林地所在级别，选用林地基准地价进行评估。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2）期日修正系数的确定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本次基准地价估价期日为2023年1月1日。若宗地评估期日不是2023年1月1日，应根据地价的实际变化程度进行期日修正。</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期日修正系数=估价期日农产品零售价格指数÷基准地价期日农产品零售价格指数。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3）年期修正系数的确定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Ky=[1-1/(1+r)</w:t>
      </w:r>
      <w:r>
        <w:rPr>
          <w:rFonts w:hint="default" w:ascii="Times New Roman" w:hAnsi="Times New Roman" w:eastAsia="方正仿宋_GBK" w:cs="Times New Roman"/>
          <w:sz w:val="32"/>
          <w:szCs w:val="32"/>
          <w:vertAlign w:val="superscript"/>
        </w:rPr>
        <w:t>n</w:t>
      </w:r>
      <w:r>
        <w:rPr>
          <w:rFonts w:hint="default" w:ascii="Times New Roman" w:hAnsi="Times New Roman" w:eastAsia="方正仿宋_GBK" w:cs="Times New Roman"/>
          <w:sz w:val="32"/>
          <w:szCs w:val="32"/>
        </w:rPr>
        <w:t>]/[1-1/(1+r)</w:t>
      </w:r>
      <w:r>
        <w:rPr>
          <w:rFonts w:hint="default" w:ascii="Times New Roman" w:hAnsi="Times New Roman" w:eastAsia="方正仿宋_GBK" w:cs="Times New Roman"/>
          <w:sz w:val="32"/>
          <w:szCs w:val="32"/>
          <w:vertAlign w:val="superscript"/>
        </w:rPr>
        <w:t>m</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其中：Ky—年期修正系数</w:t>
      </w:r>
    </w:p>
    <w:p>
      <w:pPr>
        <w:pageBreakBefore w:val="0"/>
        <w:widowControl w:val="0"/>
        <w:kinsoku/>
        <w:wordWrap/>
        <w:overflowPunct/>
        <w:topLinePunct w:val="0"/>
        <w:autoSpaceDE/>
        <w:autoSpaceDN/>
        <w:bidi w:val="0"/>
        <w:adjustRightInd/>
        <w:snapToGrid/>
        <w:spacing w:line="576"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r—土地还原率（2.0%）</w:t>
      </w:r>
    </w:p>
    <w:p>
      <w:pPr>
        <w:pageBreakBefore w:val="0"/>
        <w:widowControl w:val="0"/>
        <w:kinsoku/>
        <w:wordWrap/>
        <w:overflowPunct/>
        <w:topLinePunct w:val="0"/>
        <w:autoSpaceDE/>
        <w:autoSpaceDN/>
        <w:bidi w:val="0"/>
        <w:adjustRightInd/>
        <w:snapToGrid/>
        <w:spacing w:line="576"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n—待估林地的使用年期</w:t>
      </w:r>
    </w:p>
    <w:p>
      <w:pPr>
        <w:pageBreakBefore w:val="0"/>
        <w:widowControl w:val="0"/>
        <w:kinsoku/>
        <w:wordWrap/>
        <w:overflowPunct/>
        <w:topLinePunct w:val="0"/>
        <w:autoSpaceDE/>
        <w:autoSpaceDN/>
        <w:bidi w:val="0"/>
        <w:adjustRightInd/>
        <w:snapToGrid/>
        <w:spacing w:line="576"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m—基准地价定义的使用年期</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4）利用类型（林种、龄组）修正系数的确定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如存在与基准地价规定的用地类型不一致时，需要进行用地类型修正。</w:t>
      </w:r>
    </w:p>
    <w:p>
      <w:pPr>
        <w:widowControl/>
        <w:snapToGrid w:val="0"/>
        <w:spacing w:line="240" w:lineRule="auto"/>
        <w:ind w:firstLine="0" w:firstLineChars="0"/>
        <w:jc w:val="center"/>
        <w:rPr>
          <w:rFonts w:ascii="方正仿宋_GBK" w:hAnsi="宋体" w:eastAsia="方正仿宋_GBK"/>
          <w:kern w:val="0"/>
          <w:sz w:val="24"/>
          <w:szCs w:val="24"/>
        </w:rPr>
      </w:pPr>
      <w:r>
        <w:rPr>
          <w:rFonts w:hint="eastAsia" w:ascii="方正黑体_GBK" w:hAnsi="方正黑体_GBK" w:eastAsia="方正黑体_GBK" w:cs="方正黑体_GBK"/>
          <w:kern w:val="0"/>
          <w:sz w:val="32"/>
          <w:szCs w:val="32"/>
        </w:rPr>
        <w:t>用地类型修正系数表</w:t>
      </w:r>
    </w:p>
    <w:tbl>
      <w:tblPr>
        <w:tblStyle w:val="15"/>
        <w:tblW w:w="83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3309"/>
        <w:gridCol w:w="2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jc w:val="center"/>
        </w:trPr>
        <w:tc>
          <w:tcPr>
            <w:tcW w:w="2201"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用地类型</w:t>
            </w:r>
          </w:p>
        </w:tc>
        <w:tc>
          <w:tcPr>
            <w:tcW w:w="3309"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用途类别划分</w:t>
            </w:r>
          </w:p>
        </w:tc>
        <w:tc>
          <w:tcPr>
            <w:tcW w:w="2868"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2201"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林地</w:t>
            </w:r>
          </w:p>
        </w:tc>
        <w:tc>
          <w:tcPr>
            <w:tcW w:w="3309"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基准类别：乔木林地</w:t>
            </w:r>
          </w:p>
        </w:tc>
        <w:tc>
          <w:tcPr>
            <w:tcW w:w="2868"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2201"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p>
        </w:tc>
        <w:tc>
          <w:tcPr>
            <w:tcW w:w="3309"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灌木林地</w:t>
            </w:r>
          </w:p>
        </w:tc>
        <w:tc>
          <w:tcPr>
            <w:tcW w:w="2868"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2201"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p>
        </w:tc>
        <w:tc>
          <w:tcPr>
            <w:tcW w:w="3309"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竹林地</w:t>
            </w:r>
          </w:p>
        </w:tc>
        <w:tc>
          <w:tcPr>
            <w:tcW w:w="2868"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2201"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p>
        </w:tc>
        <w:tc>
          <w:tcPr>
            <w:tcW w:w="3309"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其他林地</w:t>
            </w:r>
          </w:p>
        </w:tc>
        <w:tc>
          <w:tcPr>
            <w:tcW w:w="2868"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0.50</w:t>
            </w:r>
          </w:p>
        </w:tc>
      </w:tr>
    </w:tbl>
    <w:p>
      <w:pPr>
        <w:tabs>
          <w:tab w:val="left" w:pos="960"/>
        </w:tabs>
        <w:spacing w:line="240" w:lineRule="auto"/>
        <w:ind w:firstLine="0" w:firstLineChars="0"/>
        <w:jc w:val="center"/>
        <w:rPr>
          <w:rFonts w:ascii="黑体" w:hAnsi="黑体" w:eastAsia="黑体"/>
          <w:bCs/>
          <w:color w:val="000000"/>
          <w:sz w:val="21"/>
          <w:szCs w:val="21"/>
        </w:rPr>
      </w:pPr>
    </w:p>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林种修正系数表</w:t>
      </w:r>
    </w:p>
    <w:tbl>
      <w:tblPr>
        <w:tblStyle w:val="15"/>
        <w:tblW w:w="83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3472"/>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2213"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用地类型</w:t>
            </w:r>
          </w:p>
        </w:tc>
        <w:tc>
          <w:tcPr>
            <w:tcW w:w="3472"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林种类别</w:t>
            </w:r>
          </w:p>
        </w:tc>
        <w:tc>
          <w:tcPr>
            <w:tcW w:w="2663"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2213"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乔木林地</w:t>
            </w:r>
          </w:p>
        </w:tc>
        <w:tc>
          <w:tcPr>
            <w:tcW w:w="3472" w:type="dxa"/>
            <w:shd w:val="clear" w:color="auto" w:fill="auto"/>
            <w:vAlign w:val="center"/>
          </w:tcPr>
          <w:p>
            <w:pPr>
              <w:keepNext w:val="0"/>
              <w:keepLines w:val="0"/>
              <w:pageBreakBefore w:val="0"/>
              <w:widowControl/>
              <w:kinsoku/>
              <w:wordWrap/>
              <w:overflowPunct/>
              <w:topLinePunct w:val="0"/>
              <w:autoSpaceDE/>
              <w:autoSpaceDN/>
              <w:bidi w:val="0"/>
              <w:adjustRightInd/>
              <w:snapToGrid w:val="0"/>
              <w:spacing w:line="320" w:lineRule="exact"/>
              <w:ind w:firstLine="0" w:firstLineChars="0"/>
              <w:jc w:val="center"/>
              <w:textAlignment w:val="auto"/>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基准类别：高大乔木与珍贵树种（马尾松、华山松、水杉、红豆杉、杉木、云杉、柳杉、柏木等针叶树，以及青冈、桤木、枫香、鹅掌楸、桦木、楠木、红椿、香椿、毛椿、香樟、桉树等阔叶树）</w:t>
            </w:r>
          </w:p>
        </w:tc>
        <w:tc>
          <w:tcPr>
            <w:tcW w:w="2663"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2213"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p>
        </w:tc>
        <w:tc>
          <w:tcPr>
            <w:tcW w:w="3472"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其他树种（除了上述树种以外的树种）</w:t>
            </w:r>
          </w:p>
        </w:tc>
        <w:tc>
          <w:tcPr>
            <w:tcW w:w="2663"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0.86</w:t>
            </w:r>
          </w:p>
        </w:tc>
      </w:tr>
    </w:tbl>
    <w:p>
      <w:pPr>
        <w:widowControl/>
        <w:snapToGrid w:val="0"/>
        <w:spacing w:line="240" w:lineRule="auto"/>
        <w:ind w:firstLine="0" w:firstLineChars="0"/>
        <w:jc w:val="center"/>
        <w:rPr>
          <w:rFonts w:ascii="方正仿宋_GBK" w:hAnsi="宋体" w:eastAsia="方正仿宋_GBK"/>
          <w:kern w:val="0"/>
          <w:sz w:val="24"/>
          <w:szCs w:val="24"/>
        </w:rPr>
      </w:pPr>
    </w:p>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龄组修正系数表</w:t>
      </w:r>
    </w:p>
    <w:tbl>
      <w:tblPr>
        <w:tblStyle w:val="15"/>
        <w:tblW w:w="91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8"/>
        <w:gridCol w:w="3527"/>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2618"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用地类型</w:t>
            </w:r>
          </w:p>
        </w:tc>
        <w:tc>
          <w:tcPr>
            <w:tcW w:w="3527"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树龄</w:t>
            </w:r>
          </w:p>
        </w:tc>
        <w:tc>
          <w:tcPr>
            <w:tcW w:w="2993"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2618"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林地</w:t>
            </w:r>
          </w:p>
        </w:tc>
        <w:tc>
          <w:tcPr>
            <w:tcW w:w="3527"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过熟林</w:t>
            </w:r>
          </w:p>
        </w:tc>
        <w:tc>
          <w:tcPr>
            <w:tcW w:w="2993"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2618"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p>
        </w:tc>
        <w:tc>
          <w:tcPr>
            <w:tcW w:w="3527"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成熟林</w:t>
            </w:r>
          </w:p>
        </w:tc>
        <w:tc>
          <w:tcPr>
            <w:tcW w:w="2993"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2618"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p>
        </w:tc>
        <w:tc>
          <w:tcPr>
            <w:tcW w:w="3527"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近熟林</w:t>
            </w:r>
          </w:p>
        </w:tc>
        <w:tc>
          <w:tcPr>
            <w:tcW w:w="2993"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2618"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p>
        </w:tc>
        <w:tc>
          <w:tcPr>
            <w:tcW w:w="3527"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中龄林</w:t>
            </w:r>
          </w:p>
        </w:tc>
        <w:tc>
          <w:tcPr>
            <w:tcW w:w="2993"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2618"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p>
        </w:tc>
        <w:tc>
          <w:tcPr>
            <w:tcW w:w="3527"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幼龄林</w:t>
            </w:r>
          </w:p>
        </w:tc>
        <w:tc>
          <w:tcPr>
            <w:tcW w:w="2993"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0.72</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hint="eastAsia" w:eastAsia="方正仿宋_GBK"/>
          <w:sz w:val="32"/>
          <w:szCs w:val="32"/>
        </w:rPr>
        <w:t>5）基本设施状况修正的确定</w:t>
      </w:r>
      <w:r>
        <w:rPr>
          <w:rFonts w:hint="eastAsia"/>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sz w:val="32"/>
          <w:szCs w:val="32"/>
        </w:rPr>
      </w:pPr>
      <w:r>
        <w:rPr>
          <w:rFonts w:hint="eastAsia" w:eastAsia="方正仿宋_GBK"/>
          <w:sz w:val="32"/>
          <w:szCs w:val="32"/>
        </w:rPr>
        <w:t>基本设施修正值详见下表：</w:t>
      </w:r>
    </w:p>
    <w:tbl>
      <w:tblPr>
        <w:tblStyle w:val="15"/>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3654"/>
        <w:gridCol w:w="3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980"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24"/>
                <w:szCs w:val="24"/>
              </w:rPr>
            </w:pPr>
            <w:bookmarkStart w:id="17" w:name="_Hlk162190744"/>
            <w:r>
              <w:rPr>
                <w:rFonts w:hint="eastAsia" w:ascii="方正黑体_GBK" w:hAnsi="方正黑体_GBK" w:eastAsia="方正黑体_GBK" w:cs="方正黑体_GBK"/>
                <w:kern w:val="0"/>
                <w:sz w:val="24"/>
                <w:szCs w:val="24"/>
              </w:rPr>
              <w:t>用途</w:t>
            </w:r>
          </w:p>
        </w:tc>
        <w:tc>
          <w:tcPr>
            <w:tcW w:w="3654" w:type="dxa"/>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基础设施状况说明</w:t>
            </w:r>
          </w:p>
        </w:tc>
        <w:tc>
          <w:tcPr>
            <w:tcW w:w="3654" w:type="dxa"/>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林地基础设施价格</w:t>
            </w:r>
          </w:p>
          <w:p>
            <w:pPr>
              <w:widowControl/>
              <w:snapToGrid w:val="0"/>
              <w:spacing w:line="240" w:lineRule="auto"/>
              <w:ind w:firstLine="0" w:firstLineChars="0"/>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980" w:type="dxa"/>
            <w:vMerge w:val="restart"/>
            <w:shd w:val="clear" w:color="auto" w:fill="auto"/>
            <w:vAlign w:val="center"/>
          </w:tcPr>
          <w:p>
            <w:pPr>
              <w:widowControl/>
              <w:snapToGrid w:val="0"/>
              <w:spacing w:line="240" w:lineRule="auto"/>
              <w:ind w:firstLine="0" w:firstLineChars="0"/>
              <w:jc w:val="center"/>
              <w:rPr>
                <w:rFonts w:ascii="方正仿宋_GBK" w:hAnsi="宋体" w:eastAsia="方正仿宋_GBK"/>
                <w:kern w:val="0"/>
                <w:sz w:val="24"/>
                <w:szCs w:val="24"/>
              </w:rPr>
            </w:pPr>
            <w:r>
              <w:rPr>
                <w:rFonts w:hint="eastAsia" w:ascii="方正仿宋_GBK" w:hAnsi="宋体" w:eastAsia="方正仿宋_GBK"/>
                <w:kern w:val="0"/>
                <w:sz w:val="24"/>
                <w:szCs w:val="24"/>
              </w:rPr>
              <w:t>林地</w:t>
            </w:r>
          </w:p>
        </w:tc>
        <w:tc>
          <w:tcPr>
            <w:tcW w:w="3654" w:type="dxa"/>
            <w:vAlign w:val="center"/>
          </w:tcPr>
          <w:p>
            <w:pPr>
              <w:widowControl/>
              <w:snapToGrid w:val="0"/>
              <w:spacing w:line="240" w:lineRule="auto"/>
              <w:ind w:firstLine="0" w:firstLineChars="0"/>
              <w:jc w:val="center"/>
              <w:rPr>
                <w:rFonts w:ascii="方正仿宋_GBK" w:hAnsi="宋体" w:eastAsia="方正仿宋_GBK"/>
                <w:kern w:val="0"/>
                <w:sz w:val="24"/>
                <w:szCs w:val="24"/>
              </w:rPr>
            </w:pPr>
            <w:r>
              <w:rPr>
                <w:rFonts w:hint="eastAsia" w:ascii="方正仿宋_GBK" w:hAnsi="宋体" w:eastAsia="方正仿宋_GBK"/>
                <w:kern w:val="0"/>
                <w:sz w:val="24"/>
                <w:szCs w:val="24"/>
              </w:rPr>
              <w:t>道路通达</w:t>
            </w:r>
          </w:p>
        </w:tc>
        <w:tc>
          <w:tcPr>
            <w:tcW w:w="3654" w:type="dxa"/>
            <w:vAlign w:val="center"/>
          </w:tcPr>
          <w:p>
            <w:pPr>
              <w:widowControl/>
              <w:snapToGrid w:val="0"/>
              <w:spacing w:line="240" w:lineRule="auto"/>
              <w:ind w:firstLine="0" w:firstLineChars="0"/>
              <w:jc w:val="center"/>
              <w:rPr>
                <w:rFonts w:ascii="方正仿宋_GBK" w:hAnsi="宋体" w:eastAsia="方正仿宋_GBK"/>
                <w:kern w:val="0"/>
                <w:sz w:val="24"/>
                <w:szCs w:val="24"/>
              </w:rPr>
            </w:pPr>
            <w:r>
              <w:rPr>
                <w:rFonts w:hint="eastAsia" w:ascii="方正仿宋_GBK" w:hAnsi="宋体" w:eastAsia="方正仿宋_GBK"/>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980" w:type="dxa"/>
            <w:vMerge w:val="continue"/>
            <w:shd w:val="clear" w:color="auto" w:fill="auto"/>
            <w:vAlign w:val="center"/>
          </w:tcPr>
          <w:p>
            <w:pPr>
              <w:widowControl/>
              <w:snapToGrid w:val="0"/>
              <w:spacing w:line="240" w:lineRule="auto"/>
              <w:ind w:firstLine="0" w:firstLineChars="0"/>
              <w:jc w:val="center"/>
              <w:rPr>
                <w:rFonts w:ascii="方正仿宋_GBK" w:hAnsi="宋体" w:eastAsia="方正仿宋_GBK"/>
                <w:kern w:val="0"/>
                <w:sz w:val="24"/>
                <w:szCs w:val="24"/>
              </w:rPr>
            </w:pPr>
          </w:p>
        </w:tc>
        <w:tc>
          <w:tcPr>
            <w:tcW w:w="3654" w:type="dxa"/>
            <w:vAlign w:val="center"/>
          </w:tcPr>
          <w:p>
            <w:pPr>
              <w:widowControl/>
              <w:snapToGrid w:val="0"/>
              <w:spacing w:line="240" w:lineRule="auto"/>
              <w:ind w:firstLine="0" w:firstLineChars="0"/>
              <w:jc w:val="center"/>
              <w:rPr>
                <w:rFonts w:ascii="方正仿宋_GBK" w:hAnsi="宋体" w:eastAsia="方正仿宋_GBK"/>
                <w:kern w:val="0"/>
                <w:sz w:val="24"/>
                <w:szCs w:val="24"/>
              </w:rPr>
            </w:pPr>
            <w:r>
              <w:rPr>
                <w:rFonts w:hint="eastAsia" w:ascii="方正仿宋_GBK" w:hAnsi="宋体" w:eastAsia="方正仿宋_GBK"/>
                <w:kern w:val="0"/>
                <w:sz w:val="24"/>
                <w:szCs w:val="24"/>
              </w:rPr>
              <w:t>道路不通达</w:t>
            </w:r>
          </w:p>
        </w:tc>
        <w:tc>
          <w:tcPr>
            <w:tcW w:w="3654" w:type="dxa"/>
            <w:vAlign w:val="center"/>
          </w:tcPr>
          <w:p>
            <w:pPr>
              <w:widowControl/>
              <w:snapToGrid w:val="0"/>
              <w:spacing w:line="240" w:lineRule="auto"/>
              <w:ind w:firstLine="0" w:firstLineChars="0"/>
              <w:jc w:val="center"/>
              <w:rPr>
                <w:rFonts w:ascii="方正仿宋_GBK" w:hAnsi="宋体" w:eastAsia="方正仿宋_GBK"/>
                <w:kern w:val="0"/>
                <w:sz w:val="24"/>
                <w:szCs w:val="24"/>
              </w:rPr>
            </w:pPr>
            <w:r>
              <w:rPr>
                <w:rFonts w:hint="eastAsia" w:ascii="方正仿宋_GBK" w:hAnsi="宋体" w:eastAsia="方正仿宋_GBK"/>
                <w:kern w:val="0"/>
                <w:sz w:val="24"/>
                <w:szCs w:val="24"/>
              </w:rPr>
              <w:t>-800</w:t>
            </w:r>
          </w:p>
        </w:tc>
      </w:tr>
      <w:bookmarkEnd w:id="17"/>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eastAsia="方正仿宋_GBK"/>
          <w:sz w:val="32"/>
          <w:szCs w:val="32"/>
          <w:lang w:eastAsia="zh-CN"/>
        </w:rPr>
      </w:pPr>
      <w:r>
        <w:rPr>
          <w:rFonts w:hint="eastAsia" w:eastAsia="方正仿宋_GBK"/>
          <w:sz w:val="32"/>
          <w:szCs w:val="32"/>
          <w:lang w:eastAsia="zh-CN"/>
        </w:rPr>
        <w:t>（</w:t>
      </w:r>
      <w:r>
        <w:rPr>
          <w:rFonts w:eastAsia="方正仿宋_GBK"/>
          <w:sz w:val="32"/>
          <w:szCs w:val="32"/>
        </w:rPr>
        <w:t>6</w:t>
      </w:r>
      <w:r>
        <w:rPr>
          <w:rFonts w:hint="eastAsia" w:eastAsia="方正仿宋_GBK"/>
          <w:sz w:val="32"/>
          <w:szCs w:val="32"/>
        </w:rPr>
        <w:t>）林地价格影响因素修正系数的确定</w:t>
      </w:r>
      <w:r>
        <w:rPr>
          <w:rFonts w:hint="eastAsia"/>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sz w:val="32"/>
          <w:szCs w:val="32"/>
        </w:rPr>
      </w:pPr>
      <w:r>
        <w:rPr>
          <w:rFonts w:hint="eastAsia" w:eastAsia="方正仿宋_GBK"/>
          <w:sz w:val="32"/>
          <w:szCs w:val="32"/>
        </w:rPr>
        <w:t>价格影响</w:t>
      </w:r>
      <w:r>
        <w:rPr>
          <w:rFonts w:eastAsia="方正仿宋_GBK"/>
          <w:sz w:val="32"/>
          <w:szCs w:val="32"/>
        </w:rPr>
        <w:t>因素修正系数</w:t>
      </w:r>
      <w:r>
        <w:rPr>
          <w:rFonts w:hint="eastAsia" w:eastAsia="方正仿宋_GBK"/>
          <w:sz w:val="32"/>
          <w:szCs w:val="32"/>
        </w:rPr>
        <w:t>=</w:t>
      </w:r>
      <w:r>
        <w:rPr>
          <w:rFonts w:hint="default" w:ascii="Times New Roman" w:hAnsi="Times New Roman" w:cs="Times New Roman"/>
          <w:sz w:val="28"/>
          <w:szCs w:val="28"/>
        </w:rPr>
        <w:t>1</w:t>
      </w:r>
      <w:r>
        <w:rPr>
          <w:rFonts w:ascii="仿宋" w:hAnsi="仿宋"/>
          <w:sz w:val="28"/>
          <w:szCs w:val="28"/>
        </w:rPr>
        <w:t>+</w:t>
      </w:r>
      <m:oMath>
        <m:nary>
          <m:naryPr>
            <m:chr m:val="∑"/>
            <m:limLoc m:val="undOvr"/>
            <m:ctrlPr>
              <w:rPr>
                <w:rFonts w:ascii="Cambria Math" w:hAnsi="Cambria Math"/>
                <w:sz w:val="28"/>
                <w:szCs w:val="28"/>
              </w:rPr>
            </m:ctrlPr>
          </m:naryPr>
          <m:sub>
            <m:r>
              <m:rPr>
                <m:sty m:val="p"/>
              </m:rPr>
              <w:rPr>
                <w:rFonts w:ascii="Cambria Math" w:hAnsi="Cambria Math"/>
                <w:sz w:val="28"/>
                <w:szCs w:val="28"/>
              </w:rPr>
              <m:t>i=1</m:t>
            </m:r>
            <m:ctrlPr>
              <w:rPr>
                <w:rFonts w:ascii="Cambria Math" w:hAnsi="Cambria Math"/>
                <w:sz w:val="28"/>
                <w:szCs w:val="28"/>
              </w:rPr>
            </m:ctrlPr>
          </m:sub>
          <m:sup>
            <m:r>
              <m:rPr>
                <m:sty m:val="p"/>
              </m:rPr>
              <w:rPr>
                <w:rFonts w:hint="eastAsia" w:ascii="Cambria Math" w:hAnsi="Cambria Math"/>
                <w:sz w:val="28"/>
                <w:szCs w:val="28"/>
              </w:rPr>
              <m:t>n</m:t>
            </m:r>
            <m:ctrlPr>
              <w:rPr>
                <w:rFonts w:ascii="Cambria Math" w:hAnsi="Cambria Math"/>
                <w:sz w:val="28"/>
                <w:szCs w:val="28"/>
              </w:rPr>
            </m:ctrlPr>
          </m:sup>
          <m:e>
            <m:sSub>
              <m:sSubPr>
                <m:ctrlPr>
                  <w:rPr>
                    <w:rFonts w:ascii="Cambria Math" w:hAnsi="Cambria Math"/>
                    <w:sz w:val="28"/>
                    <w:szCs w:val="28"/>
                  </w:rPr>
                </m:ctrlPr>
              </m:sSubPr>
              <m:e>
                <m:r>
                  <m:rPr>
                    <m:sty m:val="p"/>
                  </m:rPr>
                  <w:rPr>
                    <w:rFonts w:ascii="Cambria Math" w:hAnsi="Cambria Math"/>
                    <w:sz w:val="28"/>
                    <w:szCs w:val="28"/>
                  </w:rPr>
                  <m:t>(K</m:t>
                </m:r>
                <m:ctrlPr>
                  <w:rPr>
                    <w:rFonts w:ascii="Cambria Math" w:hAnsi="Cambria Math"/>
                    <w:sz w:val="28"/>
                    <w:szCs w:val="28"/>
                  </w:rPr>
                </m:ctrlPr>
              </m:e>
              <m:sub>
                <m:eqArr>
                  <m:eqArrPr>
                    <m:ctrlPr>
                      <w:rPr>
                        <w:rFonts w:ascii="Cambria Math" w:hAnsi="Cambria Math"/>
                        <w:sz w:val="28"/>
                        <w:szCs w:val="28"/>
                      </w:rPr>
                    </m:ctrlPr>
                  </m:eqArrPr>
                  <m:e>
                    <m:r>
                      <m:rPr>
                        <m:sty m:val="p"/>
                      </m:rPr>
                      <w:rPr>
                        <w:rFonts w:ascii="Cambria Math" w:hAnsi="Cambria Math"/>
                        <w:sz w:val="28"/>
                        <w:szCs w:val="28"/>
                      </w:rPr>
                      <m:t>i</m:t>
                    </m:r>
                    <m:ctrlPr>
                      <w:rPr>
                        <w:rFonts w:ascii="Cambria Math" w:hAnsi="Cambria Math"/>
                        <w:sz w:val="28"/>
                        <w:szCs w:val="28"/>
                      </w:rPr>
                    </m:ctrlPr>
                  </m:e>
                  <m:e>
                    <m:ctrlPr>
                      <w:rPr>
                        <w:rFonts w:ascii="Cambria Math" w:hAnsi="Cambria Math"/>
                        <w:sz w:val="28"/>
                        <w:szCs w:val="28"/>
                      </w:rPr>
                    </m:ctrlPr>
                  </m:e>
                </m:eqArr>
                <m:ctrlPr>
                  <w:rPr>
                    <w:rFonts w:ascii="Cambria Math" w:hAnsi="Cambria Math"/>
                    <w:sz w:val="28"/>
                    <w:szCs w:val="28"/>
                  </w:rPr>
                </m:ctrlPr>
              </m:sub>
            </m:sSub>
            <m:r>
              <m:rPr>
                <m:sty m:val="p"/>
              </m:rPr>
              <w:rPr>
                <w:rFonts w:hint="eastAsia" w:ascii="Cambria Math" w:hAnsi="Cambria Math"/>
                <w:sz w:val="28"/>
                <w:szCs w:val="28"/>
              </w:rPr>
              <m:t>÷</m:t>
            </m:r>
            <m:r>
              <m:rPr>
                <m:sty m:val="p"/>
              </m:rPr>
              <w:rPr>
                <w:rFonts w:ascii="Cambria Math" w:hAnsi="Cambria Math"/>
                <w:sz w:val="28"/>
                <w:szCs w:val="28"/>
              </w:rPr>
              <m:t>100)</m:t>
            </m:r>
            <m:ctrlPr>
              <w:rPr>
                <w:rFonts w:ascii="Cambria Math" w:hAnsi="Cambria Math"/>
                <w:sz w:val="28"/>
                <w:szCs w:val="28"/>
              </w:rPr>
            </m:ctrlPr>
          </m:e>
        </m:nary>
      </m:oMath>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sz w:val="32"/>
          <w:szCs w:val="32"/>
        </w:rPr>
      </w:pPr>
      <w:r>
        <w:rPr>
          <w:rFonts w:hint="eastAsia" w:eastAsia="方正仿宋_GBK"/>
          <w:sz w:val="32"/>
          <w:szCs w:val="32"/>
        </w:rPr>
        <w:t>按照《林地价格影响修正系数表》，根据林地各种因素情况确定每种因素的修正系数，应用上述公式测算宗地的价格影响因素修正系数。K</w:t>
      </w:r>
      <w:r>
        <w:rPr>
          <w:rFonts w:hint="eastAsia" w:eastAsia="方正仿宋_GBK"/>
          <w:sz w:val="32"/>
          <w:szCs w:val="32"/>
          <w:vertAlign w:val="subscript"/>
        </w:rPr>
        <w:t>i</w:t>
      </w:r>
      <w:r>
        <w:rPr>
          <w:rFonts w:hint="eastAsia" w:eastAsia="方正仿宋_GBK"/>
          <w:sz w:val="32"/>
          <w:szCs w:val="32"/>
        </w:rPr>
        <w:t>为待估林地第i种因素的修正系数。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方正仿宋_GBK"/>
          <w:sz w:val="32"/>
          <w:szCs w:val="32"/>
        </w:rPr>
        <w:sectPr>
          <w:pgSz w:w="11907" w:h="16840"/>
          <w:pgMar w:top="1418" w:right="1134" w:bottom="1134" w:left="1701" w:header="851" w:footer="1418" w:gutter="0"/>
          <w:pgNumType w:fmt="decimal"/>
          <w:cols w:space="720" w:num="1"/>
          <w:docGrid w:linePitch="312" w:charSpace="0"/>
        </w:sectPr>
      </w:pPr>
      <w:r>
        <w:rPr>
          <w:rFonts w:hint="eastAsia" w:eastAsia="方正仿宋_GBK"/>
          <w:sz w:val="32"/>
          <w:szCs w:val="32"/>
        </w:rPr>
        <w:t>详见附表：林地价格影响修正系数表</w:t>
      </w:r>
    </w:p>
    <w:p>
      <w:pPr>
        <w:widowControl/>
        <w:spacing w:line="240" w:lineRule="auto"/>
        <w:ind w:firstLine="0" w:firstLineChars="0"/>
        <w:jc w:val="center"/>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林地因素修正指标说明表</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小标宋_GBK" w:hAnsi="方正小标宋_GBK" w:eastAsia="方正小标宋_GBK" w:cs="方正小标宋_GBK"/>
          <w:b w:val="0"/>
          <w:bCs/>
          <w:sz w:val="36"/>
          <w:szCs w:val="36"/>
        </w:rPr>
      </w:pPr>
    </w:p>
    <w:tbl>
      <w:tblPr>
        <w:tblStyle w:val="15"/>
        <w:tblW w:w="14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536"/>
        <w:gridCol w:w="2285"/>
        <w:gridCol w:w="2268"/>
        <w:gridCol w:w="2262"/>
        <w:gridCol w:w="2262"/>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1419" w:type="dxa"/>
            <w:vMerge w:val="restart"/>
            <w:shd w:val="clear" w:color="auto" w:fill="auto"/>
            <w:vAlign w:val="center"/>
          </w:tcPr>
          <w:p>
            <w:pPr>
              <w:spacing w:line="240" w:lineRule="auto"/>
              <w:ind w:firstLine="0" w:firstLineChars="0"/>
              <w:jc w:val="center"/>
              <w:rPr>
                <w:rFonts w:hint="eastAsia" w:ascii="方正黑体_GBK" w:hAnsi="方正黑体_GBK" w:eastAsia="方正黑体_GBK" w:cs="方正黑体_GBK"/>
                <w:color w:val="000000"/>
                <w:kern w:val="0"/>
                <w:sz w:val="21"/>
                <w:szCs w:val="21"/>
              </w:rPr>
            </w:pPr>
            <w:bookmarkStart w:id="18" w:name="_Hlk164333348"/>
            <w:r>
              <w:rPr>
                <w:rFonts w:hint="eastAsia" w:ascii="方正黑体_GBK" w:hAnsi="方正黑体_GBK" w:eastAsia="方正黑体_GBK" w:cs="方正黑体_GBK"/>
                <w:color w:val="000000"/>
                <w:spacing w:val="-11"/>
                <w:kern w:val="0"/>
                <w:sz w:val="21"/>
                <w:szCs w:val="21"/>
              </w:rPr>
              <w:t>社会经济因素</w:t>
            </w:r>
          </w:p>
        </w:tc>
        <w:tc>
          <w:tcPr>
            <w:tcW w:w="1536" w:type="dxa"/>
            <w:vMerge w:val="restart"/>
            <w:shd w:val="clear" w:color="auto" w:fill="auto"/>
            <w:vAlign w:val="center"/>
          </w:tcPr>
          <w:p>
            <w:pPr>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因素体系</w:t>
            </w:r>
          </w:p>
        </w:tc>
        <w:tc>
          <w:tcPr>
            <w:tcW w:w="11340" w:type="dxa"/>
            <w:gridSpan w:val="5"/>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修正指标说明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1419"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536"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28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优</w:t>
            </w:r>
          </w:p>
        </w:tc>
        <w:tc>
          <w:tcPr>
            <w:tcW w:w="2268"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较优</w:t>
            </w:r>
          </w:p>
        </w:tc>
        <w:tc>
          <w:tcPr>
            <w:tcW w:w="2262"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一般</w:t>
            </w:r>
          </w:p>
        </w:tc>
        <w:tc>
          <w:tcPr>
            <w:tcW w:w="2262"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较劣</w:t>
            </w:r>
          </w:p>
        </w:tc>
        <w:tc>
          <w:tcPr>
            <w:tcW w:w="2263"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419"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集材距离</w:t>
            </w:r>
          </w:p>
        </w:tc>
        <w:tc>
          <w:tcPr>
            <w:tcW w:w="228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交通便利，附近有主、次干道</w:t>
            </w:r>
          </w:p>
        </w:tc>
        <w:tc>
          <w:tcPr>
            <w:tcW w:w="226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交通</w:t>
            </w:r>
            <w:r>
              <w:rPr>
                <w:rFonts w:hint="default" w:ascii="Times New Roman" w:hAnsi="Times New Roman" w:eastAsia="方正仿宋_GBK" w:cs="Times New Roman"/>
                <w:color w:val="000000"/>
                <w:spacing w:val="-6"/>
                <w:kern w:val="0"/>
                <w:sz w:val="20"/>
                <w:szCs w:val="20"/>
              </w:rPr>
              <w:t>较便利，支路可通达</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交通条件一般</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交通条件较差，仅有乡间道路</w:t>
            </w:r>
          </w:p>
        </w:tc>
        <w:tc>
          <w:tcPr>
            <w:tcW w:w="2263"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无道路可通达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419"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运输距离</w:t>
            </w:r>
          </w:p>
        </w:tc>
        <w:tc>
          <w:tcPr>
            <w:tcW w:w="228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1公里以内有交通设施或仓储设施</w:t>
            </w:r>
          </w:p>
        </w:tc>
        <w:tc>
          <w:tcPr>
            <w:tcW w:w="226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2公里以内有交通设施或仓储设施</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3公里以内有交通设施或仓储设施</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5公里以内有交通设施或仓储设施</w:t>
            </w:r>
          </w:p>
        </w:tc>
        <w:tc>
          <w:tcPr>
            <w:tcW w:w="2263"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5公里以内无交通设施或仓储设施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7" w:hRule="atLeast"/>
        </w:trPr>
        <w:tc>
          <w:tcPr>
            <w:tcW w:w="1419"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经营等级</w:t>
            </w:r>
          </w:p>
        </w:tc>
        <w:tc>
          <w:tcPr>
            <w:tcW w:w="4553"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好</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w:t>
            </w:r>
          </w:p>
        </w:tc>
        <w:tc>
          <w:tcPr>
            <w:tcW w:w="4525"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419"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可及度</w:t>
            </w:r>
          </w:p>
        </w:tc>
        <w:tc>
          <w:tcPr>
            <w:tcW w:w="4553"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即可及</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将可及</w:t>
            </w:r>
          </w:p>
        </w:tc>
        <w:tc>
          <w:tcPr>
            <w:tcW w:w="4525"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不可及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1419"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自然因素</w:t>
            </w: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坡度(°)</w:t>
            </w:r>
          </w:p>
        </w:tc>
        <w:tc>
          <w:tcPr>
            <w:tcW w:w="228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＜5</w:t>
            </w:r>
          </w:p>
        </w:tc>
        <w:tc>
          <w:tcPr>
            <w:tcW w:w="226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18"/>
                <w:szCs w:val="18"/>
              </w:rPr>
              <w:t>[</w:t>
            </w:r>
            <w:r>
              <w:rPr>
                <w:rFonts w:hint="default" w:ascii="Times New Roman" w:hAnsi="Times New Roman" w:eastAsia="方正仿宋_GBK" w:cs="Times New Roman"/>
                <w:color w:val="000000"/>
                <w:kern w:val="0"/>
                <w:sz w:val="20"/>
                <w:szCs w:val="20"/>
              </w:rPr>
              <w:t>5～15）</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18"/>
                <w:szCs w:val="18"/>
              </w:rPr>
              <w:t>[</w:t>
            </w:r>
            <w:r>
              <w:rPr>
                <w:rFonts w:hint="default" w:ascii="Times New Roman" w:hAnsi="Times New Roman" w:eastAsia="方正仿宋_GBK" w:cs="Times New Roman"/>
                <w:color w:val="000000"/>
                <w:kern w:val="0"/>
                <w:sz w:val="20"/>
                <w:szCs w:val="20"/>
              </w:rPr>
              <w:t>15～25）</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18"/>
                <w:szCs w:val="18"/>
              </w:rPr>
              <w:t>[</w:t>
            </w:r>
            <w:r>
              <w:rPr>
                <w:rFonts w:hint="default" w:ascii="Times New Roman" w:hAnsi="Times New Roman" w:eastAsia="方正仿宋_GBK" w:cs="Times New Roman"/>
                <w:color w:val="000000"/>
                <w:kern w:val="0"/>
                <w:sz w:val="20"/>
                <w:szCs w:val="20"/>
              </w:rPr>
              <w:t>25～35）</w:t>
            </w:r>
          </w:p>
        </w:tc>
        <w:tc>
          <w:tcPr>
            <w:tcW w:w="2263"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419"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坡位</w:t>
            </w:r>
          </w:p>
        </w:tc>
        <w:tc>
          <w:tcPr>
            <w:tcW w:w="228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平地</w:t>
            </w:r>
          </w:p>
        </w:tc>
        <w:tc>
          <w:tcPr>
            <w:tcW w:w="226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谷</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下、全坡</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中</w:t>
            </w:r>
          </w:p>
        </w:tc>
        <w:tc>
          <w:tcPr>
            <w:tcW w:w="2263"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上、脊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trPr>
        <w:tc>
          <w:tcPr>
            <w:tcW w:w="1419"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坡向</w:t>
            </w:r>
          </w:p>
        </w:tc>
        <w:tc>
          <w:tcPr>
            <w:tcW w:w="228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阳坡</w:t>
            </w:r>
          </w:p>
        </w:tc>
        <w:tc>
          <w:tcPr>
            <w:tcW w:w="226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半阳坡</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半阴坡</w:t>
            </w:r>
          </w:p>
        </w:tc>
        <w:tc>
          <w:tcPr>
            <w:tcW w:w="2263"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阴坡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419"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土层厚度</w:t>
            </w:r>
          </w:p>
        </w:tc>
        <w:tc>
          <w:tcPr>
            <w:tcW w:w="4553"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≥80cm（厚层土）</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40～80cm（中层土）</w:t>
            </w:r>
          </w:p>
        </w:tc>
        <w:tc>
          <w:tcPr>
            <w:tcW w:w="4525"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＜40cm（薄层土）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1419"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腐殖质厚度</w:t>
            </w:r>
          </w:p>
        </w:tc>
        <w:tc>
          <w:tcPr>
            <w:tcW w:w="4553"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阔叶林</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针叶林</w:t>
            </w:r>
          </w:p>
        </w:tc>
        <w:tc>
          <w:tcPr>
            <w:tcW w:w="4525" w:type="dxa"/>
            <w:gridSpan w:val="2"/>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灌木林、其他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trPr>
        <w:tc>
          <w:tcPr>
            <w:tcW w:w="1419"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生态因素</w:t>
            </w:r>
          </w:p>
        </w:tc>
        <w:tc>
          <w:tcPr>
            <w:tcW w:w="1536"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生产潜力系数</w:t>
            </w:r>
          </w:p>
        </w:tc>
        <w:tc>
          <w:tcPr>
            <w:tcW w:w="2285"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0"/>
                <w:szCs w:val="20"/>
              </w:rPr>
              <w:t>≥2.3</w:t>
            </w:r>
          </w:p>
        </w:tc>
        <w:tc>
          <w:tcPr>
            <w:tcW w:w="2268"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18"/>
                <w:szCs w:val="18"/>
              </w:rPr>
              <w:t>[</w:t>
            </w:r>
            <w:r>
              <w:rPr>
                <w:rFonts w:hint="default" w:ascii="Times New Roman" w:hAnsi="Times New Roman" w:eastAsia="方正仿宋_GBK" w:cs="Times New Roman"/>
                <w:color w:val="000000"/>
                <w:sz w:val="20"/>
                <w:szCs w:val="20"/>
              </w:rPr>
              <w:t>1.50～2.3</w:t>
            </w:r>
            <w:r>
              <w:rPr>
                <w:rFonts w:hint="default" w:ascii="Times New Roman" w:hAnsi="Times New Roman" w:eastAsia="方正仿宋_GBK" w:cs="Times New Roman"/>
                <w:color w:val="000000"/>
                <w:kern w:val="0"/>
                <w:sz w:val="20"/>
                <w:szCs w:val="20"/>
              </w:rPr>
              <w:t>）</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18"/>
                <w:szCs w:val="18"/>
              </w:rPr>
              <w:t>[</w:t>
            </w:r>
            <w:r>
              <w:rPr>
                <w:rFonts w:hint="default" w:ascii="Times New Roman" w:hAnsi="Times New Roman" w:eastAsia="方正仿宋_GBK" w:cs="Times New Roman"/>
                <w:color w:val="000000"/>
                <w:sz w:val="20"/>
                <w:szCs w:val="20"/>
              </w:rPr>
              <w:t>1.05～1.5</w:t>
            </w:r>
            <w:r>
              <w:rPr>
                <w:rFonts w:hint="default" w:ascii="Times New Roman" w:hAnsi="Times New Roman" w:eastAsia="方正仿宋_GBK" w:cs="Times New Roman"/>
                <w:color w:val="000000"/>
                <w:kern w:val="0"/>
                <w:sz w:val="20"/>
                <w:szCs w:val="20"/>
              </w:rPr>
              <w:t>）</w:t>
            </w:r>
          </w:p>
        </w:tc>
        <w:tc>
          <w:tcPr>
            <w:tcW w:w="2262"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18"/>
                <w:szCs w:val="18"/>
              </w:rPr>
              <w:t>[</w:t>
            </w:r>
            <w:r>
              <w:rPr>
                <w:rFonts w:hint="default" w:ascii="Times New Roman" w:hAnsi="Times New Roman" w:eastAsia="方正仿宋_GBK" w:cs="Times New Roman"/>
                <w:color w:val="000000"/>
                <w:sz w:val="20"/>
                <w:szCs w:val="20"/>
              </w:rPr>
              <w:t>0.55～1.05</w:t>
            </w:r>
            <w:r>
              <w:rPr>
                <w:rFonts w:hint="default" w:ascii="Times New Roman" w:hAnsi="Times New Roman" w:eastAsia="方正仿宋_GBK" w:cs="Times New Roman"/>
                <w:color w:val="000000"/>
                <w:kern w:val="0"/>
                <w:sz w:val="20"/>
                <w:szCs w:val="20"/>
              </w:rPr>
              <w:t>）</w:t>
            </w:r>
          </w:p>
        </w:tc>
        <w:tc>
          <w:tcPr>
            <w:tcW w:w="2263" w:type="dxa"/>
            <w:shd w:val="clear" w:color="auto" w:fill="auto"/>
            <w:vAlign w:val="center"/>
          </w:tcPr>
          <w:p>
            <w:pPr>
              <w:widowControl/>
              <w:spacing w:line="240" w:lineRule="auto"/>
              <w:ind w:firstLine="0" w:firstLineChars="0"/>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sz w:val="20"/>
                <w:szCs w:val="20"/>
              </w:rPr>
              <w:t>&lt;0.55</w:t>
            </w:r>
          </w:p>
        </w:tc>
      </w:tr>
      <w:bookmarkEnd w:id="18"/>
    </w:tbl>
    <w:p>
      <w:pPr>
        <w:widowControl/>
        <w:spacing w:line="240" w:lineRule="auto"/>
        <w:ind w:firstLine="0" w:firstLineChars="0"/>
        <w:jc w:val="center"/>
        <w:rPr>
          <w:b/>
          <w:sz w:val="22"/>
          <w:szCs w:val="22"/>
        </w:rPr>
      </w:pPr>
    </w:p>
    <w:p>
      <w:pPr>
        <w:widowControl/>
        <w:spacing w:line="240" w:lineRule="auto"/>
        <w:ind w:firstLine="0" w:firstLineChars="0"/>
        <w:jc w:val="center"/>
        <w:rPr>
          <w:b/>
          <w:sz w:val="22"/>
          <w:szCs w:val="22"/>
        </w:rPr>
      </w:pPr>
    </w:p>
    <w:p>
      <w:pPr>
        <w:widowControl/>
        <w:spacing w:line="240" w:lineRule="auto"/>
        <w:ind w:firstLine="0" w:firstLineChars="0"/>
        <w:jc w:val="center"/>
        <w:rPr>
          <w:rFonts w:ascii="方正小标宋_GBK" w:hAnsi="仿宋" w:eastAsia="方正小标宋_GBK"/>
          <w:sz w:val="32"/>
          <w:szCs w:val="32"/>
        </w:rPr>
        <w:sectPr>
          <w:pgSz w:w="16840" w:h="11907" w:orient="landscape"/>
          <w:pgMar w:top="1701" w:right="1418" w:bottom="1134" w:left="1134" w:header="851" w:footer="1418" w:gutter="0"/>
          <w:pgNumType w:fmt="decimal"/>
          <w:cols w:space="720" w:num="1"/>
          <w:docGrid w:linePitch="435" w:charSpace="0"/>
        </w:sectPr>
      </w:pPr>
    </w:p>
    <w:p>
      <w:pPr>
        <w:widowControl/>
        <w:spacing w:line="240" w:lineRule="auto"/>
        <w:ind w:firstLine="0" w:firstLineChars="0"/>
        <w:jc w:val="center"/>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林地因素修正系数表</w:t>
      </w:r>
    </w:p>
    <w:p>
      <w:pPr>
        <w:widowControl/>
        <w:spacing w:line="240" w:lineRule="auto"/>
        <w:ind w:firstLine="0" w:firstLineChars="0"/>
        <w:jc w:val="center"/>
        <w:rPr>
          <w:rFonts w:hint="eastAsia" w:ascii="方正小标宋_GBK" w:hAnsi="方正小标宋_GBK" w:eastAsia="方正小标宋_GBK" w:cs="方正小标宋_GBK"/>
          <w:b w:val="0"/>
          <w:bCs/>
          <w:sz w:val="32"/>
          <w:szCs w:val="32"/>
        </w:rPr>
      </w:pPr>
    </w:p>
    <w:tbl>
      <w:tblPr>
        <w:tblStyle w:val="15"/>
        <w:tblW w:w="150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327"/>
        <w:gridCol w:w="629"/>
        <w:gridCol w:w="642"/>
        <w:gridCol w:w="599"/>
        <w:gridCol w:w="623"/>
        <w:gridCol w:w="671"/>
        <w:gridCol w:w="499"/>
        <w:gridCol w:w="613"/>
        <w:gridCol w:w="599"/>
        <w:gridCol w:w="623"/>
        <w:gridCol w:w="707"/>
        <w:gridCol w:w="611"/>
        <w:gridCol w:w="613"/>
        <w:gridCol w:w="599"/>
        <w:gridCol w:w="627"/>
        <w:gridCol w:w="671"/>
        <w:gridCol w:w="581"/>
        <w:gridCol w:w="613"/>
        <w:gridCol w:w="599"/>
        <w:gridCol w:w="627"/>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348"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spacing w:val="-11"/>
                <w:kern w:val="0"/>
                <w:sz w:val="21"/>
                <w:szCs w:val="21"/>
              </w:rPr>
            </w:pPr>
            <w:r>
              <w:rPr>
                <w:rFonts w:hint="eastAsia" w:ascii="方正黑体_GBK" w:hAnsi="方正黑体_GBK" w:eastAsia="方正黑体_GBK" w:cs="方正黑体_GBK"/>
                <w:color w:val="000000"/>
                <w:spacing w:val="-11"/>
                <w:kern w:val="0"/>
                <w:sz w:val="21"/>
                <w:szCs w:val="21"/>
              </w:rPr>
              <w:t>社会经济因素</w:t>
            </w:r>
          </w:p>
        </w:tc>
        <w:tc>
          <w:tcPr>
            <w:tcW w:w="1327"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因素体系</w:t>
            </w:r>
          </w:p>
        </w:tc>
        <w:tc>
          <w:tcPr>
            <w:tcW w:w="12417" w:type="dxa"/>
            <w:gridSpan w:val="20"/>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3164" w:type="dxa"/>
            <w:gridSpan w:val="5"/>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1级地</w:t>
            </w:r>
          </w:p>
        </w:tc>
        <w:tc>
          <w:tcPr>
            <w:tcW w:w="3041" w:type="dxa"/>
            <w:gridSpan w:val="5"/>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2级地</w:t>
            </w:r>
          </w:p>
        </w:tc>
        <w:tc>
          <w:tcPr>
            <w:tcW w:w="3121" w:type="dxa"/>
            <w:gridSpan w:val="5"/>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3级地</w:t>
            </w:r>
          </w:p>
        </w:tc>
        <w:tc>
          <w:tcPr>
            <w:tcW w:w="3091" w:type="dxa"/>
            <w:gridSpan w:val="5"/>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4级地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629"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优</w:t>
            </w:r>
          </w:p>
        </w:tc>
        <w:tc>
          <w:tcPr>
            <w:tcW w:w="642"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较优</w:t>
            </w:r>
          </w:p>
        </w:tc>
        <w:tc>
          <w:tcPr>
            <w:tcW w:w="599"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一般</w:t>
            </w:r>
          </w:p>
        </w:tc>
        <w:tc>
          <w:tcPr>
            <w:tcW w:w="623"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较劣</w:t>
            </w:r>
          </w:p>
        </w:tc>
        <w:tc>
          <w:tcPr>
            <w:tcW w:w="671"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劣</w:t>
            </w:r>
          </w:p>
        </w:tc>
        <w:tc>
          <w:tcPr>
            <w:tcW w:w="499"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优</w:t>
            </w:r>
          </w:p>
        </w:tc>
        <w:tc>
          <w:tcPr>
            <w:tcW w:w="613"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较优</w:t>
            </w:r>
          </w:p>
        </w:tc>
        <w:tc>
          <w:tcPr>
            <w:tcW w:w="599"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一般</w:t>
            </w:r>
          </w:p>
        </w:tc>
        <w:tc>
          <w:tcPr>
            <w:tcW w:w="623"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较劣</w:t>
            </w:r>
          </w:p>
        </w:tc>
        <w:tc>
          <w:tcPr>
            <w:tcW w:w="70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劣</w:t>
            </w:r>
          </w:p>
        </w:tc>
        <w:tc>
          <w:tcPr>
            <w:tcW w:w="611"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优</w:t>
            </w:r>
          </w:p>
        </w:tc>
        <w:tc>
          <w:tcPr>
            <w:tcW w:w="613"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较优</w:t>
            </w:r>
          </w:p>
        </w:tc>
        <w:tc>
          <w:tcPr>
            <w:tcW w:w="599"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一般</w:t>
            </w:r>
          </w:p>
        </w:tc>
        <w:tc>
          <w:tcPr>
            <w:tcW w:w="62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较劣</w:t>
            </w:r>
          </w:p>
        </w:tc>
        <w:tc>
          <w:tcPr>
            <w:tcW w:w="671"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劣</w:t>
            </w:r>
          </w:p>
        </w:tc>
        <w:tc>
          <w:tcPr>
            <w:tcW w:w="581"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优</w:t>
            </w:r>
          </w:p>
        </w:tc>
        <w:tc>
          <w:tcPr>
            <w:tcW w:w="613"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较优</w:t>
            </w:r>
          </w:p>
        </w:tc>
        <w:tc>
          <w:tcPr>
            <w:tcW w:w="599"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一般</w:t>
            </w:r>
          </w:p>
        </w:tc>
        <w:tc>
          <w:tcPr>
            <w:tcW w:w="62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较劣</w:t>
            </w:r>
          </w:p>
        </w:tc>
        <w:tc>
          <w:tcPr>
            <w:tcW w:w="671"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集材距离</w:t>
            </w:r>
          </w:p>
        </w:tc>
        <w:tc>
          <w:tcPr>
            <w:tcW w:w="62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1.56</w:t>
            </w:r>
          </w:p>
        </w:tc>
        <w:tc>
          <w:tcPr>
            <w:tcW w:w="64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0.78</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-0.53</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-1.06</w:t>
            </w:r>
          </w:p>
        </w:tc>
        <w:tc>
          <w:tcPr>
            <w:tcW w:w="4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11"/>
                <w:kern w:val="0"/>
                <w:sz w:val="18"/>
                <w:szCs w:val="18"/>
              </w:rPr>
            </w:pPr>
            <w:r>
              <w:rPr>
                <w:rFonts w:hint="eastAsia" w:asciiTheme="majorEastAsia" w:hAnsiTheme="majorEastAsia" w:eastAsiaTheme="majorEastAsia" w:cstheme="majorEastAsia"/>
                <w:color w:val="000000"/>
                <w:spacing w:val="-11"/>
                <w:kern w:val="0"/>
                <w:sz w:val="18"/>
                <w:szCs w:val="18"/>
              </w:rPr>
              <w:t>1.35</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0.68</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w:t>
            </w:r>
          </w:p>
        </w:tc>
        <w:tc>
          <w:tcPr>
            <w:tcW w:w="70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w:t>
            </w:r>
          </w:p>
        </w:tc>
        <w:tc>
          <w:tcPr>
            <w:tcW w:w="61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1.25</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0.63</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-0.51</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-1.01</w:t>
            </w:r>
          </w:p>
        </w:tc>
        <w:tc>
          <w:tcPr>
            <w:tcW w:w="5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1.13</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0.57</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-0.63</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运输距离</w:t>
            </w:r>
          </w:p>
        </w:tc>
        <w:tc>
          <w:tcPr>
            <w:tcW w:w="62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1.56</w:t>
            </w:r>
          </w:p>
        </w:tc>
        <w:tc>
          <w:tcPr>
            <w:tcW w:w="64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0.78</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-0.53</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-1.06</w:t>
            </w:r>
          </w:p>
        </w:tc>
        <w:tc>
          <w:tcPr>
            <w:tcW w:w="4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11"/>
                <w:kern w:val="0"/>
                <w:sz w:val="18"/>
                <w:szCs w:val="18"/>
              </w:rPr>
            </w:pPr>
            <w:r>
              <w:rPr>
                <w:rFonts w:hint="eastAsia" w:asciiTheme="majorEastAsia" w:hAnsiTheme="majorEastAsia" w:eastAsiaTheme="majorEastAsia" w:cstheme="majorEastAsia"/>
                <w:color w:val="000000"/>
                <w:spacing w:val="-11"/>
                <w:kern w:val="0"/>
                <w:sz w:val="18"/>
                <w:szCs w:val="18"/>
              </w:rPr>
              <w:t>1.35</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0.68</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w:t>
            </w:r>
          </w:p>
        </w:tc>
        <w:tc>
          <w:tcPr>
            <w:tcW w:w="70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w:t>
            </w:r>
          </w:p>
        </w:tc>
        <w:tc>
          <w:tcPr>
            <w:tcW w:w="61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1.25</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0.63</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-0.51</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-1.01</w:t>
            </w:r>
          </w:p>
        </w:tc>
        <w:tc>
          <w:tcPr>
            <w:tcW w:w="5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1.13</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0.57</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-0.63</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经营等级</w:t>
            </w:r>
          </w:p>
        </w:tc>
        <w:tc>
          <w:tcPr>
            <w:tcW w:w="1271"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0.53</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-0.34</w:t>
            </w:r>
          </w:p>
        </w:tc>
        <w:tc>
          <w:tcPr>
            <w:tcW w:w="1112"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0.45</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330"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-0.33</w:t>
            </w:r>
          </w:p>
        </w:tc>
        <w:tc>
          <w:tcPr>
            <w:tcW w:w="122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0.45</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8"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-0.36</w:t>
            </w:r>
          </w:p>
        </w:tc>
        <w:tc>
          <w:tcPr>
            <w:tcW w:w="119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0.41</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8"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可及度</w:t>
            </w:r>
          </w:p>
        </w:tc>
        <w:tc>
          <w:tcPr>
            <w:tcW w:w="1271"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1.39</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-0.94</w:t>
            </w:r>
          </w:p>
        </w:tc>
        <w:tc>
          <w:tcPr>
            <w:tcW w:w="1112"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330"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-0.89</w:t>
            </w:r>
          </w:p>
        </w:tc>
        <w:tc>
          <w:tcPr>
            <w:tcW w:w="122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1.11</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8"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-0.9</w:t>
            </w:r>
          </w:p>
        </w:tc>
        <w:tc>
          <w:tcPr>
            <w:tcW w:w="119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8"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348"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自然因素</w:t>
            </w: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坡度(°)</w:t>
            </w:r>
          </w:p>
        </w:tc>
        <w:tc>
          <w:tcPr>
            <w:tcW w:w="62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1.72</w:t>
            </w:r>
          </w:p>
        </w:tc>
        <w:tc>
          <w:tcPr>
            <w:tcW w:w="64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0.86</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11"/>
                <w:kern w:val="0"/>
                <w:sz w:val="18"/>
                <w:szCs w:val="18"/>
              </w:rPr>
            </w:pPr>
            <w:r>
              <w:rPr>
                <w:rFonts w:hint="eastAsia" w:asciiTheme="majorEastAsia" w:hAnsiTheme="majorEastAsia" w:eastAsiaTheme="majorEastAsia" w:cstheme="majorEastAsia"/>
                <w:color w:val="000000"/>
                <w:spacing w:val="-11"/>
                <w:kern w:val="0"/>
                <w:sz w:val="18"/>
                <w:szCs w:val="18"/>
              </w:rPr>
              <w:t>-0.61</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-1.21</w:t>
            </w:r>
          </w:p>
        </w:tc>
        <w:tc>
          <w:tcPr>
            <w:tcW w:w="4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1.5</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0.75</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-0.57</w:t>
            </w:r>
          </w:p>
        </w:tc>
        <w:tc>
          <w:tcPr>
            <w:tcW w:w="70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-1.13</w:t>
            </w:r>
          </w:p>
        </w:tc>
        <w:tc>
          <w:tcPr>
            <w:tcW w:w="61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1.33</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0.67</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-0.54</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-1.08</w:t>
            </w:r>
          </w:p>
        </w:tc>
        <w:tc>
          <w:tcPr>
            <w:tcW w:w="5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1.22</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0.61</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-0.7</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坡位</w:t>
            </w:r>
          </w:p>
        </w:tc>
        <w:tc>
          <w:tcPr>
            <w:tcW w:w="62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1.39</w:t>
            </w:r>
          </w:p>
        </w:tc>
        <w:tc>
          <w:tcPr>
            <w:tcW w:w="64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0.7</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11"/>
                <w:kern w:val="0"/>
                <w:sz w:val="18"/>
                <w:szCs w:val="18"/>
              </w:rPr>
            </w:pPr>
            <w:r>
              <w:rPr>
                <w:rFonts w:hint="eastAsia" w:asciiTheme="majorEastAsia" w:hAnsiTheme="majorEastAsia" w:eastAsiaTheme="majorEastAsia" w:cstheme="majorEastAsia"/>
                <w:color w:val="000000"/>
                <w:spacing w:val="-11"/>
                <w:kern w:val="0"/>
                <w:sz w:val="18"/>
                <w:szCs w:val="18"/>
              </w:rPr>
              <w:t>-0.47</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-0.94</w:t>
            </w:r>
          </w:p>
        </w:tc>
        <w:tc>
          <w:tcPr>
            <w:tcW w:w="4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-0.45</w:t>
            </w:r>
          </w:p>
        </w:tc>
        <w:tc>
          <w:tcPr>
            <w:tcW w:w="70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-0.89</w:t>
            </w:r>
          </w:p>
        </w:tc>
        <w:tc>
          <w:tcPr>
            <w:tcW w:w="61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1.11</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0.56</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-0.45</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-0.9</w:t>
            </w:r>
          </w:p>
        </w:tc>
        <w:tc>
          <w:tcPr>
            <w:tcW w:w="5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-0.56</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坡向</w:t>
            </w:r>
          </w:p>
        </w:tc>
        <w:tc>
          <w:tcPr>
            <w:tcW w:w="62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1.39</w:t>
            </w:r>
          </w:p>
        </w:tc>
        <w:tc>
          <w:tcPr>
            <w:tcW w:w="64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0.7</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11"/>
                <w:kern w:val="0"/>
                <w:sz w:val="18"/>
                <w:szCs w:val="18"/>
              </w:rPr>
            </w:pPr>
            <w:r>
              <w:rPr>
                <w:rFonts w:hint="eastAsia" w:asciiTheme="majorEastAsia" w:hAnsiTheme="majorEastAsia" w:eastAsiaTheme="majorEastAsia" w:cstheme="majorEastAsia"/>
                <w:color w:val="000000"/>
                <w:spacing w:val="-11"/>
                <w:kern w:val="0"/>
                <w:sz w:val="18"/>
                <w:szCs w:val="18"/>
              </w:rPr>
              <w:t>-0.47</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-0.94</w:t>
            </w:r>
          </w:p>
        </w:tc>
        <w:tc>
          <w:tcPr>
            <w:tcW w:w="4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-0.45</w:t>
            </w:r>
          </w:p>
        </w:tc>
        <w:tc>
          <w:tcPr>
            <w:tcW w:w="70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-0.89</w:t>
            </w:r>
          </w:p>
        </w:tc>
        <w:tc>
          <w:tcPr>
            <w:tcW w:w="61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1.11</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0.56</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-0.45</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-0.9</w:t>
            </w:r>
          </w:p>
        </w:tc>
        <w:tc>
          <w:tcPr>
            <w:tcW w:w="5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-0.56</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土层厚度</w:t>
            </w:r>
          </w:p>
        </w:tc>
        <w:tc>
          <w:tcPr>
            <w:tcW w:w="1271"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2.78</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-1.89</w:t>
            </w:r>
          </w:p>
        </w:tc>
        <w:tc>
          <w:tcPr>
            <w:tcW w:w="1112"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2.4</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330"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-1.79</w:t>
            </w:r>
          </w:p>
        </w:tc>
        <w:tc>
          <w:tcPr>
            <w:tcW w:w="122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2.22</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8"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-1.79</w:t>
            </w:r>
          </w:p>
        </w:tc>
        <w:tc>
          <w:tcPr>
            <w:tcW w:w="119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2.01</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8"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atLeast"/>
          <w:jc w:val="center"/>
        </w:trPr>
        <w:tc>
          <w:tcPr>
            <w:tcW w:w="1348"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spacing w:val="-17"/>
                <w:kern w:val="0"/>
                <w:sz w:val="21"/>
                <w:szCs w:val="21"/>
              </w:rPr>
              <w:t>腐殖质厚度</w:t>
            </w:r>
          </w:p>
        </w:tc>
        <w:tc>
          <w:tcPr>
            <w:tcW w:w="1271"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1.74</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-1.18</w:t>
            </w:r>
          </w:p>
        </w:tc>
        <w:tc>
          <w:tcPr>
            <w:tcW w:w="1112"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1.5</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330"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-1.12</w:t>
            </w:r>
          </w:p>
        </w:tc>
        <w:tc>
          <w:tcPr>
            <w:tcW w:w="122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1.39</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8"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-1.12</w:t>
            </w:r>
          </w:p>
        </w:tc>
        <w:tc>
          <w:tcPr>
            <w:tcW w:w="1194"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1.25</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1298" w:type="dxa"/>
            <w:gridSpan w:val="2"/>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2" w:hRule="atLeast"/>
          <w:jc w:val="center"/>
        </w:trPr>
        <w:tc>
          <w:tcPr>
            <w:tcW w:w="1348"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生态因素</w:t>
            </w:r>
          </w:p>
        </w:tc>
        <w:tc>
          <w:tcPr>
            <w:tcW w:w="132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生产潜力系数</w:t>
            </w:r>
          </w:p>
        </w:tc>
        <w:tc>
          <w:tcPr>
            <w:tcW w:w="62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1.56</w:t>
            </w:r>
          </w:p>
        </w:tc>
        <w:tc>
          <w:tcPr>
            <w:tcW w:w="64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0.78</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11"/>
                <w:kern w:val="0"/>
                <w:sz w:val="18"/>
                <w:szCs w:val="18"/>
              </w:rPr>
            </w:pPr>
            <w:r>
              <w:rPr>
                <w:rFonts w:hint="eastAsia" w:asciiTheme="majorEastAsia" w:hAnsiTheme="majorEastAsia" w:eastAsiaTheme="majorEastAsia" w:cstheme="majorEastAsia"/>
                <w:color w:val="000000"/>
                <w:spacing w:val="-11"/>
                <w:kern w:val="0"/>
                <w:sz w:val="18"/>
                <w:szCs w:val="18"/>
              </w:rPr>
              <w:t>-0.53</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-1.06</w:t>
            </w:r>
          </w:p>
        </w:tc>
        <w:tc>
          <w:tcPr>
            <w:tcW w:w="4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11"/>
                <w:kern w:val="0"/>
                <w:sz w:val="18"/>
                <w:szCs w:val="18"/>
              </w:rPr>
            </w:pPr>
            <w:r>
              <w:rPr>
                <w:rFonts w:hint="eastAsia" w:asciiTheme="majorEastAsia" w:hAnsiTheme="majorEastAsia" w:eastAsiaTheme="majorEastAsia" w:cstheme="majorEastAsia"/>
                <w:color w:val="000000"/>
                <w:spacing w:val="-11"/>
                <w:kern w:val="0"/>
                <w:sz w:val="18"/>
                <w:szCs w:val="18"/>
              </w:rPr>
              <w:t>1.35</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0.68</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w:t>
            </w:r>
          </w:p>
        </w:tc>
        <w:tc>
          <w:tcPr>
            <w:tcW w:w="70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w:t>
            </w:r>
          </w:p>
        </w:tc>
        <w:tc>
          <w:tcPr>
            <w:tcW w:w="61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1.25</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0.63</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-0.51</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-1.01</w:t>
            </w:r>
          </w:p>
        </w:tc>
        <w:tc>
          <w:tcPr>
            <w:tcW w:w="5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1.13</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0.57</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-0.63</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jc w:val="center"/>
        </w:trPr>
        <w:tc>
          <w:tcPr>
            <w:tcW w:w="2675" w:type="dxa"/>
            <w:gridSpan w:val="2"/>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合计</w:t>
            </w:r>
          </w:p>
        </w:tc>
        <w:tc>
          <w:tcPr>
            <w:tcW w:w="62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15.62</w:t>
            </w:r>
          </w:p>
        </w:tc>
        <w:tc>
          <w:tcPr>
            <w:tcW w:w="642"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11.04</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11"/>
                <w:kern w:val="0"/>
                <w:sz w:val="18"/>
                <w:szCs w:val="18"/>
              </w:rPr>
            </w:pPr>
            <w:r>
              <w:rPr>
                <w:rFonts w:hint="eastAsia" w:asciiTheme="majorEastAsia" w:hAnsiTheme="majorEastAsia" w:eastAsiaTheme="majorEastAsia" w:cstheme="majorEastAsia"/>
                <w:color w:val="000000"/>
                <w:spacing w:val="-11"/>
                <w:kern w:val="0"/>
                <w:sz w:val="18"/>
                <w:szCs w:val="18"/>
              </w:rPr>
              <w:t>-7.49</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spacing w:val="-11"/>
                <w:kern w:val="0"/>
                <w:sz w:val="18"/>
                <w:szCs w:val="18"/>
              </w:rPr>
              <w:t>-10.62</w:t>
            </w:r>
          </w:p>
        </w:tc>
        <w:tc>
          <w:tcPr>
            <w:tcW w:w="4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11"/>
                <w:kern w:val="0"/>
                <w:sz w:val="18"/>
                <w:szCs w:val="18"/>
              </w:rPr>
            </w:pPr>
            <w:r>
              <w:rPr>
                <w:rFonts w:hint="eastAsia" w:asciiTheme="majorEastAsia" w:hAnsiTheme="majorEastAsia" w:eastAsiaTheme="majorEastAsia" w:cstheme="majorEastAsia"/>
                <w:color w:val="000000"/>
                <w:spacing w:val="-11"/>
                <w:kern w:val="0"/>
                <w:sz w:val="18"/>
                <w:szCs w:val="18"/>
              </w:rPr>
              <w:t>13.5</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9.54</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-7.1</w:t>
            </w:r>
          </w:p>
        </w:tc>
        <w:tc>
          <w:tcPr>
            <w:tcW w:w="70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-10.04</w:t>
            </w:r>
          </w:p>
        </w:tc>
        <w:tc>
          <w:tcPr>
            <w:tcW w:w="61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12.47</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8.85</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-7.14</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11"/>
                <w:kern w:val="0"/>
                <w:sz w:val="18"/>
                <w:szCs w:val="18"/>
              </w:rPr>
              <w:t>-10.08</w:t>
            </w:r>
          </w:p>
        </w:tc>
        <w:tc>
          <w:tcPr>
            <w:tcW w:w="58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11.28</w:t>
            </w:r>
          </w:p>
        </w:tc>
        <w:tc>
          <w:tcPr>
            <w:tcW w:w="613"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7.99</w:t>
            </w:r>
          </w:p>
        </w:tc>
        <w:tc>
          <w:tcPr>
            <w:tcW w:w="599"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0</w:t>
            </w:r>
          </w:p>
        </w:tc>
        <w:tc>
          <w:tcPr>
            <w:tcW w:w="627"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-8.91</w:t>
            </w:r>
          </w:p>
        </w:tc>
        <w:tc>
          <w:tcPr>
            <w:tcW w:w="671" w:type="dxa"/>
            <w:shd w:val="clear" w:color="auto" w:fill="auto"/>
            <w:vAlign w:val="center"/>
          </w:tcPr>
          <w:p>
            <w:pPr>
              <w:widowControl/>
              <w:spacing w:line="240" w:lineRule="auto"/>
              <w:ind w:firstLine="0" w:firstLineChars="0"/>
              <w:jc w:val="center"/>
              <w:rPr>
                <w:rFonts w:hint="eastAsia" w:asciiTheme="majorEastAsia" w:hAnsiTheme="majorEastAsia" w:eastAsiaTheme="majorEastAsia" w:cstheme="majorEastAsia"/>
                <w:color w:val="000000"/>
                <w:spacing w:val="-6"/>
                <w:kern w:val="0"/>
                <w:sz w:val="18"/>
                <w:szCs w:val="18"/>
              </w:rPr>
            </w:pPr>
            <w:r>
              <w:rPr>
                <w:rFonts w:hint="eastAsia" w:asciiTheme="majorEastAsia" w:hAnsiTheme="majorEastAsia" w:eastAsiaTheme="majorEastAsia" w:cstheme="majorEastAsia"/>
                <w:color w:val="000000"/>
                <w:spacing w:val="-6"/>
                <w:kern w:val="0"/>
                <w:sz w:val="18"/>
                <w:szCs w:val="18"/>
              </w:rPr>
              <w:t>-</w:t>
            </w:r>
            <w:r>
              <w:rPr>
                <w:rFonts w:hint="eastAsia" w:asciiTheme="majorEastAsia" w:hAnsiTheme="majorEastAsia" w:eastAsiaTheme="majorEastAsia" w:cstheme="majorEastAsia"/>
                <w:color w:val="000000"/>
                <w:spacing w:val="-11"/>
                <w:kern w:val="0"/>
                <w:sz w:val="18"/>
                <w:szCs w:val="18"/>
              </w:rPr>
              <w:t>12.62</w:t>
            </w:r>
          </w:p>
        </w:tc>
      </w:tr>
    </w:tbl>
    <w:p>
      <w:pPr>
        <w:widowControl/>
        <w:spacing w:line="240" w:lineRule="auto"/>
        <w:ind w:firstLine="0" w:firstLineChars="0"/>
        <w:jc w:val="center"/>
        <w:rPr>
          <w:b/>
          <w:sz w:val="22"/>
          <w:szCs w:val="22"/>
        </w:rPr>
      </w:pPr>
    </w:p>
    <w:p>
      <w:pPr>
        <w:widowControl/>
        <w:spacing w:line="240" w:lineRule="auto"/>
        <w:ind w:firstLine="0" w:firstLineChars="0"/>
        <w:jc w:val="center"/>
        <w:rPr>
          <w:b/>
          <w:sz w:val="22"/>
          <w:szCs w:val="22"/>
        </w:rPr>
      </w:pPr>
    </w:p>
    <w:p>
      <w:pPr>
        <w:keepNext w:val="0"/>
        <w:keepLines w:val="0"/>
        <w:pageBreakBefore w:val="0"/>
        <w:widowControl w:val="0"/>
        <w:kinsoku/>
        <w:wordWrap/>
        <w:overflowPunct/>
        <w:topLinePunct w:val="0"/>
        <w:autoSpaceDE/>
        <w:autoSpaceDN/>
        <w:bidi w:val="0"/>
        <w:adjustRightInd/>
        <w:snapToGrid/>
        <w:spacing w:line="240" w:lineRule="exact"/>
        <w:ind w:firstLine="0" w:firstLineChars="0"/>
        <w:textAlignment w:val="auto"/>
        <w:rPr>
          <w:rFonts w:ascii="方正小标宋_GBK" w:hAnsi="仿宋" w:eastAsia="方正小标宋_GBK"/>
          <w:b/>
          <w:sz w:val="32"/>
          <w:szCs w:val="32"/>
        </w:rPr>
        <w:sectPr>
          <w:pgSz w:w="16840" w:h="11907" w:orient="landscape"/>
          <w:pgMar w:top="1701" w:right="1418" w:bottom="1134" w:left="1134" w:header="851" w:footer="1418" w:gutter="0"/>
          <w:pgNumType w:fmt="decimal"/>
          <w:cols w:space="720" w:num="1"/>
          <w:docGrid w:linePitch="435" w:charSpace="0"/>
        </w:sectPr>
      </w:pPr>
    </w:p>
    <w:p>
      <w:pPr>
        <w:pageBreakBefore w:val="0"/>
        <w:kinsoku/>
        <w:wordWrap/>
        <w:overflowPunct/>
        <w:topLinePunct w:val="0"/>
        <w:autoSpaceDE/>
        <w:autoSpaceDN/>
        <w:bidi w:val="0"/>
        <w:adjustRightInd/>
        <w:spacing w:line="580" w:lineRule="exact"/>
        <w:textAlignment w:val="auto"/>
        <w:rPr>
          <w:rFonts w:hint="default" w:ascii="Times New Roman" w:hAnsi="Times New Roman" w:eastAsia="方正仿宋_GBK" w:cs="Times New Roman"/>
          <w:sz w:val="32"/>
          <w:szCs w:val="32"/>
        </w:rPr>
      </w:pPr>
      <w:r>
        <w:rPr>
          <w:rFonts w:hint="eastAsia" w:ascii="方正黑体_GBK" w:hAnsi="方正黑体_GBK" w:eastAsia="方正黑体_GBK" w:cs="方正黑体_GBK"/>
          <w:sz w:val="32"/>
          <w:szCs w:val="32"/>
        </w:rPr>
        <w:t>附件</w:t>
      </w:r>
      <w:r>
        <w:rPr>
          <w:rFonts w:hint="default" w:ascii="Times New Roman" w:hAnsi="Times New Roman" w:eastAsia="方正仿宋_GBK" w:cs="Times New Roman"/>
          <w:sz w:val="32"/>
          <w:szCs w:val="32"/>
        </w:rPr>
        <w:t>3</w:t>
      </w:r>
    </w:p>
    <w:p>
      <w:pPr>
        <w:pageBreakBefore w:val="0"/>
        <w:kinsoku/>
        <w:wordWrap/>
        <w:overflowPunct/>
        <w:topLinePunct w:val="0"/>
        <w:autoSpaceDE/>
        <w:autoSpaceDN/>
        <w:bidi w:val="0"/>
        <w:adjustRightInd/>
        <w:spacing w:line="580" w:lineRule="exact"/>
        <w:textAlignment w:val="auto"/>
        <w:rPr>
          <w:rFonts w:hint="default" w:ascii="Times New Roman" w:hAnsi="Times New Roman" w:eastAsia="方正仿宋_GBK" w:cs="Times New Roman"/>
          <w:sz w:val="32"/>
          <w:szCs w:val="32"/>
        </w:rPr>
      </w:pPr>
    </w:p>
    <w:p>
      <w:pPr>
        <w:pageBreakBefore w:val="0"/>
        <w:kinsoku/>
        <w:wordWrap/>
        <w:overflowPunct/>
        <w:topLinePunct w:val="0"/>
        <w:autoSpaceDE/>
        <w:autoSpaceDN/>
        <w:bidi w:val="0"/>
        <w:adjustRightInd/>
        <w:spacing w:line="580" w:lineRule="exact"/>
        <w:jc w:val="center"/>
        <w:textAlignment w:val="auto"/>
        <w:rPr>
          <w:rFonts w:hint="default" w:ascii="Times New Roman" w:hAnsi="Times New Roman" w:eastAsia="方正仿宋_GBK" w:cs="Times New Roman"/>
          <w:sz w:val="44"/>
          <w:szCs w:val="44"/>
          <w:lang w:val="en-US" w:eastAsia="zh-CN"/>
        </w:rPr>
      </w:pPr>
      <w:r>
        <w:rPr>
          <w:rFonts w:hint="eastAsia" w:ascii="方正小标宋_GBK" w:hAnsi="方正小标宋_GBK" w:eastAsia="方正小标宋_GBK" w:cs="方正小标宋_GBK"/>
          <w:sz w:val="44"/>
          <w:szCs w:val="44"/>
          <w:lang w:val="en-US" w:eastAsia="zh-CN"/>
        </w:rPr>
        <w:t>重庆市綦江区草地成果</w:t>
      </w:r>
    </w:p>
    <w:p>
      <w:pPr>
        <w:pStyle w:val="2"/>
        <w:pageBreakBefore w:val="0"/>
        <w:kinsoku/>
        <w:wordWrap/>
        <w:overflowPunct/>
        <w:topLinePunct w:val="0"/>
        <w:autoSpaceDE/>
        <w:autoSpaceDN/>
        <w:bidi w:val="0"/>
        <w:adjustRightInd/>
        <w:spacing w:before="0" w:after="0" w:line="580" w:lineRule="exact"/>
        <w:ind w:firstLine="643"/>
        <w:textAlignment w:val="auto"/>
        <w:rPr>
          <w:rFonts w:hint="eastAsia" w:ascii="方正黑体_GBK" w:hAnsi="方正黑体_GBK" w:eastAsia="方正黑体_GBK" w:cs="方正黑体_GBK"/>
          <w:b w:val="0"/>
          <w:bCs w:val="0"/>
          <w:sz w:val="32"/>
          <w:szCs w:val="32"/>
        </w:rPr>
      </w:pPr>
      <w:bookmarkStart w:id="19" w:name="_Toc169867022"/>
    </w:p>
    <w:p>
      <w:pPr>
        <w:pStyle w:val="2"/>
        <w:pageBreakBefore w:val="0"/>
        <w:kinsoku/>
        <w:wordWrap/>
        <w:overflowPunct/>
        <w:topLinePunct w:val="0"/>
        <w:autoSpaceDE/>
        <w:autoSpaceDN/>
        <w:bidi w:val="0"/>
        <w:adjustRightInd/>
        <w:spacing w:before="0" w:after="0" w:line="580" w:lineRule="exact"/>
        <w:ind w:firstLine="643"/>
        <w:textAlignment w:val="auto"/>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w:t>
      </w:r>
      <w:r>
        <w:rPr>
          <w:rFonts w:hint="eastAsia" w:ascii="方正黑体_GBK" w:hAnsi="方正黑体_GBK" w:eastAsia="方正黑体_GBK" w:cs="方正黑体_GBK"/>
          <w:b w:val="0"/>
          <w:bCs w:val="0"/>
          <w:sz w:val="32"/>
          <w:szCs w:val="32"/>
          <w:lang w:eastAsia="zh-CN"/>
        </w:rPr>
        <w:t>、</w:t>
      </w:r>
      <w:r>
        <w:rPr>
          <w:rFonts w:hint="eastAsia" w:ascii="方正黑体_GBK" w:hAnsi="方正黑体_GBK" w:eastAsia="方正黑体_GBK" w:cs="方正黑体_GBK"/>
          <w:b w:val="0"/>
          <w:bCs w:val="0"/>
          <w:sz w:val="32"/>
          <w:szCs w:val="32"/>
        </w:rPr>
        <w:t>草地基准地价表</w:t>
      </w:r>
      <w:bookmarkEnd w:id="19"/>
    </w:p>
    <w:p>
      <w:pPr>
        <w:pageBreakBefore w:val="0"/>
        <w:widowControl/>
        <w:kinsoku/>
        <w:wordWrap/>
        <w:overflowPunct/>
        <w:topLinePunct w:val="0"/>
        <w:autoSpaceDE/>
        <w:autoSpaceDN/>
        <w:bidi w:val="0"/>
        <w:adjustRightInd/>
        <w:snapToGrid w:val="0"/>
        <w:spacing w:line="580" w:lineRule="exact"/>
        <w:ind w:firstLine="0" w:firstLineChars="0"/>
        <w:jc w:val="center"/>
        <w:textAlignment w:val="auto"/>
        <w:rPr>
          <w:rFonts w:hint="eastAsia" w:ascii="方正黑体_GBK" w:hAnsi="方正黑体_GBK" w:eastAsia="方正黑体_GBK" w:cs="方正黑体_GBK"/>
          <w:b w:val="0"/>
          <w:bCs w:val="0"/>
          <w:kern w:val="0"/>
          <w:sz w:val="32"/>
          <w:szCs w:val="32"/>
        </w:rPr>
      </w:pPr>
      <w:r>
        <w:rPr>
          <w:rFonts w:hint="eastAsia" w:ascii="方正黑体_GBK" w:hAnsi="方正黑体_GBK" w:eastAsia="方正黑体_GBK" w:cs="方正黑体_GBK"/>
          <w:b w:val="0"/>
          <w:bCs w:val="0"/>
          <w:kern w:val="0"/>
          <w:sz w:val="32"/>
          <w:szCs w:val="32"/>
        </w:rPr>
        <w:t>草地基准地价表</w:t>
      </w:r>
    </w:p>
    <w:p>
      <w:pPr>
        <w:spacing w:line="240" w:lineRule="auto"/>
        <w:ind w:right="480" w:firstLine="0" w:firstLineChars="0"/>
        <w:jc w:val="right"/>
        <w:rPr>
          <w:rFonts w:ascii="方正小标宋_GBK" w:hAnsi="仿宋" w:eastAsia="方正小标宋_GBK"/>
          <w:sz w:val="36"/>
          <w:szCs w:val="36"/>
        </w:rPr>
      </w:pPr>
      <w:r>
        <w:rPr>
          <w:rFonts w:hint="eastAsia" w:ascii="方正仿宋_GBK" w:eastAsia="方正仿宋_GBK"/>
          <w:kern w:val="0"/>
          <w:sz w:val="24"/>
          <w:szCs w:val="24"/>
        </w:rPr>
        <w:t>元/亩</w:t>
      </w:r>
    </w:p>
    <w:tbl>
      <w:tblPr>
        <w:tblStyle w:val="15"/>
        <w:tblW w:w="85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
      <w:tblGrid>
        <w:gridCol w:w="2867"/>
        <w:gridCol w:w="5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549" w:hRule="atLeast"/>
          <w:jc w:val="center"/>
        </w:trPr>
        <w:tc>
          <w:tcPr>
            <w:tcW w:w="2867"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级别</w:t>
            </w:r>
          </w:p>
        </w:tc>
        <w:tc>
          <w:tcPr>
            <w:tcW w:w="5712"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32"/>
                <w:szCs w:val="32"/>
              </w:rPr>
            </w:pPr>
            <w:r>
              <w:rPr>
                <w:rFonts w:hint="eastAsia" w:ascii="方正黑体_GBK" w:hAnsi="方正黑体_GBK" w:eastAsia="方正黑体_GBK" w:cs="方正黑体_GBK"/>
                <w:kern w:val="0"/>
                <w:sz w:val="32"/>
                <w:szCs w:val="32"/>
              </w:rPr>
              <w:t>其他草地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540" w:hRule="atLeast"/>
          <w:jc w:val="center"/>
        </w:trPr>
        <w:tc>
          <w:tcPr>
            <w:tcW w:w="2867"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1</w:t>
            </w:r>
          </w:p>
        </w:tc>
        <w:tc>
          <w:tcPr>
            <w:tcW w:w="5712"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540" w:hRule="atLeast"/>
          <w:jc w:val="center"/>
        </w:trPr>
        <w:tc>
          <w:tcPr>
            <w:tcW w:w="2867"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2</w:t>
            </w:r>
          </w:p>
        </w:tc>
        <w:tc>
          <w:tcPr>
            <w:tcW w:w="5712"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650" w:hRule="atLeast"/>
          <w:jc w:val="center"/>
        </w:trPr>
        <w:tc>
          <w:tcPr>
            <w:tcW w:w="8579" w:type="dxa"/>
            <w:gridSpan w:val="2"/>
            <w:vMerge w:val="restart"/>
            <w:shd w:val="clear" w:color="auto" w:fill="auto"/>
          </w:tcPr>
          <w:p>
            <w:pPr>
              <w:keepNext w:val="0"/>
              <w:keepLines w:val="0"/>
              <w:pageBreakBefore w:val="0"/>
              <w:widowControl/>
              <w:kinsoku/>
              <w:wordWrap/>
              <w:overflowPunct/>
              <w:topLinePunct w:val="0"/>
              <w:autoSpaceDE/>
              <w:autoSpaceDN/>
              <w:bidi w:val="0"/>
              <w:adjustRightInd/>
              <w:snapToGrid w:val="0"/>
              <w:spacing w:line="576"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1</w:t>
            </w:r>
            <w:r>
              <w:rPr>
                <w:rFonts w:hint="default" w:ascii="Times New Roman" w:hAnsi="Times New Roman" w:eastAsia="方正仿宋_GBK" w:cs="Times New Roman"/>
                <w:b w:val="0"/>
              </w:rPr>
              <w:t>．</w:t>
            </w:r>
            <w:r>
              <w:rPr>
                <w:rFonts w:hint="default" w:ascii="Times New Roman" w:hAnsi="Times New Roman" w:eastAsia="方正仿宋_GBK" w:cs="Times New Roman"/>
                <w:kern w:val="0"/>
                <w:sz w:val="32"/>
                <w:szCs w:val="32"/>
              </w:rPr>
              <w:t>实体类型：草地土地价值，不包含地上附着物和定着物的价值</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576"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2</w:t>
            </w:r>
            <w:r>
              <w:rPr>
                <w:rFonts w:hint="default" w:ascii="Times New Roman" w:hAnsi="Times New Roman" w:eastAsia="方正仿宋_GBK" w:cs="Times New Roman"/>
                <w:b w:val="0"/>
              </w:rPr>
              <w:t>．</w:t>
            </w:r>
            <w:r>
              <w:rPr>
                <w:rFonts w:hint="default" w:ascii="Times New Roman" w:hAnsi="Times New Roman" w:eastAsia="方正仿宋_GBK" w:cs="Times New Roman"/>
                <w:kern w:val="0"/>
                <w:sz w:val="32"/>
                <w:szCs w:val="32"/>
              </w:rPr>
              <w:t>土地权利：承包经营权</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576"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3</w:t>
            </w:r>
            <w:r>
              <w:rPr>
                <w:rFonts w:hint="default" w:ascii="Times New Roman" w:hAnsi="Times New Roman" w:eastAsia="方正仿宋_GBK" w:cs="Times New Roman"/>
                <w:b w:val="0"/>
              </w:rPr>
              <w:t>．</w:t>
            </w:r>
            <w:r>
              <w:rPr>
                <w:rFonts w:hint="default" w:ascii="Times New Roman" w:hAnsi="Times New Roman" w:eastAsia="方正仿宋_GBK" w:cs="Times New Roman"/>
                <w:kern w:val="0"/>
                <w:sz w:val="32"/>
                <w:szCs w:val="32"/>
              </w:rPr>
              <w:t>土地权利年期：30年</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576"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4</w:t>
            </w:r>
            <w:r>
              <w:rPr>
                <w:rFonts w:hint="default" w:ascii="Times New Roman" w:hAnsi="Times New Roman" w:eastAsia="方正仿宋_GBK" w:cs="Times New Roman"/>
                <w:b w:val="0"/>
              </w:rPr>
              <w:t>．</w:t>
            </w:r>
            <w:r>
              <w:rPr>
                <w:rFonts w:hint="default" w:ascii="Times New Roman" w:hAnsi="Times New Roman" w:eastAsia="方正仿宋_GBK" w:cs="Times New Roman"/>
                <w:kern w:val="0"/>
                <w:sz w:val="32"/>
                <w:szCs w:val="32"/>
              </w:rPr>
              <w:t>利用类型：其他草地</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576" w:lineRule="exact"/>
              <w:ind w:firstLine="0" w:firstLineChars="0"/>
              <w:jc w:val="left"/>
              <w:textAlignment w:val="auto"/>
              <w:rPr>
                <w:rFonts w:hint="eastAsia" w:ascii="Times New Roman" w:hAnsi="Times New Roman" w:eastAsia="方正仿宋_GBK" w:cs="Times New Roman"/>
                <w:kern w:val="0"/>
                <w:sz w:val="32"/>
                <w:szCs w:val="32"/>
                <w:lang w:eastAsia="zh-CN"/>
              </w:rPr>
            </w:pPr>
            <w:r>
              <w:rPr>
                <w:rFonts w:hint="default" w:ascii="Times New Roman" w:hAnsi="Times New Roman" w:eastAsia="方正仿宋_GBK" w:cs="Times New Roman"/>
                <w:kern w:val="0"/>
                <w:sz w:val="32"/>
                <w:szCs w:val="32"/>
              </w:rPr>
              <w:t>5</w:t>
            </w:r>
            <w:r>
              <w:rPr>
                <w:rFonts w:hint="default" w:ascii="Times New Roman" w:hAnsi="Times New Roman" w:eastAsia="方正仿宋_GBK" w:cs="Times New Roman"/>
                <w:b w:val="0"/>
              </w:rPr>
              <w:t>．</w:t>
            </w:r>
            <w:r>
              <w:rPr>
                <w:rFonts w:hint="default" w:ascii="Times New Roman" w:hAnsi="Times New Roman" w:eastAsia="方正仿宋_GBK" w:cs="Times New Roman"/>
                <w:kern w:val="0"/>
                <w:sz w:val="32"/>
                <w:szCs w:val="32"/>
              </w:rPr>
              <w:t>基本设施状况：按照所在区域具有普遍性、适宜性的种植制度下，宗地外道路通达</w:t>
            </w:r>
            <w:r>
              <w:rPr>
                <w:rFonts w:hint="eastAsia" w:eastAsia="方正仿宋_GBK" w:cs="Times New Roman"/>
                <w:kern w:val="0"/>
                <w:sz w:val="32"/>
                <w:szCs w:val="32"/>
                <w:lang w:eastAsia="zh-CN"/>
              </w:rPr>
              <w:t>。</w:t>
            </w:r>
          </w:p>
          <w:p>
            <w:pPr>
              <w:keepNext w:val="0"/>
              <w:keepLines w:val="0"/>
              <w:pageBreakBefore w:val="0"/>
              <w:widowControl/>
              <w:kinsoku/>
              <w:wordWrap/>
              <w:overflowPunct/>
              <w:topLinePunct w:val="0"/>
              <w:autoSpaceDE/>
              <w:autoSpaceDN/>
              <w:bidi w:val="0"/>
              <w:adjustRightInd/>
              <w:snapToGrid w:val="0"/>
              <w:spacing w:line="576" w:lineRule="exact"/>
              <w:ind w:firstLine="0" w:firstLineChars="0"/>
              <w:jc w:val="left"/>
              <w:textAlignment w:val="auto"/>
              <w:rPr>
                <w:rFonts w:hint="default" w:ascii="Times New Roman" w:hAnsi="Times New Roman" w:eastAsia="方正仿宋_GBK" w:cs="Times New Roman"/>
                <w:kern w:val="0"/>
                <w:sz w:val="32"/>
                <w:szCs w:val="32"/>
              </w:rPr>
            </w:pPr>
            <w:r>
              <w:rPr>
                <w:rFonts w:hint="default" w:ascii="Times New Roman" w:hAnsi="Times New Roman" w:eastAsia="方正仿宋_GBK" w:cs="Times New Roman"/>
                <w:kern w:val="0"/>
                <w:sz w:val="32"/>
                <w:szCs w:val="32"/>
              </w:rPr>
              <w:t>6</w:t>
            </w:r>
            <w:r>
              <w:rPr>
                <w:rFonts w:hint="default" w:ascii="Times New Roman" w:hAnsi="Times New Roman" w:eastAsia="方正仿宋_GBK" w:cs="Times New Roman"/>
                <w:b w:val="0"/>
              </w:rPr>
              <w:t>．</w:t>
            </w:r>
            <w:r>
              <w:rPr>
                <w:rFonts w:hint="default" w:ascii="Times New Roman" w:hAnsi="Times New Roman" w:eastAsia="方正仿宋_GBK" w:cs="Times New Roman"/>
                <w:kern w:val="0"/>
                <w:sz w:val="32"/>
                <w:szCs w:val="32"/>
              </w:rPr>
              <w:t>估价期日：2023年1月1日。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442" w:hRule="atLeast"/>
          <w:jc w:val="center"/>
        </w:trPr>
        <w:tc>
          <w:tcPr>
            <w:tcW w:w="8579" w:type="dxa"/>
            <w:gridSpan w:val="2"/>
            <w:vMerge w:val="continue"/>
            <w:vAlign w:val="center"/>
          </w:tcPr>
          <w:p>
            <w:pPr>
              <w:widowControl/>
              <w:spacing w:line="240" w:lineRule="auto"/>
              <w:ind w:firstLine="0" w:firstLineChars="0"/>
              <w:jc w:val="left"/>
              <w:rPr>
                <w:rFonts w:eastAsia="方正仿宋_GBK" w:cs="宋体"/>
                <w:kern w:val="0"/>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442" w:hRule="atLeast"/>
          <w:jc w:val="center"/>
        </w:trPr>
        <w:tc>
          <w:tcPr>
            <w:tcW w:w="8579" w:type="dxa"/>
            <w:gridSpan w:val="2"/>
            <w:vMerge w:val="continue"/>
            <w:vAlign w:val="center"/>
          </w:tcPr>
          <w:p>
            <w:pPr>
              <w:widowControl/>
              <w:spacing w:line="240" w:lineRule="auto"/>
              <w:ind w:firstLine="0" w:firstLineChars="0"/>
              <w:jc w:val="left"/>
              <w:rPr>
                <w:rFonts w:eastAsia="方正仿宋_GBK" w:cs="宋体"/>
                <w:kern w:val="0"/>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442" w:hRule="atLeast"/>
          <w:jc w:val="center"/>
        </w:trPr>
        <w:tc>
          <w:tcPr>
            <w:tcW w:w="8579" w:type="dxa"/>
            <w:gridSpan w:val="2"/>
            <w:vMerge w:val="continue"/>
            <w:vAlign w:val="center"/>
          </w:tcPr>
          <w:p>
            <w:pPr>
              <w:widowControl/>
              <w:spacing w:line="240" w:lineRule="auto"/>
              <w:ind w:firstLine="0" w:firstLineChars="0"/>
              <w:jc w:val="left"/>
              <w:rPr>
                <w:rFonts w:eastAsia="方正仿宋_GBK" w:cs="宋体"/>
                <w:kern w:val="0"/>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442" w:hRule="atLeast"/>
          <w:jc w:val="center"/>
        </w:trPr>
        <w:tc>
          <w:tcPr>
            <w:tcW w:w="8579" w:type="dxa"/>
            <w:gridSpan w:val="2"/>
            <w:vMerge w:val="continue"/>
            <w:vAlign w:val="center"/>
          </w:tcPr>
          <w:p>
            <w:pPr>
              <w:widowControl/>
              <w:spacing w:line="240" w:lineRule="auto"/>
              <w:ind w:firstLine="0" w:firstLineChars="0"/>
              <w:jc w:val="left"/>
              <w:rPr>
                <w:rFonts w:eastAsia="方正仿宋_GBK" w:cs="宋体"/>
                <w:kern w:val="0"/>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442" w:hRule="atLeast"/>
          <w:jc w:val="center"/>
        </w:trPr>
        <w:tc>
          <w:tcPr>
            <w:tcW w:w="8579" w:type="dxa"/>
            <w:gridSpan w:val="2"/>
            <w:vMerge w:val="continue"/>
            <w:vAlign w:val="center"/>
          </w:tcPr>
          <w:p>
            <w:pPr>
              <w:widowControl/>
              <w:spacing w:line="240" w:lineRule="auto"/>
              <w:ind w:firstLine="0" w:firstLineChars="0"/>
              <w:jc w:val="left"/>
              <w:rPr>
                <w:rFonts w:eastAsia="方正仿宋_GBK" w:cs="宋体"/>
                <w:kern w:val="0"/>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442" w:hRule="atLeast"/>
          <w:jc w:val="center"/>
        </w:trPr>
        <w:tc>
          <w:tcPr>
            <w:tcW w:w="8579" w:type="dxa"/>
            <w:gridSpan w:val="2"/>
            <w:vMerge w:val="continue"/>
            <w:vAlign w:val="center"/>
          </w:tcPr>
          <w:p>
            <w:pPr>
              <w:widowControl/>
              <w:spacing w:line="240" w:lineRule="auto"/>
              <w:ind w:firstLine="0" w:firstLineChars="0"/>
              <w:jc w:val="left"/>
              <w:rPr>
                <w:rFonts w:eastAsia="方正仿宋_GBK" w:cs="宋体"/>
                <w:kern w:val="0"/>
                <w:sz w:val="3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08" w:type="dxa"/>
            <w:bottom w:w="0" w:type="dxa"/>
            <w:right w:w="108" w:type="dxa"/>
          </w:tblCellMar>
        </w:tblPrEx>
        <w:trPr>
          <w:trHeight w:val="2918" w:hRule="atLeast"/>
          <w:jc w:val="center"/>
        </w:trPr>
        <w:tc>
          <w:tcPr>
            <w:tcW w:w="8579" w:type="dxa"/>
            <w:gridSpan w:val="2"/>
            <w:vMerge w:val="continue"/>
            <w:vAlign w:val="center"/>
          </w:tcPr>
          <w:p>
            <w:pPr>
              <w:widowControl/>
              <w:spacing w:line="240" w:lineRule="auto"/>
              <w:ind w:firstLine="0" w:firstLineChars="0"/>
              <w:jc w:val="left"/>
              <w:rPr>
                <w:rFonts w:eastAsia="方正仿宋_GBK" w:cs="宋体"/>
                <w:kern w:val="0"/>
                <w:sz w:val="32"/>
                <w:szCs w:val="20"/>
              </w:rPr>
            </w:pPr>
          </w:p>
        </w:tc>
      </w:tr>
    </w:tbl>
    <w:p>
      <w:pPr>
        <w:spacing w:line="240" w:lineRule="auto"/>
        <w:ind w:firstLine="0" w:firstLineChars="0"/>
        <w:rPr>
          <w:rFonts w:eastAsia="方正仿宋_GBK"/>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方正黑体_GBK" w:hAnsi="方正黑体_GBK" w:eastAsia="方正黑体_GBK" w:cs="方正黑体_GBK"/>
          <w:b w:val="0"/>
          <w:bCs w:val="0"/>
        </w:rPr>
      </w:pPr>
      <w:r>
        <w:rPr>
          <w:rFonts w:eastAsia="方正仿宋_GBK"/>
          <w:sz w:val="32"/>
          <w:szCs w:val="32"/>
        </w:rPr>
        <w:br w:type="page"/>
      </w:r>
      <w:bookmarkStart w:id="20" w:name="_Toc169867023"/>
      <w:r>
        <w:rPr>
          <w:rFonts w:hint="eastAsia" w:ascii="方正黑体_GBK" w:hAnsi="方正黑体_GBK" w:eastAsia="方正黑体_GBK" w:cs="方正黑体_GBK"/>
          <w:b w:val="0"/>
          <w:bCs w:val="0"/>
          <w:lang w:eastAsia="zh-CN"/>
        </w:rPr>
        <w:t>二、</w:t>
      </w:r>
      <w:r>
        <w:rPr>
          <w:rFonts w:hint="eastAsia" w:ascii="方正黑体_GBK" w:hAnsi="方正黑体_GBK" w:eastAsia="方正黑体_GBK" w:cs="方正黑体_GBK"/>
          <w:b w:val="0"/>
          <w:bCs w:val="0"/>
        </w:rPr>
        <w:t>草地级别和基准地价图</w:t>
      </w:r>
      <w:bookmarkEnd w:id="20"/>
      <w:r>
        <w:rPr>
          <w:rFonts w:hint="eastAsia" w:ascii="方正黑体_GBK" w:hAnsi="方正黑体_GBK" w:eastAsia="方正黑体_GBK" w:cs="方正黑体_GBK"/>
          <w:b w:val="0"/>
          <w:bCs w:val="0"/>
        </w:rPr>
        <w:t xml:space="preserve"> </w:t>
      </w:r>
    </w:p>
    <w:p>
      <w:pPr>
        <w:pageBreakBefore w:val="0"/>
        <w:widowControl w:val="0"/>
        <w:numPr>
          <w:ilvl w:val="0"/>
          <w:numId w:val="0"/>
        </w:numPr>
        <w:kinsoku/>
        <w:wordWrap/>
        <w:overflowPunct/>
        <w:topLinePunct w:val="0"/>
        <w:autoSpaceDE/>
        <w:autoSpaceDN/>
        <w:bidi w:val="0"/>
        <w:adjustRightInd/>
        <w:snapToGrid/>
        <w:spacing w:line="580" w:lineRule="exact"/>
        <w:ind w:left="0" w:leftChars="0"/>
        <w:jc w:val="center"/>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綦江区其他草地土地级别和基准地价图</w:t>
      </w:r>
    </w:p>
    <w:p>
      <w:pPr>
        <w:spacing w:line="240" w:lineRule="auto"/>
        <w:ind w:firstLine="561" w:firstLineChars="0"/>
        <w:rPr>
          <w:rFonts w:eastAsia="方正仿宋_GBK"/>
          <w:sz w:val="32"/>
          <w:szCs w:val="20"/>
        </w:rPr>
      </w:pPr>
      <w:r>
        <w:drawing>
          <wp:inline distT="0" distB="0" distL="114300" distR="114300">
            <wp:extent cx="5287010" cy="7178040"/>
            <wp:effectExtent l="0" t="0" r="889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87010" cy="71780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方正黑体_GBK" w:hAnsi="方正黑体_GBK" w:eastAsia="方正黑体_GBK" w:cs="方正黑体_GBK"/>
          <w:b w:val="0"/>
          <w:bCs w:val="0"/>
          <w:sz w:val="32"/>
          <w:szCs w:val="32"/>
        </w:rPr>
      </w:pPr>
      <w:r>
        <w:rPr>
          <w:rFonts w:eastAsia="方正仿宋_GBK"/>
          <w:sz w:val="32"/>
          <w:szCs w:val="20"/>
        </w:rPr>
        <w:br w:type="page"/>
      </w:r>
      <w:bookmarkStart w:id="21" w:name="_Toc169867024"/>
      <w:r>
        <w:rPr>
          <w:rFonts w:hint="eastAsia" w:ascii="方正黑体_GBK" w:hAnsi="方正黑体_GBK" w:eastAsia="方正黑体_GBK" w:cs="方正黑体_GBK"/>
          <w:b w:val="0"/>
          <w:bCs w:val="0"/>
          <w:sz w:val="32"/>
          <w:szCs w:val="32"/>
        </w:rPr>
        <w:t>三</w:t>
      </w:r>
      <w:r>
        <w:rPr>
          <w:rFonts w:hint="eastAsia" w:ascii="方正黑体_GBK" w:hAnsi="方正黑体_GBK" w:eastAsia="方正黑体_GBK" w:cs="方正黑体_GBK"/>
          <w:b w:val="0"/>
          <w:bCs w:val="0"/>
          <w:sz w:val="32"/>
          <w:szCs w:val="32"/>
          <w:lang w:eastAsia="zh-CN"/>
        </w:rPr>
        <w:t>、</w:t>
      </w:r>
      <w:r>
        <w:rPr>
          <w:rFonts w:hint="eastAsia" w:ascii="方正黑体_GBK" w:hAnsi="方正黑体_GBK" w:eastAsia="方正黑体_GBK" w:cs="方正黑体_GBK"/>
          <w:b w:val="0"/>
          <w:bCs w:val="0"/>
          <w:sz w:val="32"/>
          <w:szCs w:val="32"/>
        </w:rPr>
        <w:t>草地基准地价修正体系说明</w:t>
      </w:r>
      <w:bookmarkEnd w:id="21"/>
    </w:p>
    <w:p>
      <w:pPr>
        <w:pStyle w:val="3"/>
        <w:pageBreakBefore w:val="0"/>
        <w:widowControl w:val="0"/>
        <w:kinsoku/>
        <w:wordWrap/>
        <w:overflowPunct/>
        <w:topLinePunct w:val="0"/>
        <w:autoSpaceDE/>
        <w:autoSpaceDN/>
        <w:bidi w:val="0"/>
        <w:adjustRightInd/>
        <w:snapToGrid/>
        <w:spacing w:before="0" w:after="0" w:line="576" w:lineRule="exact"/>
        <w:ind w:firstLine="643"/>
        <w:textAlignment w:val="auto"/>
        <w:rPr>
          <w:rFonts w:hint="eastAsia" w:ascii="Times New Roman" w:hAnsi="Times New Roman" w:eastAsia="方正楷体_GBK" w:cs="Times New Roman"/>
          <w:sz w:val="32"/>
          <w:szCs w:val="32"/>
          <w:lang w:eastAsia="zh-CN"/>
        </w:rPr>
      </w:pPr>
      <w:bookmarkStart w:id="22" w:name="_Toc169867025"/>
      <w:r>
        <w:rPr>
          <w:rFonts w:hint="eastAsia" w:ascii="方正楷体_GBK" w:hAnsi="方正楷体_GBK" w:eastAsia="方正楷体_GBK" w:cs="方正楷体_GBK"/>
          <w:b w:val="0"/>
          <w:bCs w:val="0"/>
          <w:sz w:val="32"/>
          <w:szCs w:val="32"/>
          <w:lang w:eastAsia="zh-CN"/>
        </w:rPr>
        <w:t>（一）</w:t>
      </w:r>
      <w:r>
        <w:rPr>
          <w:rFonts w:hint="eastAsia" w:ascii="方正楷体_GBK" w:hAnsi="方正楷体_GBK" w:eastAsia="方正楷体_GBK" w:cs="方正楷体_GBK"/>
          <w:b w:val="0"/>
          <w:bCs w:val="0"/>
          <w:sz w:val="32"/>
          <w:szCs w:val="32"/>
        </w:rPr>
        <w:t>适用范围</w:t>
      </w:r>
      <w:bookmarkEnd w:id="22"/>
      <w:r>
        <w:rPr>
          <w:rFonts w:hint="eastAsia" w:ascii="方正楷体_GBK" w:hAnsi="方正楷体_GBK" w:eastAsia="方正楷体_GBK" w:cs="方正楷体_GBK"/>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本次草地涉及范围包括</w:t>
      </w:r>
      <w:r>
        <w:rPr>
          <w:rFonts w:hint="eastAsia"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个街道：古南街道、文龙街道、三江街道、新盛街道、通惠街道；16个镇：石角镇、东溪镇、赶水镇、打通镇、石壕镇、永新镇、三角镇、隆盛镇、郭扶镇、篆塘镇、丁山镇、安稳镇、扶欢镇、永城镇、中峰镇、横山镇。</w:t>
      </w:r>
    </w:p>
    <w:p>
      <w:pPr>
        <w:pStyle w:val="3"/>
        <w:pageBreakBefore w:val="0"/>
        <w:widowControl w:val="0"/>
        <w:kinsoku/>
        <w:wordWrap/>
        <w:overflowPunct/>
        <w:topLinePunct w:val="0"/>
        <w:autoSpaceDE/>
        <w:autoSpaceDN/>
        <w:bidi w:val="0"/>
        <w:adjustRightInd/>
        <w:snapToGrid/>
        <w:spacing w:before="0" w:after="0" w:line="576" w:lineRule="exact"/>
        <w:ind w:firstLine="643"/>
        <w:textAlignment w:val="auto"/>
        <w:rPr>
          <w:rFonts w:hint="eastAsia" w:ascii="方正楷体_GBK" w:hAnsi="方正楷体_GBK" w:eastAsia="方正楷体_GBK" w:cs="方正楷体_GBK"/>
          <w:b w:val="0"/>
          <w:bCs w:val="0"/>
          <w:sz w:val="32"/>
          <w:szCs w:val="32"/>
          <w:lang w:eastAsia="zh-CN"/>
        </w:rPr>
      </w:pPr>
      <w:bookmarkStart w:id="23" w:name="_Toc169867026"/>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lang w:val="en-US" w:eastAsia="zh-CN"/>
        </w:rPr>
        <w:t>二</w:t>
      </w:r>
      <w:r>
        <w:rPr>
          <w:rFonts w:hint="eastAsia" w:ascii="方正楷体_GBK" w:hAnsi="方正楷体_GBK" w:eastAsia="方正楷体_GBK" w:cs="方正楷体_GBK"/>
          <w:b w:val="0"/>
          <w:bCs w:val="0"/>
          <w:sz w:val="32"/>
          <w:szCs w:val="32"/>
          <w:lang w:eastAsia="zh-CN"/>
        </w:rPr>
        <w:t>）</w:t>
      </w:r>
      <w:r>
        <w:rPr>
          <w:rFonts w:hint="eastAsia" w:ascii="方正楷体_GBK" w:hAnsi="方正楷体_GBK" w:eastAsia="方正楷体_GBK" w:cs="方正楷体_GBK"/>
          <w:b w:val="0"/>
          <w:bCs w:val="0"/>
          <w:sz w:val="32"/>
          <w:szCs w:val="32"/>
        </w:rPr>
        <w:t>基准地价内涵</w:t>
      </w:r>
      <w:bookmarkEnd w:id="23"/>
      <w:r>
        <w:rPr>
          <w:rFonts w:hint="eastAsia" w:ascii="方正楷体_GBK" w:hAnsi="方正楷体_GBK" w:eastAsia="方正楷体_GBK" w:cs="方正楷体_GBK"/>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基准地价的内涵为草地不同级别、不同用途、设定基本设施状况下，特定权利类型、特定年限的区域平均价格。基准地价的价格表现形式为土地价格 （单位：元/亩）。</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实体类型</w:t>
      </w:r>
      <w:r>
        <w:rPr>
          <w:rFonts w:hint="eastAsia"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草地土地价值，不包含地上附着物和定着物的价值。</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土地权利</w:t>
      </w:r>
      <w:r>
        <w:rPr>
          <w:rFonts w:hint="eastAsia"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承包经营权。</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3</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土地权利年期</w:t>
      </w:r>
      <w:r>
        <w:rPr>
          <w:rFonts w:hint="eastAsia"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30年。</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利用类型</w:t>
      </w:r>
      <w:r>
        <w:rPr>
          <w:rFonts w:hint="eastAsia"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其他草地。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5</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基本设施状况</w:t>
      </w:r>
      <w:r>
        <w:rPr>
          <w:rFonts w:hint="eastAsia"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按照所在区域具有普遍性、适宜性的种植制度下，宗地外道路通达。</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6</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估价期日</w:t>
      </w:r>
      <w:r>
        <w:rPr>
          <w:rFonts w:hint="eastAsia" w:eastAsia="方正仿宋_GBK"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2023年1月1日。</w:t>
      </w:r>
    </w:p>
    <w:p>
      <w:pPr>
        <w:pStyle w:val="3"/>
        <w:pageBreakBefore w:val="0"/>
        <w:widowControl w:val="0"/>
        <w:kinsoku/>
        <w:wordWrap/>
        <w:overflowPunct/>
        <w:topLinePunct w:val="0"/>
        <w:autoSpaceDE/>
        <w:autoSpaceDN/>
        <w:bidi w:val="0"/>
        <w:adjustRightInd/>
        <w:snapToGrid/>
        <w:spacing w:before="0" w:after="0" w:line="576" w:lineRule="exact"/>
        <w:ind w:firstLine="643"/>
        <w:textAlignment w:val="auto"/>
        <w:rPr>
          <w:rFonts w:hint="eastAsia" w:ascii="方正楷体_GBK" w:hAnsi="方正楷体_GBK" w:eastAsia="方正楷体_GBK" w:cs="方正楷体_GBK"/>
          <w:b w:val="0"/>
          <w:bCs w:val="0"/>
          <w:sz w:val="32"/>
          <w:szCs w:val="32"/>
          <w:lang w:eastAsia="zh-CN"/>
        </w:rPr>
      </w:pPr>
      <w:bookmarkStart w:id="24" w:name="_Toc169867027"/>
      <w:r>
        <w:rPr>
          <w:rFonts w:hint="eastAsia" w:ascii="方正楷体_GBK" w:hAnsi="方正楷体_GBK" w:eastAsia="方正楷体_GBK" w:cs="方正楷体_GBK"/>
          <w:b w:val="0"/>
          <w:bCs w:val="0"/>
          <w:sz w:val="32"/>
          <w:szCs w:val="32"/>
          <w:lang w:eastAsia="zh-CN"/>
        </w:rPr>
        <w:t>（三）</w:t>
      </w:r>
      <w:r>
        <w:rPr>
          <w:rFonts w:hint="eastAsia" w:ascii="方正楷体_GBK" w:hAnsi="方正楷体_GBK" w:eastAsia="方正楷体_GBK" w:cs="方正楷体_GBK"/>
          <w:b w:val="0"/>
          <w:bCs w:val="0"/>
          <w:sz w:val="32"/>
          <w:szCs w:val="32"/>
        </w:rPr>
        <w:t>基准地价的应用</w:t>
      </w:r>
      <w:bookmarkEnd w:id="24"/>
      <w:r>
        <w:rPr>
          <w:rFonts w:hint="eastAsia" w:ascii="方正楷体_GBK" w:hAnsi="方正楷体_GBK" w:eastAsia="方正楷体_GBK" w:cs="方正楷体_GBK"/>
          <w:b w:val="0"/>
          <w:bCs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运用基准地价系数修正法进行宗地价格评估时应适用綦江区辖区范围内的所有草地，并根据宗地实际情况进行期日、年期、利用类型基本设施状况、草地价格影响因素修正。</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宗地价格计算公式</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P=</w:t>
      </w:r>
      <m:oMath>
        <m:sSub>
          <m:sSubPr>
            <m:ctrlPr>
              <w:rPr>
                <w:rFonts w:hint="default" w:ascii="Cambria Math" w:hAnsi="Cambria Math" w:eastAsia="方正仿宋_GBK" w:cs="Times New Roman"/>
                <w:iCs/>
                <w:kern w:val="0"/>
                <w:sz w:val="32"/>
                <w:szCs w:val="32"/>
                <w:lang w:bidi="zh-CN"/>
              </w:rPr>
            </m:ctrlPr>
          </m:sSubPr>
          <m:e>
            <m:r>
              <m:rPr>
                <m:sty m:val="p"/>
              </m:rPr>
              <w:rPr>
                <w:rFonts w:hint="default" w:ascii="Cambria Math" w:hAnsi="Cambria Math" w:eastAsia="方正仿宋_GBK" w:cs="Times New Roman"/>
                <w:sz w:val="32"/>
                <w:szCs w:val="32"/>
              </w:rPr>
              <m:t>P</m:t>
            </m:r>
            <m:ctrlPr>
              <w:rPr>
                <w:rFonts w:hint="default" w:ascii="Cambria Math" w:hAnsi="Cambria Math" w:eastAsia="方正仿宋_GBK" w:cs="Times New Roman"/>
                <w:iCs/>
                <w:kern w:val="0"/>
                <w:sz w:val="32"/>
                <w:szCs w:val="32"/>
                <w:lang w:bidi="zh-CN"/>
              </w:rPr>
            </m:ctrlPr>
          </m:e>
          <m:sub>
            <m:r>
              <m:rPr>
                <m:sty m:val="p"/>
              </m:rPr>
              <w:rPr>
                <w:rFonts w:hint="default" w:ascii="Cambria Math" w:hAnsi="Cambria Math" w:eastAsia="方正仿宋_GBK" w:cs="Times New Roman"/>
                <w:sz w:val="32"/>
                <w:szCs w:val="32"/>
              </w:rPr>
              <m:t>S</m:t>
            </m:r>
            <m:ctrlPr>
              <w:rPr>
                <w:rFonts w:hint="default" w:ascii="Cambria Math" w:hAnsi="Cambria Math" w:eastAsia="方正仿宋_GBK" w:cs="Times New Roman"/>
                <w:iCs/>
                <w:kern w:val="0"/>
                <w:sz w:val="32"/>
                <w:szCs w:val="32"/>
                <w:lang w:bidi="zh-CN"/>
              </w:rPr>
            </m:ctrlPr>
          </m:sub>
        </m:sSub>
        <m:r>
          <m:rPr>
            <m:sty m:val="p"/>
          </m:rPr>
          <w:rPr>
            <w:rFonts w:hint="default" w:ascii="Cambria Math" w:hAnsi="Cambria Math" w:eastAsia="方正仿宋_GBK" w:cs="Times New Roman"/>
            <w:sz w:val="32"/>
            <w:szCs w:val="32"/>
          </w:rPr>
          <m:t>×A×B×C×E+D</m:t>
        </m:r>
      </m:oMath>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式中：</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P—待估草地价格</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Ps—草地基准地价</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A—待估草地期日修正系数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B—待估草地年期修正系数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C—待估草地利用类型修正系数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D—待估草地基本设施状况修正值</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E—待估草地价格影响因素修正系数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b/>
          <w:bCs/>
          <w:sz w:val="32"/>
          <w:szCs w:val="32"/>
          <w:lang w:eastAsia="zh-CN"/>
        </w:rPr>
      </w:pPr>
      <w:r>
        <w:rPr>
          <w:rFonts w:hint="default" w:ascii="Times New Roman" w:hAnsi="Times New Roman" w:eastAsia="方正仿宋_GBK" w:cs="Times New Roman"/>
          <w:sz w:val="32"/>
          <w:szCs w:val="32"/>
        </w:rPr>
        <w:t>2</w:t>
      </w:r>
      <w:r>
        <w:rPr>
          <w:rFonts w:hint="default" w:ascii="Times New Roman" w:hAnsi="Times New Roman" w:eastAsia="方正仿宋_GBK" w:cs="Times New Roman"/>
          <w:b w:val="0"/>
        </w:rPr>
        <w:t>．</w:t>
      </w:r>
      <w:r>
        <w:rPr>
          <w:rFonts w:hint="default" w:ascii="Times New Roman" w:hAnsi="Times New Roman" w:eastAsia="方正仿宋_GBK" w:cs="Times New Roman"/>
          <w:sz w:val="32"/>
          <w:szCs w:val="32"/>
        </w:rPr>
        <w:t>宗地价格测算中有关参数的确定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eastAsia" w:eastAsia="方正仿宋_GBK" w:cs="Times New Roman"/>
          <w:sz w:val="32"/>
          <w:szCs w:val="32"/>
          <w:lang w:eastAsia="zh-CN"/>
        </w:rPr>
        <w:t>（</w:t>
      </w:r>
      <w:r>
        <w:rPr>
          <w:rFonts w:hint="default" w:ascii="Times New Roman" w:hAnsi="Times New Roman" w:eastAsia="方正仿宋_GBK" w:cs="Times New Roman"/>
          <w:sz w:val="32"/>
          <w:szCs w:val="32"/>
        </w:rPr>
        <w:t>1）适用的草地基准地价的确定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根据草地的用途以及所在级别，选用草地基准地价进行评估。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eastAsia" w:eastAsia="方正仿宋_GBK" w:cs="Times New Roman"/>
          <w:sz w:val="32"/>
          <w:szCs w:val="32"/>
          <w:lang w:eastAsia="zh-CN"/>
        </w:rPr>
        <w:t>（</w:t>
      </w:r>
      <w:r>
        <w:rPr>
          <w:rFonts w:hint="default" w:ascii="Times New Roman" w:hAnsi="Times New Roman" w:eastAsia="方正仿宋_GBK" w:cs="Times New Roman"/>
          <w:sz w:val="32"/>
          <w:szCs w:val="32"/>
        </w:rPr>
        <w:t>2）期日修正系数的确定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本次基准地价估价期日为2023年1月1日。若宗地评估期日不是2023年1月1日，应根据地价的实际变化程度进行期日修正。</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期日修正系数=估价期日牧草零售价格指数÷基准地价期日牧草零售价格指数。</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eastAsia" w:eastAsia="方正仿宋_GBK" w:cs="Times New Roman"/>
          <w:sz w:val="32"/>
          <w:szCs w:val="32"/>
          <w:lang w:eastAsia="zh-CN"/>
        </w:rPr>
        <w:t>（</w:t>
      </w:r>
      <w:r>
        <w:rPr>
          <w:rFonts w:hint="default" w:ascii="Times New Roman" w:hAnsi="Times New Roman" w:eastAsia="方正仿宋_GBK" w:cs="Times New Roman"/>
          <w:sz w:val="32"/>
          <w:szCs w:val="32"/>
        </w:rPr>
        <w:t>3）年期修正系数的确定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Ky=[1-1/(1+r)</w:t>
      </w:r>
      <w:r>
        <w:rPr>
          <w:rFonts w:hint="default" w:ascii="Times New Roman" w:hAnsi="Times New Roman" w:eastAsia="方正仿宋_GBK" w:cs="Times New Roman"/>
          <w:sz w:val="32"/>
          <w:szCs w:val="32"/>
          <w:vertAlign w:val="superscript"/>
        </w:rPr>
        <w:t>n</w:t>
      </w:r>
      <w:r>
        <w:rPr>
          <w:rFonts w:hint="default" w:ascii="Times New Roman" w:hAnsi="Times New Roman" w:eastAsia="方正仿宋_GBK" w:cs="Times New Roman"/>
          <w:sz w:val="32"/>
          <w:szCs w:val="32"/>
        </w:rPr>
        <w:t>]/[1</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1/(1+r)</w:t>
      </w:r>
      <w:r>
        <w:rPr>
          <w:rFonts w:hint="default" w:ascii="Times New Roman" w:hAnsi="Times New Roman" w:eastAsia="方正仿宋_GBK" w:cs="Times New Roman"/>
          <w:sz w:val="32"/>
          <w:szCs w:val="32"/>
          <w:vertAlign w:val="superscript"/>
        </w:rPr>
        <w:t>m</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其中：Ky—年期修正系数</w:t>
      </w:r>
    </w:p>
    <w:p>
      <w:pPr>
        <w:pageBreakBefore w:val="0"/>
        <w:widowControl w:val="0"/>
        <w:kinsoku/>
        <w:wordWrap/>
        <w:overflowPunct/>
        <w:topLinePunct w:val="0"/>
        <w:autoSpaceDE/>
        <w:autoSpaceDN/>
        <w:bidi w:val="0"/>
        <w:adjustRightInd/>
        <w:snapToGrid/>
        <w:spacing w:line="576"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r—土地还原率（1.8%）</w:t>
      </w:r>
    </w:p>
    <w:p>
      <w:pPr>
        <w:pageBreakBefore w:val="0"/>
        <w:widowControl w:val="0"/>
        <w:kinsoku/>
        <w:wordWrap/>
        <w:overflowPunct/>
        <w:topLinePunct w:val="0"/>
        <w:autoSpaceDE/>
        <w:autoSpaceDN/>
        <w:bidi w:val="0"/>
        <w:adjustRightInd/>
        <w:snapToGrid/>
        <w:spacing w:line="576"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n—待估草地的使用年期</w:t>
      </w:r>
    </w:p>
    <w:p>
      <w:pPr>
        <w:pageBreakBefore w:val="0"/>
        <w:widowControl w:val="0"/>
        <w:kinsoku/>
        <w:wordWrap/>
        <w:overflowPunct/>
        <w:topLinePunct w:val="0"/>
        <w:autoSpaceDE/>
        <w:autoSpaceDN/>
        <w:bidi w:val="0"/>
        <w:adjustRightInd/>
        <w:snapToGrid/>
        <w:spacing w:line="576" w:lineRule="exact"/>
        <w:ind w:firstLine="1600" w:firstLineChars="5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m—基准地价定义的使用年期</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Times New Roman" w:hAnsi="Times New Roman" w:eastAsia="方正仿宋_GBK" w:cs="Times New Roman"/>
          <w:sz w:val="32"/>
          <w:szCs w:val="32"/>
          <w:lang w:eastAsia="zh-CN"/>
        </w:rPr>
      </w:pPr>
      <w:r>
        <w:rPr>
          <w:rFonts w:hint="eastAsia" w:eastAsia="方正仿宋_GBK" w:cs="Times New Roman"/>
          <w:sz w:val="32"/>
          <w:szCs w:val="32"/>
          <w:lang w:eastAsia="zh-CN"/>
        </w:rPr>
        <w:t>（</w:t>
      </w:r>
      <w:r>
        <w:rPr>
          <w:rFonts w:hint="default" w:ascii="Times New Roman" w:hAnsi="Times New Roman" w:eastAsia="方正仿宋_GBK" w:cs="Times New Roman"/>
          <w:sz w:val="32"/>
          <w:szCs w:val="32"/>
        </w:rPr>
        <w:t>4）利用类型修正系数的确定</w:t>
      </w:r>
      <w:r>
        <w:rPr>
          <w:rFonts w:hint="eastAsia"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如存在与基准地价规定的用地类型不一致时，需要进行用地类型修正。</w:t>
      </w:r>
    </w:p>
    <w:tbl>
      <w:tblPr>
        <w:tblStyle w:val="15"/>
        <w:tblW w:w="87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3"/>
        <w:gridCol w:w="2580"/>
        <w:gridCol w:w="2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3283" w:type="dxa"/>
            <w:shd w:val="clear" w:color="auto" w:fill="auto"/>
            <w:vAlign w:val="center"/>
          </w:tcPr>
          <w:p>
            <w:pPr>
              <w:widowControl/>
              <w:snapToGrid w:val="0"/>
              <w:spacing w:line="240" w:lineRule="auto"/>
              <w:ind w:firstLine="0" w:firstLineChars="0"/>
              <w:jc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用地类型</w:t>
            </w:r>
          </w:p>
        </w:tc>
        <w:tc>
          <w:tcPr>
            <w:tcW w:w="2580" w:type="dxa"/>
            <w:shd w:val="clear" w:color="auto" w:fill="auto"/>
            <w:vAlign w:val="center"/>
          </w:tcPr>
          <w:p>
            <w:pPr>
              <w:widowControl/>
              <w:snapToGrid w:val="0"/>
              <w:spacing w:line="240" w:lineRule="auto"/>
              <w:ind w:firstLine="0" w:firstLineChars="0"/>
              <w:jc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用途类别划分</w:t>
            </w:r>
          </w:p>
        </w:tc>
        <w:tc>
          <w:tcPr>
            <w:tcW w:w="2855" w:type="dxa"/>
            <w:shd w:val="clear" w:color="auto" w:fill="auto"/>
            <w:vAlign w:val="center"/>
          </w:tcPr>
          <w:p>
            <w:pPr>
              <w:widowControl/>
              <w:snapToGrid w:val="0"/>
              <w:spacing w:line="240" w:lineRule="auto"/>
              <w:ind w:firstLine="0" w:firstLineChars="0"/>
              <w:jc w:val="center"/>
              <w:rPr>
                <w:rFonts w:hint="default" w:ascii="Times New Roman" w:hAnsi="Times New Roman" w:eastAsia="方正黑体_GBK" w:cs="Times New Roman"/>
                <w:kern w:val="0"/>
                <w:sz w:val="28"/>
                <w:szCs w:val="28"/>
              </w:rPr>
            </w:pPr>
            <w:r>
              <w:rPr>
                <w:rFonts w:hint="default" w:ascii="Times New Roman" w:hAnsi="Times New Roman" w:eastAsia="方正黑体_GBK" w:cs="Times New Roman"/>
                <w:kern w:val="0"/>
                <w:sz w:val="28"/>
                <w:szCs w:val="28"/>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3283"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其他草地</w:t>
            </w:r>
          </w:p>
        </w:tc>
        <w:tc>
          <w:tcPr>
            <w:tcW w:w="2580"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其他草地</w:t>
            </w:r>
          </w:p>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（基准类别）</w:t>
            </w:r>
          </w:p>
        </w:tc>
        <w:tc>
          <w:tcPr>
            <w:tcW w:w="2855" w:type="dxa"/>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1</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sz w:val="32"/>
          <w:szCs w:val="32"/>
          <w:lang w:eastAsia="zh-CN"/>
        </w:rPr>
      </w:pPr>
      <w:r>
        <w:rPr>
          <w:rFonts w:hint="eastAsia" w:eastAsia="方正仿宋_GBK"/>
          <w:sz w:val="32"/>
          <w:szCs w:val="32"/>
          <w:lang w:eastAsia="zh-CN"/>
        </w:rPr>
        <w:t>（</w:t>
      </w:r>
      <w:r>
        <w:rPr>
          <w:rFonts w:hint="eastAsia" w:eastAsia="方正仿宋_GBK"/>
          <w:sz w:val="32"/>
          <w:szCs w:val="32"/>
        </w:rPr>
        <w:t>5）基本设施状况修正的确定</w:t>
      </w:r>
      <w:r>
        <w:rPr>
          <w:rFonts w:hint="eastAsia"/>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草地基本设施修正值详见下表：</w:t>
      </w:r>
    </w:p>
    <w:tbl>
      <w:tblPr>
        <w:tblStyle w:val="15"/>
        <w:tblW w:w="88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7"/>
        <w:gridCol w:w="3033"/>
        <w:gridCol w:w="3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jc w:val="center"/>
        </w:trPr>
        <w:tc>
          <w:tcPr>
            <w:tcW w:w="2747" w:type="dxa"/>
            <w:shd w:val="clear" w:color="auto" w:fill="auto"/>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用途</w:t>
            </w:r>
          </w:p>
        </w:tc>
        <w:tc>
          <w:tcPr>
            <w:tcW w:w="3033" w:type="dxa"/>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基础设施状况说明</w:t>
            </w:r>
          </w:p>
        </w:tc>
        <w:tc>
          <w:tcPr>
            <w:tcW w:w="3034" w:type="dxa"/>
            <w:vAlign w:val="center"/>
          </w:tcPr>
          <w:p>
            <w:pPr>
              <w:widowControl/>
              <w:snapToGrid w:val="0"/>
              <w:spacing w:line="240" w:lineRule="auto"/>
              <w:ind w:firstLine="0" w:firstLineChars="0"/>
              <w:jc w:val="center"/>
              <w:rPr>
                <w:rFonts w:hint="eastAsia"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草地基本设施修正值</w:t>
            </w:r>
          </w:p>
          <w:p>
            <w:pPr>
              <w:widowControl/>
              <w:snapToGrid w:val="0"/>
              <w:spacing w:line="240" w:lineRule="auto"/>
              <w:ind w:firstLine="0" w:firstLineChars="0"/>
              <w:jc w:val="center"/>
              <w:rPr>
                <w:rFonts w:hint="eastAsia" w:ascii="方正黑体_GBK" w:hAnsi="方正黑体_GBK" w:eastAsia="方正黑体_GBK" w:cs="方正黑体_GBK"/>
                <w:kern w:val="0"/>
                <w:sz w:val="28"/>
                <w:szCs w:val="28"/>
              </w:rPr>
            </w:pPr>
            <w:r>
              <w:rPr>
                <w:rFonts w:hint="eastAsia" w:ascii="方正黑体_GBK" w:hAnsi="方正黑体_GBK" w:eastAsia="方正黑体_GBK" w:cs="方正黑体_GBK"/>
                <w:kern w:val="0"/>
                <w:sz w:val="28"/>
                <w:szCs w:val="28"/>
              </w:rPr>
              <w:t>(元/亩)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2747" w:type="dxa"/>
            <w:vMerge w:val="restart"/>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草地</w:t>
            </w:r>
          </w:p>
        </w:tc>
        <w:tc>
          <w:tcPr>
            <w:tcW w:w="3033" w:type="dxa"/>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道路通达</w:t>
            </w:r>
          </w:p>
        </w:tc>
        <w:tc>
          <w:tcPr>
            <w:tcW w:w="3034" w:type="dxa"/>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2747" w:type="dxa"/>
            <w:vMerge w:val="continue"/>
            <w:shd w:val="clear" w:color="auto" w:fill="auto"/>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p>
        </w:tc>
        <w:tc>
          <w:tcPr>
            <w:tcW w:w="3033" w:type="dxa"/>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r>
              <w:rPr>
                <w:rFonts w:hint="default" w:ascii="Times New Roman" w:hAnsi="Times New Roman" w:eastAsia="方正仿宋_GBK" w:cs="Times New Roman"/>
                <w:kern w:val="0"/>
                <w:sz w:val="28"/>
                <w:szCs w:val="28"/>
              </w:rPr>
              <w:t>道路不通达</w:t>
            </w:r>
          </w:p>
        </w:tc>
        <w:tc>
          <w:tcPr>
            <w:tcW w:w="3034" w:type="dxa"/>
            <w:vAlign w:val="center"/>
          </w:tcPr>
          <w:p>
            <w:pPr>
              <w:widowControl/>
              <w:snapToGrid w:val="0"/>
              <w:spacing w:line="240" w:lineRule="auto"/>
              <w:ind w:firstLine="0" w:firstLineChars="0"/>
              <w:jc w:val="center"/>
              <w:rPr>
                <w:rFonts w:hint="default" w:ascii="Times New Roman" w:hAnsi="Times New Roman" w:eastAsia="方正仿宋_GBK" w:cs="Times New Roman"/>
                <w:kern w:val="0"/>
                <w:sz w:val="28"/>
                <w:szCs w:val="28"/>
              </w:rPr>
            </w:pPr>
            <w:r>
              <w:rPr>
                <w:rFonts w:hint="eastAsia" w:ascii="方正仿宋_GBK" w:hAnsi="方正仿宋_GBK" w:eastAsia="方正仿宋_GBK" w:cs="方正仿宋_GBK"/>
                <w:kern w:val="0"/>
                <w:sz w:val="28"/>
                <w:szCs w:val="28"/>
              </w:rPr>
              <w:t>-</w:t>
            </w:r>
            <w:r>
              <w:rPr>
                <w:rFonts w:hint="default" w:ascii="Times New Roman" w:hAnsi="Times New Roman" w:eastAsia="方正仿宋_GBK" w:cs="Times New Roman"/>
                <w:kern w:val="0"/>
                <w:sz w:val="28"/>
                <w:szCs w:val="28"/>
              </w:rPr>
              <w:t>800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sz w:val="32"/>
          <w:szCs w:val="32"/>
          <w:lang w:eastAsia="zh-CN"/>
        </w:rPr>
      </w:pPr>
      <w:r>
        <w:rPr>
          <w:rFonts w:hint="eastAsia" w:eastAsia="方正仿宋_GBK"/>
          <w:sz w:val="32"/>
          <w:szCs w:val="32"/>
          <w:lang w:eastAsia="zh-CN"/>
        </w:rPr>
        <w:t>（</w:t>
      </w:r>
      <w:r>
        <w:rPr>
          <w:rFonts w:eastAsia="方正仿宋_GBK"/>
          <w:sz w:val="32"/>
          <w:szCs w:val="32"/>
        </w:rPr>
        <w:t>6</w:t>
      </w:r>
      <w:r>
        <w:rPr>
          <w:rFonts w:hint="eastAsia" w:eastAsia="方正仿宋_GBK"/>
          <w:sz w:val="32"/>
          <w:szCs w:val="32"/>
        </w:rPr>
        <w:t>）草地价格影响因素修正系数的确定</w:t>
      </w:r>
      <w:r>
        <w:rPr>
          <w:rFonts w:hint="eastAsia"/>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价格影响因素修正系数=1+</w:t>
      </w:r>
      <m:oMath>
        <m:nary>
          <m:naryPr>
            <m:chr m:val="∑"/>
            <m:limLoc m:val="undOvr"/>
            <m:ctrlPr>
              <w:rPr>
                <w:rFonts w:hint="eastAsia" w:ascii="Cambria Math" w:hAnsi="Cambria Math" w:eastAsia="方正仿宋_GBK" w:cs="Times New Roman"/>
                <w:sz w:val="32"/>
                <w:szCs w:val="32"/>
              </w:rPr>
            </m:ctrlPr>
          </m:naryPr>
          <m:sub>
            <m:r>
              <m:rPr>
                <m:sty m:val="p"/>
              </m:rPr>
              <w:rPr>
                <w:rFonts w:hint="eastAsia" w:ascii="Cambria Math" w:hAnsi="Cambria Math" w:eastAsia="方正仿宋_GBK" w:cs="Times New Roman"/>
                <w:sz w:val="32"/>
                <w:szCs w:val="32"/>
              </w:rPr>
              <m:t>i=1</m:t>
            </m:r>
            <m:ctrlPr>
              <w:rPr>
                <w:rFonts w:hint="eastAsia" w:ascii="Cambria Math" w:hAnsi="Cambria Math" w:eastAsia="方正仿宋_GBK" w:cs="Times New Roman"/>
                <w:sz w:val="32"/>
                <w:szCs w:val="32"/>
              </w:rPr>
            </m:ctrlPr>
          </m:sub>
          <m:sup>
            <m:r>
              <m:rPr>
                <m:sty m:val="p"/>
              </m:rPr>
              <w:rPr>
                <w:rFonts w:hint="eastAsia" w:ascii="Cambria Math" w:hAnsi="Cambria Math" w:eastAsia="方正仿宋_GBK" w:cs="Times New Roman"/>
                <w:sz w:val="32"/>
                <w:szCs w:val="32"/>
              </w:rPr>
              <m:t>n</m:t>
            </m:r>
            <m:ctrlPr>
              <w:rPr>
                <w:rFonts w:hint="eastAsia" w:ascii="Cambria Math" w:hAnsi="Cambria Math" w:eastAsia="方正仿宋_GBK" w:cs="Times New Roman"/>
                <w:sz w:val="32"/>
                <w:szCs w:val="32"/>
              </w:rPr>
            </m:ctrlPr>
          </m:sup>
          <m:e>
            <m:sSub>
              <m:sSubPr>
                <m:ctrlPr>
                  <w:rPr>
                    <w:rFonts w:hint="eastAsia" w:ascii="Cambria Math" w:hAnsi="Cambria Math" w:eastAsia="方正仿宋_GBK" w:cs="Times New Roman"/>
                    <w:sz w:val="32"/>
                    <w:szCs w:val="32"/>
                  </w:rPr>
                </m:ctrlPr>
              </m:sSubPr>
              <m:e>
                <m:r>
                  <m:rPr>
                    <m:sty m:val="p"/>
                  </m:rPr>
                  <w:rPr>
                    <w:rFonts w:hint="eastAsia" w:ascii="Cambria Math" w:hAnsi="Cambria Math" w:eastAsia="方正仿宋_GBK" w:cs="Times New Roman"/>
                    <w:sz w:val="32"/>
                    <w:szCs w:val="32"/>
                  </w:rPr>
                  <m:t>(K</m:t>
                </m:r>
                <m:ctrlPr>
                  <w:rPr>
                    <w:rFonts w:hint="eastAsia" w:ascii="Cambria Math" w:hAnsi="Cambria Math" w:eastAsia="方正仿宋_GBK" w:cs="Times New Roman"/>
                    <w:sz w:val="32"/>
                    <w:szCs w:val="32"/>
                  </w:rPr>
                </m:ctrlPr>
              </m:e>
              <m:sub>
                <m:eqArr>
                  <m:eqArrPr>
                    <m:ctrlPr>
                      <w:rPr>
                        <w:rFonts w:hint="eastAsia" w:ascii="Cambria Math" w:hAnsi="Cambria Math" w:eastAsia="方正仿宋_GBK" w:cs="Times New Roman"/>
                        <w:sz w:val="32"/>
                        <w:szCs w:val="32"/>
                      </w:rPr>
                    </m:ctrlPr>
                  </m:eqArrPr>
                  <m:e>
                    <m:r>
                      <m:rPr>
                        <m:sty m:val="p"/>
                      </m:rPr>
                      <w:rPr>
                        <w:rFonts w:hint="eastAsia" w:ascii="Cambria Math" w:hAnsi="Cambria Math" w:eastAsia="方正仿宋_GBK" w:cs="Times New Roman"/>
                        <w:sz w:val="32"/>
                        <w:szCs w:val="32"/>
                      </w:rPr>
                      <m:t>i</m:t>
                    </m:r>
                    <m:ctrlPr>
                      <w:rPr>
                        <w:rFonts w:hint="eastAsia" w:ascii="Cambria Math" w:hAnsi="Cambria Math" w:eastAsia="方正仿宋_GBK" w:cs="Times New Roman"/>
                        <w:sz w:val="32"/>
                        <w:szCs w:val="32"/>
                      </w:rPr>
                    </m:ctrlPr>
                  </m:e>
                  <m:e>
                    <m:ctrlPr>
                      <w:rPr>
                        <w:rFonts w:hint="eastAsia" w:ascii="Cambria Math" w:hAnsi="Cambria Math" w:eastAsia="方正仿宋_GBK" w:cs="Times New Roman"/>
                        <w:sz w:val="32"/>
                        <w:szCs w:val="32"/>
                      </w:rPr>
                    </m:ctrlPr>
                  </m:e>
                </m:eqArr>
                <m:ctrlPr>
                  <w:rPr>
                    <w:rFonts w:hint="eastAsia" w:ascii="Cambria Math" w:hAnsi="Cambria Math" w:eastAsia="方正仿宋_GBK" w:cs="Times New Roman"/>
                    <w:sz w:val="32"/>
                    <w:szCs w:val="32"/>
                  </w:rPr>
                </m:ctrlPr>
              </m:sub>
            </m:sSub>
            <m:r>
              <m:rPr>
                <m:sty m:val="p"/>
              </m:rPr>
              <w:rPr>
                <w:rFonts w:hint="eastAsia" w:ascii="Cambria Math" w:hAnsi="Cambria Math" w:eastAsia="方正仿宋_GBK" w:cs="Times New Roman"/>
                <w:sz w:val="32"/>
                <w:szCs w:val="32"/>
              </w:rPr>
              <m:t>÷100)</m:t>
            </m:r>
            <m:ctrlPr>
              <w:rPr>
                <w:rFonts w:hint="eastAsia" w:ascii="Cambria Math" w:hAnsi="Cambria Math" w:eastAsia="方正仿宋_GBK" w:cs="Times New Roman"/>
                <w:sz w:val="32"/>
                <w:szCs w:val="32"/>
              </w:rPr>
            </m:ctrlPr>
          </m:e>
        </m:nary>
      </m:oMath>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按照《草地价格影响修正系数表》，根据草地各种因素情况确定每种因素的修正系数，应用上述公式测算宗地的价格影响因素修正系数。Ki为待估草地第i种因素的修正系数。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sz w:val="32"/>
          <w:szCs w:val="32"/>
        </w:rPr>
        <w:sectPr>
          <w:pgSz w:w="11907" w:h="16840"/>
          <w:pgMar w:top="1418" w:right="1134" w:bottom="1134" w:left="1701" w:header="851" w:footer="1418" w:gutter="0"/>
          <w:pgNumType w:fmt="decimal"/>
          <w:cols w:space="720" w:num="1"/>
          <w:docGrid w:linePitch="312" w:charSpace="0"/>
        </w:sectPr>
      </w:pPr>
      <w:r>
        <w:rPr>
          <w:rFonts w:hint="eastAsia" w:ascii="Times New Roman" w:hAnsi="Times New Roman" w:eastAsia="方正仿宋_GBK" w:cs="Times New Roman"/>
          <w:sz w:val="32"/>
          <w:szCs w:val="32"/>
        </w:rPr>
        <w:t>详见附表：草地价格影响修正系数表</w:t>
      </w:r>
    </w:p>
    <w:p>
      <w:pPr>
        <w:widowControl/>
        <w:spacing w:line="240" w:lineRule="auto"/>
        <w:ind w:firstLine="0" w:firstLineChars="0"/>
        <w:jc w:val="center"/>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其他草地因素修正指标说明表</w:t>
      </w:r>
    </w:p>
    <w:tbl>
      <w:tblPr>
        <w:tblStyle w:val="15"/>
        <w:tblpPr w:leftFromText="180" w:rightFromText="180" w:vertAnchor="text" w:horzAnchor="page" w:tblpX="1127" w:tblpY="229"/>
        <w:tblOverlap w:val="never"/>
        <w:tblW w:w="145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685"/>
        <w:gridCol w:w="2353"/>
        <w:gridCol w:w="2354"/>
        <w:gridCol w:w="2354"/>
        <w:gridCol w:w="2354"/>
        <w:gridCol w:w="2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050"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社会经济因素</w:t>
            </w:r>
          </w:p>
        </w:tc>
        <w:tc>
          <w:tcPr>
            <w:tcW w:w="1685"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因素体系</w:t>
            </w:r>
          </w:p>
        </w:tc>
        <w:tc>
          <w:tcPr>
            <w:tcW w:w="11769" w:type="dxa"/>
            <w:gridSpan w:val="5"/>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修正指标说明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050"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685"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353"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优</w:t>
            </w:r>
          </w:p>
        </w:tc>
        <w:tc>
          <w:tcPr>
            <w:tcW w:w="2354"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较优</w:t>
            </w:r>
          </w:p>
        </w:tc>
        <w:tc>
          <w:tcPr>
            <w:tcW w:w="2354"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一般</w:t>
            </w:r>
          </w:p>
        </w:tc>
        <w:tc>
          <w:tcPr>
            <w:tcW w:w="2354"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较劣</w:t>
            </w:r>
          </w:p>
        </w:tc>
        <w:tc>
          <w:tcPr>
            <w:tcW w:w="2354"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050"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685"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353" w:type="dxa"/>
            <w:vMerge w:val="continue"/>
            <w:vAlign w:val="center"/>
          </w:tcPr>
          <w:p>
            <w:pPr>
              <w:widowControl/>
              <w:spacing w:line="240" w:lineRule="auto"/>
              <w:ind w:firstLine="0" w:firstLineChars="0"/>
              <w:jc w:val="center"/>
              <w:rPr>
                <w:rFonts w:eastAsia="方正仿宋_GBK" w:cs="宋体"/>
                <w:color w:val="000000"/>
                <w:kern w:val="0"/>
                <w:sz w:val="20"/>
                <w:szCs w:val="20"/>
              </w:rPr>
            </w:pPr>
          </w:p>
        </w:tc>
        <w:tc>
          <w:tcPr>
            <w:tcW w:w="2354" w:type="dxa"/>
            <w:vMerge w:val="continue"/>
            <w:vAlign w:val="center"/>
          </w:tcPr>
          <w:p>
            <w:pPr>
              <w:widowControl/>
              <w:spacing w:line="240" w:lineRule="auto"/>
              <w:ind w:firstLine="0" w:firstLineChars="0"/>
              <w:jc w:val="center"/>
              <w:rPr>
                <w:rFonts w:eastAsia="方正仿宋_GBK" w:cs="宋体"/>
                <w:color w:val="000000"/>
                <w:kern w:val="0"/>
                <w:sz w:val="20"/>
                <w:szCs w:val="20"/>
              </w:rPr>
            </w:pPr>
          </w:p>
        </w:tc>
        <w:tc>
          <w:tcPr>
            <w:tcW w:w="2354" w:type="dxa"/>
            <w:vMerge w:val="continue"/>
            <w:vAlign w:val="center"/>
          </w:tcPr>
          <w:p>
            <w:pPr>
              <w:widowControl/>
              <w:spacing w:line="240" w:lineRule="auto"/>
              <w:ind w:firstLine="0" w:firstLineChars="0"/>
              <w:jc w:val="center"/>
              <w:rPr>
                <w:rFonts w:eastAsia="方正仿宋_GBK" w:cs="宋体"/>
                <w:color w:val="000000"/>
                <w:kern w:val="0"/>
                <w:sz w:val="20"/>
                <w:szCs w:val="20"/>
              </w:rPr>
            </w:pPr>
          </w:p>
        </w:tc>
        <w:tc>
          <w:tcPr>
            <w:tcW w:w="2354" w:type="dxa"/>
            <w:vMerge w:val="continue"/>
            <w:vAlign w:val="center"/>
          </w:tcPr>
          <w:p>
            <w:pPr>
              <w:widowControl/>
              <w:spacing w:line="240" w:lineRule="auto"/>
              <w:ind w:firstLine="0" w:firstLineChars="0"/>
              <w:jc w:val="center"/>
              <w:rPr>
                <w:rFonts w:eastAsia="方正仿宋_GBK" w:cs="宋体"/>
                <w:color w:val="000000"/>
                <w:kern w:val="0"/>
                <w:sz w:val="20"/>
                <w:szCs w:val="20"/>
              </w:rPr>
            </w:pPr>
          </w:p>
        </w:tc>
        <w:tc>
          <w:tcPr>
            <w:tcW w:w="2354" w:type="dxa"/>
            <w:vMerge w:val="continue"/>
            <w:vAlign w:val="center"/>
          </w:tcPr>
          <w:p>
            <w:pPr>
              <w:widowControl/>
              <w:spacing w:line="240" w:lineRule="auto"/>
              <w:ind w:firstLine="0" w:firstLineChars="0"/>
              <w:jc w:val="center"/>
              <w:rPr>
                <w:rFonts w:eastAsia="方正仿宋_GBK"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050"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68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距水源地距离</w:t>
            </w:r>
          </w:p>
        </w:tc>
        <w:tc>
          <w:tcPr>
            <w:tcW w:w="2353"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充分满足（≥80%）</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满足（60%～80%）</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基本满足（40%～60%）</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较不满足（20%～40%）</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不满足（＜20%）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50"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68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道路通达度</w:t>
            </w:r>
          </w:p>
        </w:tc>
        <w:tc>
          <w:tcPr>
            <w:tcW w:w="2353"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国道、省道能通达</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县道能通达</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乡道能通达</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只有村道能通达</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无道路通达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1050"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68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产草量（kg/hm²）</w:t>
            </w:r>
          </w:p>
        </w:tc>
        <w:tc>
          <w:tcPr>
            <w:tcW w:w="2353"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≥6500</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[5000～</w:t>
            </w:r>
            <w:r>
              <w:rPr>
                <w:rFonts w:eastAsia="方正仿宋_GBK" w:cs="宋体"/>
                <w:color w:val="000000"/>
                <w:kern w:val="0"/>
                <w:sz w:val="20"/>
                <w:szCs w:val="20"/>
              </w:rPr>
              <w:t>6500</w:t>
            </w:r>
            <w:r>
              <w:rPr>
                <w:rFonts w:hint="eastAsia" w:eastAsia="方正仿宋_GBK" w:cs="宋体"/>
                <w:color w:val="000000"/>
                <w:kern w:val="0"/>
                <w:sz w:val="20"/>
                <w:szCs w:val="20"/>
              </w:rPr>
              <w:t>)</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[2500～</w:t>
            </w:r>
            <w:r>
              <w:rPr>
                <w:rFonts w:eastAsia="方正仿宋_GBK" w:cs="宋体"/>
                <w:color w:val="000000"/>
                <w:kern w:val="0"/>
                <w:sz w:val="20"/>
                <w:szCs w:val="20"/>
              </w:rPr>
              <w:t>5000</w:t>
            </w:r>
            <w:r>
              <w:rPr>
                <w:rFonts w:hint="eastAsia" w:eastAsia="方正仿宋_GBK" w:cs="宋体"/>
                <w:color w:val="000000"/>
                <w:kern w:val="0"/>
                <w:sz w:val="20"/>
                <w:szCs w:val="20"/>
              </w:rPr>
              <w:t>)</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[800～</w:t>
            </w:r>
            <w:r>
              <w:rPr>
                <w:rFonts w:eastAsia="方正仿宋_GBK" w:cs="宋体"/>
                <w:color w:val="000000"/>
                <w:kern w:val="0"/>
                <w:sz w:val="20"/>
                <w:szCs w:val="20"/>
              </w:rPr>
              <w:t>2500</w:t>
            </w:r>
            <w:r>
              <w:rPr>
                <w:rFonts w:hint="eastAsia" w:eastAsia="方正仿宋_GBK" w:cs="宋体"/>
                <w:color w:val="000000"/>
                <w:kern w:val="0"/>
                <w:sz w:val="20"/>
                <w:szCs w:val="20"/>
              </w:rPr>
              <w:t>)</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&lt;800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50"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自然因素</w:t>
            </w:r>
          </w:p>
        </w:tc>
        <w:tc>
          <w:tcPr>
            <w:tcW w:w="168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坡度(°)</w:t>
            </w:r>
          </w:p>
        </w:tc>
        <w:tc>
          <w:tcPr>
            <w:tcW w:w="2353"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＜5</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[5～15)</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[15～25)</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[25～35)</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050"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68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有效土层厚度（cm）</w:t>
            </w:r>
          </w:p>
        </w:tc>
        <w:tc>
          <w:tcPr>
            <w:tcW w:w="4707"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≥60</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[30～60)</w:t>
            </w:r>
          </w:p>
        </w:tc>
        <w:tc>
          <w:tcPr>
            <w:tcW w:w="4708"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050"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68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土壤有机质含量（g/Kg）</w:t>
            </w:r>
          </w:p>
        </w:tc>
        <w:tc>
          <w:tcPr>
            <w:tcW w:w="4707"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≥20</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[10～20)</w:t>
            </w:r>
          </w:p>
        </w:tc>
        <w:tc>
          <w:tcPr>
            <w:tcW w:w="4708" w:type="dxa"/>
            <w:gridSpan w:val="2"/>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050" w:type="dxa"/>
            <w:vMerge w:val="continue"/>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685"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土壤质地</w:t>
            </w:r>
          </w:p>
        </w:tc>
        <w:tc>
          <w:tcPr>
            <w:tcW w:w="2353"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壤质土</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砂壤土</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砂质土</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黏质土</w:t>
            </w:r>
          </w:p>
        </w:tc>
        <w:tc>
          <w:tcPr>
            <w:tcW w:w="2354" w:type="dxa"/>
            <w:shd w:val="clear" w:color="auto" w:fill="auto"/>
            <w:vAlign w:val="center"/>
          </w:tcPr>
          <w:p>
            <w:pPr>
              <w:widowControl/>
              <w:spacing w:line="240" w:lineRule="auto"/>
              <w:ind w:firstLine="0" w:firstLineChars="0"/>
              <w:jc w:val="center"/>
              <w:rPr>
                <w:rFonts w:eastAsia="方正仿宋_GBK" w:cs="宋体"/>
                <w:color w:val="000000"/>
                <w:kern w:val="0"/>
                <w:sz w:val="20"/>
                <w:szCs w:val="20"/>
              </w:rPr>
            </w:pPr>
            <w:r>
              <w:rPr>
                <w:rFonts w:hint="eastAsia" w:eastAsia="方正仿宋_GBK" w:cs="宋体"/>
                <w:color w:val="000000"/>
                <w:kern w:val="0"/>
                <w:sz w:val="20"/>
                <w:szCs w:val="20"/>
              </w:rPr>
              <w:t>砾质土</w:t>
            </w:r>
          </w:p>
        </w:tc>
      </w:tr>
    </w:tbl>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小标宋_GBK" w:hAnsi="方正小标宋_GBK" w:eastAsia="方正小标宋_GBK" w:cs="方正小标宋_GBK"/>
          <w:b w:val="0"/>
          <w:bCs/>
          <w:sz w:val="36"/>
          <w:szCs w:val="36"/>
        </w:rPr>
      </w:pPr>
    </w:p>
    <w:p>
      <w:pPr>
        <w:widowControl/>
        <w:spacing w:line="240" w:lineRule="auto"/>
        <w:ind w:firstLine="0" w:firstLineChars="0"/>
        <w:jc w:val="center"/>
        <w:rPr>
          <w:b/>
          <w:sz w:val="22"/>
          <w:szCs w:val="22"/>
        </w:rPr>
      </w:pPr>
    </w:p>
    <w:p>
      <w:pPr>
        <w:widowControl/>
        <w:spacing w:line="240" w:lineRule="auto"/>
        <w:ind w:firstLine="0" w:firstLineChars="0"/>
        <w:jc w:val="center"/>
        <w:rPr>
          <w:b/>
          <w:sz w:val="22"/>
          <w:szCs w:val="22"/>
        </w:rPr>
      </w:pPr>
    </w:p>
    <w:p>
      <w:pPr>
        <w:widowControl/>
        <w:spacing w:line="240" w:lineRule="auto"/>
        <w:ind w:firstLine="0" w:firstLineChars="0"/>
        <w:jc w:val="center"/>
        <w:rPr>
          <w:b/>
          <w:sz w:val="22"/>
          <w:szCs w:val="22"/>
        </w:rPr>
        <w:sectPr>
          <w:pgSz w:w="16840" w:h="11907" w:orient="landscape"/>
          <w:pgMar w:top="1701" w:right="1418" w:bottom="1134" w:left="1134" w:header="851" w:footer="1418" w:gutter="0"/>
          <w:pgNumType w:fmt="decimal"/>
          <w:cols w:space="720" w:num="1"/>
          <w:docGrid w:linePitch="435" w:charSpace="0"/>
        </w:sectPr>
      </w:pPr>
    </w:p>
    <w:p>
      <w:pPr>
        <w:widowControl/>
        <w:spacing w:line="240" w:lineRule="auto"/>
        <w:ind w:firstLine="0" w:firstLineChars="0"/>
        <w:jc w:val="both"/>
        <w:rPr>
          <w:rFonts w:hint="default" w:ascii="方正黑体_GBK" w:hAnsi="方正黑体_GBK" w:eastAsia="方正黑体_GBK" w:cs="方正黑体_GBK"/>
          <w:b w:val="0"/>
          <w:bCs/>
          <w:sz w:val="32"/>
          <w:szCs w:val="32"/>
          <w:lang w:val="en-US" w:eastAsia="zh-CN"/>
        </w:rPr>
      </w:pPr>
    </w:p>
    <w:p>
      <w:pPr>
        <w:widowControl/>
        <w:spacing w:line="240" w:lineRule="auto"/>
        <w:ind w:firstLine="0" w:firstLineChars="0"/>
        <w:jc w:val="center"/>
        <w:rPr>
          <w:rFonts w:hint="eastAsia" w:ascii="方正小标宋_GBK" w:hAnsi="方正小标宋_GBK" w:eastAsia="方正小标宋_GBK" w:cs="方正小标宋_GBK"/>
          <w:b w:val="0"/>
          <w:bCs/>
          <w:sz w:val="36"/>
          <w:szCs w:val="36"/>
        </w:rPr>
      </w:pPr>
      <w:r>
        <w:rPr>
          <w:rFonts w:hint="eastAsia" w:ascii="方正小标宋_GBK" w:hAnsi="方正小标宋_GBK" w:eastAsia="方正小标宋_GBK" w:cs="方正小标宋_GBK"/>
          <w:b w:val="0"/>
          <w:bCs/>
          <w:sz w:val="36"/>
          <w:szCs w:val="36"/>
        </w:rPr>
        <w:t>其他草地因素修正系数表</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方正小标宋_GBK" w:hAnsi="方正小标宋_GBK" w:eastAsia="方正小标宋_GBK" w:cs="方正小标宋_GBK"/>
          <w:b w:val="0"/>
          <w:bCs/>
          <w:sz w:val="36"/>
          <w:szCs w:val="36"/>
        </w:rPr>
      </w:pPr>
    </w:p>
    <w:tbl>
      <w:tblPr>
        <w:tblStyle w:val="15"/>
        <w:tblW w:w="14417" w:type="dxa"/>
        <w:tblInd w:w="2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2107"/>
        <w:gridCol w:w="1047"/>
        <w:gridCol w:w="1050"/>
        <w:gridCol w:w="1047"/>
        <w:gridCol w:w="1047"/>
        <w:gridCol w:w="1058"/>
        <w:gridCol w:w="1047"/>
        <w:gridCol w:w="1050"/>
        <w:gridCol w:w="1047"/>
        <w:gridCol w:w="1047"/>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818"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社会经济因素</w:t>
            </w:r>
          </w:p>
        </w:tc>
        <w:tc>
          <w:tcPr>
            <w:tcW w:w="2107"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因素体系</w:t>
            </w:r>
          </w:p>
        </w:tc>
        <w:tc>
          <w:tcPr>
            <w:tcW w:w="10492" w:type="dxa"/>
            <w:gridSpan w:val="10"/>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818"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10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5249" w:type="dxa"/>
            <w:gridSpan w:val="5"/>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default" w:ascii="Times New Roman" w:hAnsi="Times New Roman" w:eastAsia="方正黑体_GBK" w:cs="Times New Roman"/>
                <w:color w:val="000000"/>
                <w:kern w:val="0"/>
                <w:sz w:val="21"/>
                <w:szCs w:val="21"/>
              </w:rPr>
              <w:t>1</w:t>
            </w:r>
            <w:r>
              <w:rPr>
                <w:rFonts w:hint="eastAsia" w:ascii="方正黑体_GBK" w:hAnsi="方正黑体_GBK" w:eastAsia="方正黑体_GBK" w:cs="方正黑体_GBK"/>
                <w:color w:val="000000"/>
                <w:kern w:val="0"/>
                <w:sz w:val="21"/>
                <w:szCs w:val="21"/>
              </w:rPr>
              <w:t>级地</w:t>
            </w:r>
          </w:p>
        </w:tc>
        <w:tc>
          <w:tcPr>
            <w:tcW w:w="5243" w:type="dxa"/>
            <w:gridSpan w:val="5"/>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default" w:ascii="Times New Roman" w:hAnsi="Times New Roman" w:eastAsia="方正黑体_GBK" w:cs="Times New Roman"/>
                <w:color w:val="000000"/>
                <w:kern w:val="0"/>
                <w:sz w:val="21"/>
                <w:szCs w:val="21"/>
              </w:rPr>
              <w:t>2</w:t>
            </w:r>
            <w:r>
              <w:rPr>
                <w:rFonts w:hint="eastAsia" w:ascii="方正黑体_GBK" w:hAnsi="方正黑体_GBK" w:eastAsia="方正黑体_GBK" w:cs="方正黑体_GBK"/>
                <w:color w:val="000000"/>
                <w:kern w:val="0"/>
                <w:sz w:val="21"/>
                <w:szCs w:val="21"/>
              </w:rPr>
              <w:t>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818"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107"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104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优</w:t>
            </w:r>
          </w:p>
        </w:tc>
        <w:tc>
          <w:tcPr>
            <w:tcW w:w="1050"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较优</w:t>
            </w:r>
          </w:p>
        </w:tc>
        <w:tc>
          <w:tcPr>
            <w:tcW w:w="104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一般</w:t>
            </w:r>
          </w:p>
        </w:tc>
        <w:tc>
          <w:tcPr>
            <w:tcW w:w="104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较劣</w:t>
            </w:r>
          </w:p>
        </w:tc>
        <w:tc>
          <w:tcPr>
            <w:tcW w:w="1058"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劣</w:t>
            </w:r>
          </w:p>
        </w:tc>
        <w:tc>
          <w:tcPr>
            <w:tcW w:w="104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优</w:t>
            </w:r>
          </w:p>
        </w:tc>
        <w:tc>
          <w:tcPr>
            <w:tcW w:w="1050"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较优</w:t>
            </w:r>
          </w:p>
        </w:tc>
        <w:tc>
          <w:tcPr>
            <w:tcW w:w="104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一般</w:t>
            </w:r>
          </w:p>
        </w:tc>
        <w:tc>
          <w:tcPr>
            <w:tcW w:w="1047"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较劣</w:t>
            </w:r>
          </w:p>
        </w:tc>
        <w:tc>
          <w:tcPr>
            <w:tcW w:w="1052" w:type="dxa"/>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1818"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10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距水源地距离</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3.58</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1.79</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-1.55</w:t>
            </w:r>
          </w:p>
        </w:tc>
        <w:tc>
          <w:tcPr>
            <w:tcW w:w="1058"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-3.1</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3.48</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1.74</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-1.58</w:t>
            </w:r>
          </w:p>
        </w:tc>
        <w:tc>
          <w:tcPr>
            <w:tcW w:w="1052"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trPr>
        <w:tc>
          <w:tcPr>
            <w:tcW w:w="1818"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10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道路通达度</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2.16</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1.08</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-0.93</w:t>
            </w:r>
          </w:p>
        </w:tc>
        <w:tc>
          <w:tcPr>
            <w:tcW w:w="1058"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-1.85</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2.09</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1.05</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-0.95</w:t>
            </w:r>
          </w:p>
        </w:tc>
        <w:tc>
          <w:tcPr>
            <w:tcW w:w="1052"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trPr>
        <w:tc>
          <w:tcPr>
            <w:tcW w:w="1818"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10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产草量（kg/hm²）</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3.58</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1.79</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-1.55</w:t>
            </w:r>
          </w:p>
        </w:tc>
        <w:tc>
          <w:tcPr>
            <w:tcW w:w="1058"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-3.1</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3.48</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1.74</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-1.58</w:t>
            </w:r>
          </w:p>
        </w:tc>
        <w:tc>
          <w:tcPr>
            <w:tcW w:w="1052"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818" w:type="dxa"/>
            <w:vMerge w:val="restart"/>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自然因素</w:t>
            </w:r>
          </w:p>
        </w:tc>
        <w:tc>
          <w:tcPr>
            <w:tcW w:w="210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坡度(°)</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1.43</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0.72</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-0.62</w:t>
            </w:r>
          </w:p>
        </w:tc>
        <w:tc>
          <w:tcPr>
            <w:tcW w:w="1058"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-1.24</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1.39</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0.7</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-0.63</w:t>
            </w:r>
          </w:p>
        </w:tc>
        <w:tc>
          <w:tcPr>
            <w:tcW w:w="1052"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trPr>
        <w:tc>
          <w:tcPr>
            <w:tcW w:w="1818"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10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有效土层厚度（cm）</w:t>
            </w:r>
          </w:p>
        </w:tc>
        <w:tc>
          <w:tcPr>
            <w:tcW w:w="2097" w:type="dxa"/>
            <w:gridSpan w:val="2"/>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1.43</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2105" w:type="dxa"/>
            <w:gridSpan w:val="2"/>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-1.24</w:t>
            </w:r>
          </w:p>
        </w:tc>
        <w:tc>
          <w:tcPr>
            <w:tcW w:w="2097" w:type="dxa"/>
            <w:gridSpan w:val="2"/>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1.39</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2099" w:type="dxa"/>
            <w:gridSpan w:val="2"/>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1818"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10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土壤有机质含量（g/Kg）</w:t>
            </w:r>
          </w:p>
        </w:tc>
        <w:tc>
          <w:tcPr>
            <w:tcW w:w="2097" w:type="dxa"/>
            <w:gridSpan w:val="2"/>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1.43</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2105" w:type="dxa"/>
            <w:gridSpan w:val="2"/>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-1.24</w:t>
            </w:r>
          </w:p>
        </w:tc>
        <w:tc>
          <w:tcPr>
            <w:tcW w:w="2097" w:type="dxa"/>
            <w:gridSpan w:val="2"/>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1.39</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2099" w:type="dxa"/>
            <w:gridSpan w:val="2"/>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trPr>
        <w:tc>
          <w:tcPr>
            <w:tcW w:w="1818" w:type="dxa"/>
            <w:vMerge w:val="continue"/>
            <w:shd w:val="clear" w:color="auto" w:fill="auto"/>
            <w:vAlign w:val="center"/>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p>
        </w:tc>
        <w:tc>
          <w:tcPr>
            <w:tcW w:w="2107" w:type="dxa"/>
            <w:shd w:val="clear" w:color="auto" w:fill="auto"/>
            <w:vAlign w:val="center"/>
          </w:tcPr>
          <w:p>
            <w:pPr>
              <w:widowControl/>
              <w:spacing w:line="240" w:lineRule="auto"/>
              <w:ind w:firstLine="0" w:firstLineChars="0"/>
              <w:jc w:val="center"/>
              <w:rPr>
                <w:rFonts w:hint="default" w:ascii="Times New Roman" w:hAnsi="Times New Roman" w:eastAsia="方正黑体_GBK" w:cs="Times New Roman"/>
                <w:color w:val="000000"/>
                <w:kern w:val="0"/>
                <w:sz w:val="21"/>
                <w:szCs w:val="21"/>
              </w:rPr>
            </w:pPr>
            <w:r>
              <w:rPr>
                <w:rFonts w:hint="default" w:ascii="Times New Roman" w:hAnsi="Times New Roman" w:eastAsia="方正黑体_GBK" w:cs="Times New Roman"/>
                <w:color w:val="000000"/>
                <w:kern w:val="0"/>
                <w:sz w:val="21"/>
                <w:szCs w:val="21"/>
              </w:rPr>
              <w:t>土壤质地</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1.43</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0.72</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-0.62</w:t>
            </w:r>
          </w:p>
        </w:tc>
        <w:tc>
          <w:tcPr>
            <w:tcW w:w="1058"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-1.24</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1.39</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0.7</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-0.63</w:t>
            </w:r>
          </w:p>
        </w:tc>
        <w:tc>
          <w:tcPr>
            <w:tcW w:w="1052"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trPr>
        <w:tc>
          <w:tcPr>
            <w:tcW w:w="3925" w:type="dxa"/>
            <w:gridSpan w:val="2"/>
            <w:shd w:val="clear" w:color="auto" w:fill="auto"/>
            <w:vAlign w:val="bottom"/>
          </w:tcPr>
          <w:p>
            <w:pPr>
              <w:widowControl/>
              <w:spacing w:line="240" w:lineRule="auto"/>
              <w:ind w:firstLine="0" w:firstLineChars="0"/>
              <w:jc w:val="center"/>
              <w:rPr>
                <w:rFonts w:hint="eastAsia" w:ascii="方正黑体_GBK" w:hAnsi="方正黑体_GBK" w:eastAsia="方正黑体_GBK" w:cs="方正黑体_GBK"/>
                <w:color w:val="000000"/>
                <w:kern w:val="0"/>
                <w:sz w:val="21"/>
                <w:szCs w:val="21"/>
              </w:rPr>
            </w:pPr>
            <w:r>
              <w:rPr>
                <w:rFonts w:hint="eastAsia" w:ascii="方正黑体_GBK" w:hAnsi="方正黑体_GBK" w:eastAsia="方正黑体_GBK" w:cs="方正黑体_GBK"/>
                <w:color w:val="000000"/>
                <w:kern w:val="0"/>
                <w:sz w:val="21"/>
                <w:szCs w:val="21"/>
              </w:rPr>
              <w:t>合计</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15.04</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8.96</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-7.75</w:t>
            </w:r>
          </w:p>
        </w:tc>
        <w:tc>
          <w:tcPr>
            <w:tcW w:w="1058"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-13.01</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14.61</w:t>
            </w:r>
          </w:p>
        </w:tc>
        <w:tc>
          <w:tcPr>
            <w:tcW w:w="1050"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8.71</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0</w:t>
            </w:r>
          </w:p>
        </w:tc>
        <w:tc>
          <w:tcPr>
            <w:tcW w:w="1047"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-7.89</w:t>
            </w:r>
          </w:p>
        </w:tc>
        <w:tc>
          <w:tcPr>
            <w:tcW w:w="1052" w:type="dxa"/>
            <w:shd w:val="clear" w:color="auto" w:fill="auto"/>
            <w:vAlign w:val="center"/>
          </w:tcPr>
          <w:p>
            <w:pPr>
              <w:widowControl/>
              <w:spacing w:line="240" w:lineRule="auto"/>
              <w:ind w:firstLine="0" w:firstLineChars="0"/>
              <w:jc w:val="center"/>
              <w:rPr>
                <w:rFonts w:hint="eastAsia" w:asciiTheme="minorEastAsia" w:hAnsiTheme="minorEastAsia" w:eastAsiaTheme="minorEastAsia" w:cstheme="minorEastAsia"/>
                <w:color w:val="000000"/>
                <w:kern w:val="0"/>
                <w:sz w:val="20"/>
                <w:szCs w:val="20"/>
              </w:rPr>
            </w:pPr>
            <w:r>
              <w:rPr>
                <w:rFonts w:hint="eastAsia" w:asciiTheme="minorEastAsia" w:hAnsiTheme="minorEastAsia" w:eastAsiaTheme="minorEastAsia" w:cstheme="minorEastAsia"/>
                <w:color w:val="000000"/>
                <w:kern w:val="0"/>
                <w:sz w:val="20"/>
                <w:szCs w:val="20"/>
              </w:rPr>
              <w:t>-13.23</w:t>
            </w:r>
          </w:p>
        </w:tc>
      </w:tr>
    </w:tbl>
    <w:p>
      <w:pPr>
        <w:widowControl/>
        <w:spacing w:line="240" w:lineRule="auto"/>
        <w:ind w:firstLine="0" w:firstLineChars="0"/>
        <w:jc w:val="center"/>
        <w:rPr>
          <w:rFonts w:ascii="方正小标宋_GBK" w:hAnsi="仿宋" w:eastAsia="方正小标宋_GBK"/>
          <w:sz w:val="32"/>
          <w:szCs w:val="32"/>
        </w:rPr>
        <w:sectPr>
          <w:pgSz w:w="16840" w:h="11907" w:orient="landscape"/>
          <w:pgMar w:top="1701" w:right="1418" w:bottom="1134" w:left="1134" w:header="851" w:footer="1418" w:gutter="0"/>
          <w:pgNumType w:fmt="decimal"/>
          <w:cols w:space="720" w:num="1"/>
          <w:docGrid w:linePitch="435" w:charSpace="0"/>
        </w:sectPr>
      </w:pPr>
    </w:p>
    <w:p>
      <w:pPr>
        <w:rPr>
          <w:rFonts w:hint="eastAsia"/>
          <w:szCs w:val="32"/>
        </w:rPr>
      </w:pPr>
    </w:p>
    <w:p>
      <w:pPr>
        <w:rPr>
          <w:rFonts w:hint="eastAsia"/>
          <w:szCs w:val="32"/>
        </w:rPr>
      </w:pPr>
    </w:p>
    <w:p>
      <w:pPr>
        <w:rPr>
          <w:rFonts w:hint="eastAsia"/>
          <w:szCs w:val="32"/>
        </w:rPr>
      </w:pPr>
    </w:p>
    <w:p>
      <w:pPr>
        <w:rPr>
          <w:rFonts w:hint="eastAsia"/>
          <w:szCs w:val="32"/>
        </w:rPr>
      </w:pPr>
    </w:p>
    <w:p>
      <w:pPr>
        <w:rPr>
          <w:rFonts w:hint="eastAsia"/>
          <w:szCs w:val="32"/>
        </w:rPr>
      </w:pPr>
    </w:p>
    <w:p>
      <w:pPr>
        <w:rPr>
          <w:rFonts w:hint="eastAsia"/>
          <w:szCs w:val="32"/>
        </w:rPr>
      </w:pPr>
    </w:p>
    <w:p>
      <w:pPr>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spacing w:line="180" w:lineRule="exact"/>
        <w:ind w:right="1264" w:rightChars="400"/>
        <w:rPr>
          <w:rFonts w:hint="eastAsia"/>
          <w:szCs w:val="32"/>
        </w:rPr>
      </w:pPr>
    </w:p>
    <w:p>
      <w:pPr>
        <w:keepNext w:val="0"/>
        <w:keepLines w:val="0"/>
        <w:pageBreakBefore w:val="0"/>
        <w:widowControl w:val="0"/>
        <w:pBdr>
          <w:top w:val="single" w:color="auto" w:sz="6" w:space="1"/>
        </w:pBdr>
        <w:kinsoku/>
        <w:wordWrap/>
        <w:overflowPunct/>
        <w:topLinePunct w:val="0"/>
        <w:autoSpaceDE/>
        <w:autoSpaceDN/>
        <w:bidi w:val="0"/>
        <w:adjustRightInd/>
        <w:snapToGrid/>
        <w:ind w:firstLine="276" w:firstLineChars="100"/>
        <w:textAlignment w:val="auto"/>
        <w:rPr>
          <w:rFonts w:hint="eastAsia"/>
          <w:color w:val="000000"/>
          <w:kern w:val="0"/>
          <w:sz w:val="28"/>
          <w:szCs w:val="28"/>
          <w:lang w:eastAsia="zh"/>
        </w:rPr>
      </w:pPr>
      <w:r>
        <w:rPr>
          <w:rFonts w:hint="eastAsia"/>
          <w:color w:val="000000"/>
          <w:kern w:val="0"/>
          <w:sz w:val="28"/>
          <w:szCs w:val="28"/>
        </w:rPr>
        <w:t>抄送：</w:t>
      </w:r>
      <w:r>
        <w:rPr>
          <w:rFonts w:hint="eastAsia"/>
          <w:color w:val="000000"/>
          <w:kern w:val="0"/>
          <w:sz w:val="28"/>
          <w:szCs w:val="28"/>
          <w:lang w:eastAsia="zh"/>
        </w:rPr>
        <w:t>区</w:t>
      </w:r>
      <w:r>
        <w:rPr>
          <w:rFonts w:hint="eastAsia"/>
          <w:color w:val="000000"/>
          <w:spacing w:val="-11"/>
          <w:kern w:val="0"/>
          <w:sz w:val="28"/>
          <w:szCs w:val="28"/>
          <w:lang w:eastAsia="zh"/>
        </w:rPr>
        <w:t>委办公室，区人大常委会办公室，区政协办公室，区纪委</w:t>
      </w:r>
      <w:r>
        <w:rPr>
          <w:rFonts w:hint="eastAsia"/>
          <w:color w:val="000000"/>
          <w:kern w:val="0"/>
          <w:sz w:val="28"/>
          <w:szCs w:val="28"/>
          <w:lang w:eastAsia="zh"/>
        </w:rPr>
        <w:t>监委机关，</w:t>
      </w:r>
    </w:p>
    <w:p>
      <w:pPr>
        <w:pBdr>
          <w:top w:val="single" w:color="auto" w:sz="6" w:space="1"/>
        </w:pBdr>
        <w:ind w:firstLine="1104" w:firstLineChars="400"/>
        <w:rPr>
          <w:rFonts w:hint="eastAsia" w:eastAsia="方正仿宋_GBK"/>
          <w:color w:val="000000"/>
          <w:kern w:val="0"/>
          <w:sz w:val="28"/>
          <w:szCs w:val="28"/>
          <w:lang w:eastAsia="zh-CN"/>
        </w:rPr>
      </w:pPr>
      <w:r>
        <w:rPr>
          <w:rFonts w:hint="eastAsia"/>
          <w:color w:val="000000"/>
          <w:kern w:val="0"/>
          <w:sz w:val="28"/>
          <w:szCs w:val="28"/>
          <w:lang w:eastAsia="zh"/>
        </w:rPr>
        <w:t>区法院，区检察院，区人武部</w:t>
      </w:r>
      <w:r>
        <w:rPr>
          <w:rFonts w:hint="eastAsia"/>
          <w:color w:val="000000"/>
          <w:kern w:val="0"/>
          <w:sz w:val="28"/>
          <w:szCs w:val="28"/>
          <w:lang w:eastAsia="zh-CN"/>
        </w:rPr>
        <w:t>。</w:t>
      </w:r>
    </w:p>
    <w:p>
      <w:pPr>
        <w:pBdr>
          <w:top w:val="single" w:color="auto" w:sz="4" w:space="2"/>
          <w:bottom w:val="single" w:color="auto" w:sz="6" w:space="1"/>
        </w:pBdr>
        <w:ind w:firstLine="276" w:firstLineChars="100"/>
      </w:pPr>
      <w:r>
        <w:rPr>
          <w:rFonts w:hint="eastAsia"/>
          <w:color w:val="000000"/>
          <w:kern w:val="0"/>
          <w:sz w:val="28"/>
          <w:szCs w:val="28"/>
        </w:rPr>
        <w:t>重庆市綦江区人民政府办公室</w:t>
      </w:r>
      <w:r>
        <w:rPr>
          <w:sz w:val="28"/>
          <w:szCs w:val="28"/>
        </w:rPr>
        <w:t xml:space="preserve">          </w:t>
      </w:r>
      <w:r>
        <w:rPr>
          <w:rFonts w:hint="eastAsia"/>
          <w:sz w:val="28"/>
          <w:szCs w:val="28"/>
          <w:lang w:val="en-US" w:eastAsia="zh-CN"/>
        </w:rPr>
        <w:t xml:space="preserve"> </w:t>
      </w:r>
      <w:r>
        <w:rPr>
          <w:rFonts w:hint="eastAsia"/>
          <w:sz w:val="28"/>
          <w:szCs w:val="28"/>
        </w:rPr>
        <w:t xml:space="preserve">  </w:t>
      </w:r>
      <w:r>
        <w:rPr>
          <w:sz w:val="28"/>
          <w:szCs w:val="28"/>
        </w:rPr>
        <w:t xml:space="preserve">  </w:t>
      </w:r>
      <w:r>
        <w:rPr>
          <w:rFonts w:hint="eastAsia"/>
          <w:sz w:val="28"/>
          <w:szCs w:val="28"/>
          <w:lang w:val="en-US" w:eastAsia="zh-CN"/>
        </w:rPr>
        <w:t>2024</w:t>
      </w:r>
      <w:r>
        <w:rPr>
          <w:rFonts w:hint="eastAsia"/>
          <w:sz w:val="28"/>
          <w:szCs w:val="28"/>
        </w:rPr>
        <w:t>年</w:t>
      </w:r>
      <w:r>
        <w:rPr>
          <w:rFonts w:hint="eastAsia"/>
          <w:sz w:val="28"/>
          <w:szCs w:val="28"/>
          <w:lang w:val="en-US" w:eastAsia="zh-CN"/>
        </w:rPr>
        <w:t>9</w:t>
      </w:r>
      <w:r>
        <w:rPr>
          <w:rFonts w:hint="eastAsia"/>
          <w:sz w:val="28"/>
          <w:szCs w:val="28"/>
        </w:rPr>
        <w:t>月</w:t>
      </w:r>
      <w:r>
        <w:rPr>
          <w:rFonts w:hint="eastAsia"/>
          <w:sz w:val="28"/>
          <w:szCs w:val="28"/>
          <w:lang w:val="en-US" w:eastAsia="zh-CN"/>
        </w:rPr>
        <w:t>25</w:t>
      </w:r>
      <w:r>
        <w:rPr>
          <w:rFonts w:hint="eastAsia"/>
          <w:sz w:val="28"/>
          <w:szCs w:val="28"/>
        </w:rPr>
        <w:t>日印发</w:t>
      </w:r>
      <w:bookmarkEnd w:id="0"/>
    </w:p>
    <w:sectPr>
      <w:headerReference r:id="rId6" w:type="first"/>
      <w:headerReference r:id="rId4" w:type="default"/>
      <w:footerReference r:id="rId7" w:type="default"/>
      <w:headerReference r:id="rId5" w:type="even"/>
      <w:footerReference r:id="rId8" w:type="even"/>
      <w:pgSz w:w="11906" w:h="16838"/>
      <w:pgMar w:top="2098" w:right="1531" w:bottom="1985" w:left="1531" w:header="851" w:footer="1474" w:gutter="0"/>
      <w:pgNumType w:fmt="decimal"/>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DejaVu Math TeX Gyre">
    <w:altName w:val="Mangal"/>
    <w:panose1 w:val="02000503000000000000"/>
    <w:charset w:val="00"/>
    <w:family w:val="auto"/>
    <w:pitch w:val="default"/>
    <w:sig w:usb0="00000000" w:usb1="00000000" w:usb2="02000000" w:usb3="00000000" w:csb0="60000193" w:csb1="0DD40000"/>
  </w:font>
  <w:font w:name="Mangal">
    <w:panose1 w:val="02040503050203030202"/>
    <w:charset w:val="00"/>
    <w:family w:val="auto"/>
    <w:pitch w:val="default"/>
    <w:sig w:usb0="00008003" w:usb1="0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jc w:val="center"/>
    </w:pPr>
    <w:r>
      <w:rPr>
        <w:sz w:val="18"/>
      </w:rP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sz w:val="18"/>
      </w:rPr>
      <w:pict>
        <v:shape id="_x0000_s2050" o:spid="_x0000_s2050"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6"/>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28</w:t>
                </w:r>
                <w:r>
                  <w:rPr>
                    <w:sz w:val="28"/>
                    <w:szCs w:val="28"/>
                  </w:rPr>
                  <w:fldChar w:fldCharType="end"/>
                </w:r>
                <w:r>
                  <w:rPr>
                    <w:sz w:val="28"/>
                    <w:szCs w:val="2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right="360" w:firstLine="360"/>
      <w:jc w:val="right"/>
      <w:rPr>
        <w:sz w:val="28"/>
      </w:rPr>
    </w:pPr>
    <w:r>
      <w:rPr>
        <w:rStyle w:val="13"/>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2</w:t>
    </w:r>
    <w:r>
      <w:rPr>
        <w:kern w:val="0"/>
        <w:sz w:val="28"/>
      </w:rPr>
      <w:fldChar w:fldCharType="end"/>
    </w:r>
    <w:r>
      <w:rPr>
        <w:kern w:val="0"/>
        <w:sz w:val="28"/>
      </w:rPr>
      <w:t xml:space="preserve"> </w:t>
    </w:r>
    <w:r>
      <w:rPr>
        <w:rStyle w:val="13"/>
        <w:rFonts w:hint="eastAsia"/>
        <w:sz w:val="28"/>
      </w:rPr>
      <w:t>―</w:t>
    </w:r>
  </w:p>
  <w:p>
    <w:pPr>
      <w:pStyle w:val="6"/>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611401"/>
    <w:multiLevelType w:val="singleLevel"/>
    <w:tmpl w:val="9A611401"/>
    <w:lvl w:ilvl="0" w:tentative="0">
      <w:start w:val="1"/>
      <w:numFmt w:val="chineseCounting"/>
      <w:suff w:val="nothing"/>
      <w:lvlText w:val="%1、"/>
      <w:lvlJc w:val="left"/>
      <w:rPr>
        <w:rFonts w:hint="eastAsia"/>
      </w:rPr>
    </w:lvl>
  </w:abstractNum>
  <w:abstractNum w:abstractNumId="1">
    <w:nsid w:val="08CE3A06"/>
    <w:multiLevelType w:val="singleLevel"/>
    <w:tmpl w:val="08CE3A0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B174E7F8"/>
    <w:rsid w:val="16AFFF52"/>
    <w:rsid w:val="17DFD2B4"/>
    <w:rsid w:val="1BCF3333"/>
    <w:rsid w:val="1EF73D7B"/>
    <w:rsid w:val="1F2E4F35"/>
    <w:rsid w:val="1F3FA3A7"/>
    <w:rsid w:val="1F60335E"/>
    <w:rsid w:val="1F7DE604"/>
    <w:rsid w:val="24BBCE0A"/>
    <w:rsid w:val="27FF230A"/>
    <w:rsid w:val="2BF43127"/>
    <w:rsid w:val="2D92A3FB"/>
    <w:rsid w:val="2DF5926D"/>
    <w:rsid w:val="2FBFE110"/>
    <w:rsid w:val="31FE589A"/>
    <w:rsid w:val="35F70400"/>
    <w:rsid w:val="35FF4592"/>
    <w:rsid w:val="37BD12DA"/>
    <w:rsid w:val="3A9A456F"/>
    <w:rsid w:val="3AD6B151"/>
    <w:rsid w:val="3BBF4A62"/>
    <w:rsid w:val="3BBF58CF"/>
    <w:rsid w:val="3D1FE04E"/>
    <w:rsid w:val="3DF9F40C"/>
    <w:rsid w:val="3EF5C381"/>
    <w:rsid w:val="3F5FB03F"/>
    <w:rsid w:val="3FDF9198"/>
    <w:rsid w:val="3FFE1CAB"/>
    <w:rsid w:val="3FFF203D"/>
    <w:rsid w:val="45BF6D6A"/>
    <w:rsid w:val="47FF5CDD"/>
    <w:rsid w:val="48FD3B10"/>
    <w:rsid w:val="4AFFE77D"/>
    <w:rsid w:val="4DCF7ADB"/>
    <w:rsid w:val="4F3FD5D5"/>
    <w:rsid w:val="4F7EAE32"/>
    <w:rsid w:val="4F7F5F4D"/>
    <w:rsid w:val="4FFF410A"/>
    <w:rsid w:val="52FFF6B9"/>
    <w:rsid w:val="55DDF3A9"/>
    <w:rsid w:val="55EBA924"/>
    <w:rsid w:val="56BFA3AE"/>
    <w:rsid w:val="576F5CDB"/>
    <w:rsid w:val="57F5F7B3"/>
    <w:rsid w:val="5A27538A"/>
    <w:rsid w:val="5AFF6BC9"/>
    <w:rsid w:val="5D9FF82E"/>
    <w:rsid w:val="5E4F6FB7"/>
    <w:rsid w:val="5E7FF3DC"/>
    <w:rsid w:val="5F9F55F8"/>
    <w:rsid w:val="5FFD269C"/>
    <w:rsid w:val="62156DD4"/>
    <w:rsid w:val="65EA0943"/>
    <w:rsid w:val="67FFC869"/>
    <w:rsid w:val="69660216"/>
    <w:rsid w:val="6BAD0240"/>
    <w:rsid w:val="6BEAF715"/>
    <w:rsid w:val="6CB5C7F9"/>
    <w:rsid w:val="6CEDCA2A"/>
    <w:rsid w:val="6DFE2971"/>
    <w:rsid w:val="6DFE72F4"/>
    <w:rsid w:val="6E73EC1B"/>
    <w:rsid w:val="6E9D1351"/>
    <w:rsid w:val="6FDE1C97"/>
    <w:rsid w:val="6FEBB55B"/>
    <w:rsid w:val="6FFF1787"/>
    <w:rsid w:val="6FFFFE9F"/>
    <w:rsid w:val="739FBDF2"/>
    <w:rsid w:val="73F5C3B4"/>
    <w:rsid w:val="756BF230"/>
    <w:rsid w:val="767F1540"/>
    <w:rsid w:val="772F005F"/>
    <w:rsid w:val="778BB55D"/>
    <w:rsid w:val="77BF7873"/>
    <w:rsid w:val="77CCCC80"/>
    <w:rsid w:val="78EF1902"/>
    <w:rsid w:val="7975AC8E"/>
    <w:rsid w:val="797F1BBC"/>
    <w:rsid w:val="79EBBAE3"/>
    <w:rsid w:val="79FCF3AD"/>
    <w:rsid w:val="7AEBE65C"/>
    <w:rsid w:val="7AFD502A"/>
    <w:rsid w:val="7BBB2D4F"/>
    <w:rsid w:val="7BBFC743"/>
    <w:rsid w:val="7BDD4985"/>
    <w:rsid w:val="7BDF7BA9"/>
    <w:rsid w:val="7BEFE62C"/>
    <w:rsid w:val="7BFFBE68"/>
    <w:rsid w:val="7C0F75ED"/>
    <w:rsid w:val="7D2EB89C"/>
    <w:rsid w:val="7D4EDE68"/>
    <w:rsid w:val="7DFF38A0"/>
    <w:rsid w:val="7E5E4F58"/>
    <w:rsid w:val="7EBB0840"/>
    <w:rsid w:val="7EBED4E9"/>
    <w:rsid w:val="7ED7FA84"/>
    <w:rsid w:val="7EFDAA72"/>
    <w:rsid w:val="7F1FFF83"/>
    <w:rsid w:val="7F37AF67"/>
    <w:rsid w:val="7F47B87E"/>
    <w:rsid w:val="7F677717"/>
    <w:rsid w:val="7F6E8466"/>
    <w:rsid w:val="7FCE4C11"/>
    <w:rsid w:val="7FCF6932"/>
    <w:rsid w:val="7FD9FB7B"/>
    <w:rsid w:val="7FDF029B"/>
    <w:rsid w:val="7FEF65DB"/>
    <w:rsid w:val="7FEFB831"/>
    <w:rsid w:val="7FF13152"/>
    <w:rsid w:val="7FFB9BCD"/>
    <w:rsid w:val="7FFBCA2D"/>
    <w:rsid w:val="7FFFFA75"/>
    <w:rsid w:val="97B757CD"/>
    <w:rsid w:val="99CE332D"/>
    <w:rsid w:val="9BEE7E05"/>
    <w:rsid w:val="9D6AA842"/>
    <w:rsid w:val="9EFB161B"/>
    <w:rsid w:val="9F570CF6"/>
    <w:rsid w:val="9F7F3073"/>
    <w:rsid w:val="A37F07DF"/>
    <w:rsid w:val="A58D25F5"/>
    <w:rsid w:val="A73E96CF"/>
    <w:rsid w:val="AF27BFDE"/>
    <w:rsid w:val="AFB98D11"/>
    <w:rsid w:val="B174E7F8"/>
    <w:rsid w:val="B2F71E8E"/>
    <w:rsid w:val="B769E882"/>
    <w:rsid w:val="B76CA5AE"/>
    <w:rsid w:val="BAFF8403"/>
    <w:rsid w:val="BBAF3762"/>
    <w:rsid w:val="BBDFE6A6"/>
    <w:rsid w:val="BBEB4493"/>
    <w:rsid w:val="BBFD52CA"/>
    <w:rsid w:val="BDF8A793"/>
    <w:rsid w:val="BF3AD29F"/>
    <w:rsid w:val="BF6B985A"/>
    <w:rsid w:val="BF7F807F"/>
    <w:rsid w:val="BF964B25"/>
    <w:rsid w:val="BFB91CED"/>
    <w:rsid w:val="BFEB6508"/>
    <w:rsid w:val="BFFBB0AC"/>
    <w:rsid w:val="C4715150"/>
    <w:rsid w:val="CD5F6D5B"/>
    <w:rsid w:val="CF75A1EC"/>
    <w:rsid w:val="CF9FDED7"/>
    <w:rsid w:val="CFBBF675"/>
    <w:rsid w:val="CFBF7B21"/>
    <w:rsid w:val="CFD9B4A1"/>
    <w:rsid w:val="CFFB5736"/>
    <w:rsid w:val="D1CFD461"/>
    <w:rsid w:val="D8B2FFD0"/>
    <w:rsid w:val="DBF6CD9C"/>
    <w:rsid w:val="DEFFCA19"/>
    <w:rsid w:val="DF3F6B00"/>
    <w:rsid w:val="DF7F77FD"/>
    <w:rsid w:val="DFF34FEC"/>
    <w:rsid w:val="DFF73735"/>
    <w:rsid w:val="DFFF68F0"/>
    <w:rsid w:val="DFFFF600"/>
    <w:rsid w:val="E0ED7445"/>
    <w:rsid w:val="E4FBBD9B"/>
    <w:rsid w:val="E9F7B0AE"/>
    <w:rsid w:val="E9FCFA50"/>
    <w:rsid w:val="E9FF1538"/>
    <w:rsid w:val="EBFCDC59"/>
    <w:rsid w:val="EEFF61C6"/>
    <w:rsid w:val="EF6D355B"/>
    <w:rsid w:val="EF6E7EF6"/>
    <w:rsid w:val="EFBF53B6"/>
    <w:rsid w:val="EFD72E9E"/>
    <w:rsid w:val="F135BAEB"/>
    <w:rsid w:val="F19F0CA2"/>
    <w:rsid w:val="F5F7F951"/>
    <w:rsid w:val="F63335D2"/>
    <w:rsid w:val="F6AD0E4E"/>
    <w:rsid w:val="F6FF9D47"/>
    <w:rsid w:val="F77FF4F0"/>
    <w:rsid w:val="F7AF7C68"/>
    <w:rsid w:val="F7F7428C"/>
    <w:rsid w:val="F7FD3336"/>
    <w:rsid w:val="F823C3D6"/>
    <w:rsid w:val="F8CF5D15"/>
    <w:rsid w:val="F8D6A1C4"/>
    <w:rsid w:val="F9A99077"/>
    <w:rsid w:val="F9DB8A83"/>
    <w:rsid w:val="FADFADEB"/>
    <w:rsid w:val="FB2D248F"/>
    <w:rsid w:val="FB5FAC5D"/>
    <w:rsid w:val="FB6AFBCA"/>
    <w:rsid w:val="FB955B2F"/>
    <w:rsid w:val="FBBF466B"/>
    <w:rsid w:val="FBD793EF"/>
    <w:rsid w:val="FBF721B8"/>
    <w:rsid w:val="FBF7B84E"/>
    <w:rsid w:val="FBFE0044"/>
    <w:rsid w:val="FBFF92A0"/>
    <w:rsid w:val="FBFF98F3"/>
    <w:rsid w:val="FCCCE028"/>
    <w:rsid w:val="FD8F88DB"/>
    <w:rsid w:val="FEDF5328"/>
    <w:rsid w:val="FEEDD30A"/>
    <w:rsid w:val="FEF264F4"/>
    <w:rsid w:val="FEF948B6"/>
    <w:rsid w:val="FEFB9551"/>
    <w:rsid w:val="FF7F8761"/>
    <w:rsid w:val="FF8D21DA"/>
    <w:rsid w:val="FFC954CA"/>
    <w:rsid w:val="FFCF8599"/>
    <w:rsid w:val="FFD7950E"/>
    <w:rsid w:val="FFDD7315"/>
    <w:rsid w:val="FFDDB933"/>
    <w:rsid w:val="FFDFA158"/>
    <w:rsid w:val="FFEAD948"/>
    <w:rsid w:val="FFF5EF49"/>
    <w:rsid w:val="FFF632C7"/>
    <w:rsid w:val="FFF7C0BE"/>
    <w:rsid w:val="FFFBA1E3"/>
    <w:rsid w:val="FFFBB2B6"/>
    <w:rsid w:val="FFFD2F57"/>
    <w:rsid w:val="FFFD7C85"/>
    <w:rsid w:val="FFFDDE4C"/>
    <w:rsid w:val="FFFF8A3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2"/>
    <w:basedOn w:val="1"/>
    <w:next w:val="1"/>
    <w:unhideWhenUsed/>
    <w:qFormat/>
    <w:uiPriority w:val="9"/>
    <w:pPr>
      <w:keepNext/>
      <w:keepLines/>
      <w:spacing w:before="260" w:after="260" w:line="416" w:lineRule="atLeast"/>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9"/>
    <w:pPr>
      <w:keepNext/>
      <w:keepLines/>
      <w:spacing w:before="260" w:after="260" w:line="416" w:lineRule="atLeast"/>
      <w:outlineLvl w:val="2"/>
    </w:pPr>
    <w:rPr>
      <w:rFonts w:eastAsia="宋体"/>
      <w:b/>
      <w:bCs/>
      <w:sz w:val="32"/>
      <w:szCs w:val="32"/>
    </w:rPr>
  </w:style>
  <w:style w:type="character" w:default="1" w:styleId="12">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4">
    <w:name w:val="Plain Text"/>
    <w:basedOn w:val="1"/>
    <w:qFormat/>
    <w:uiPriority w:val="0"/>
    <w:rPr>
      <w:rFonts w:ascii="宋体" w:hAnsi="Courier New" w:eastAsia="宋体" w:cs="Courier New"/>
      <w:sz w:val="21"/>
      <w:szCs w:val="21"/>
    </w:rPr>
  </w:style>
  <w:style w:type="paragraph" w:styleId="5">
    <w:name w:val="Balloon Text"/>
    <w:basedOn w:val="1"/>
    <w:link w:val="18"/>
    <w:qFormat/>
    <w:uiPriority w:val="0"/>
    <w:rPr>
      <w:rFonts w:eastAsia="宋体"/>
      <w:sz w:val="18"/>
      <w:szCs w:val="18"/>
    </w:rPr>
  </w:style>
  <w:style w:type="paragraph" w:styleId="6">
    <w:name w:val="footer"/>
    <w:basedOn w:val="1"/>
    <w:link w:val="20"/>
    <w:unhideWhenUsed/>
    <w:qFormat/>
    <w:uiPriority w:val="99"/>
    <w:pPr>
      <w:tabs>
        <w:tab w:val="center" w:pos="4153"/>
        <w:tab w:val="right" w:pos="8306"/>
      </w:tabs>
      <w:snapToGrid w:val="0"/>
      <w:jc w:val="left"/>
    </w:pPr>
    <w:rPr>
      <w:sz w:val="18"/>
    </w:rPr>
  </w:style>
  <w:style w:type="paragraph" w:styleId="7">
    <w:name w:val="header"/>
    <w:basedOn w:val="1"/>
    <w:link w:val="19"/>
    <w:unhideWhenUsed/>
    <w:qFormat/>
    <w:uiPriority w:val="0"/>
    <w:pPr>
      <w:pBdr>
        <w:bottom w:val="single" w:color="auto" w:sz="6" w:space="1"/>
      </w:pBdr>
      <w:tabs>
        <w:tab w:val="center" w:pos="4153"/>
        <w:tab w:val="right" w:pos="8306"/>
      </w:tabs>
      <w:snapToGrid w:val="0"/>
      <w:jc w:val="center"/>
    </w:pPr>
    <w:rPr>
      <w:sz w:val="18"/>
    </w:rPr>
  </w:style>
  <w:style w:type="paragraph" w:styleId="8">
    <w:name w:val="toc 1"/>
    <w:basedOn w:val="1"/>
    <w:next w:val="1"/>
    <w:unhideWhenUsed/>
    <w:qFormat/>
    <w:uiPriority w:val="39"/>
    <w:rPr>
      <w:rFonts w:ascii="Calibri" w:hAnsi="Calibri" w:eastAsia="宋体"/>
      <w:sz w:val="21"/>
      <w:szCs w:val="22"/>
    </w:rPr>
  </w:style>
  <w:style w:type="paragraph" w:styleId="9">
    <w:name w:val="footnote text"/>
    <w:basedOn w:val="1"/>
    <w:link w:val="21"/>
    <w:qFormat/>
    <w:uiPriority w:val="99"/>
    <w:pPr>
      <w:snapToGrid w:val="0"/>
      <w:jc w:val="left"/>
    </w:pPr>
    <w:rPr>
      <w:rFonts w:eastAsia="宋体"/>
      <w:sz w:val="18"/>
      <w:szCs w:val="18"/>
    </w:rPr>
  </w:style>
  <w:style w:type="paragraph" w:styleId="10">
    <w:name w:val="toc 2"/>
    <w:basedOn w:val="1"/>
    <w:next w:val="1"/>
    <w:unhideWhenUsed/>
    <w:qFormat/>
    <w:uiPriority w:val="39"/>
    <w:pPr>
      <w:ind w:left="420" w:leftChars="200"/>
    </w:pPr>
    <w:rPr>
      <w:rFonts w:ascii="Calibri" w:hAnsi="Calibri" w:eastAsia="宋体"/>
      <w:sz w:val="21"/>
      <w:szCs w:val="22"/>
    </w:rPr>
  </w:style>
  <w:style w:type="paragraph" w:styleId="11">
    <w:name w:val="Normal (Web)"/>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character" w:styleId="13">
    <w:name w:val="page number"/>
    <w:basedOn w:val="12"/>
    <w:qFormat/>
    <w:uiPriority w:val="0"/>
  </w:style>
  <w:style w:type="character" w:styleId="14">
    <w:name w:val="footnote reference"/>
    <w:unhideWhenUsed/>
    <w:qFormat/>
    <w:uiPriority w:val="99"/>
    <w:rPr>
      <w:rFonts w:ascii="Times New Roman" w:hAnsi="Times New Roman" w:eastAsia="宋体" w:cs="Times New Roman"/>
      <w:vertAlign w:val="superscript"/>
    </w:rPr>
  </w:style>
  <w:style w:type="table" w:styleId="16">
    <w:name w:val="Table Grid"/>
    <w:basedOn w:val="15"/>
    <w:unhideWhenUsed/>
    <w:qFormat/>
    <w:uiPriority w:val="3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_Style 15"/>
    <w:basedOn w:val="1"/>
    <w:qFormat/>
    <w:uiPriority w:val="0"/>
    <w:rPr>
      <w:rFonts w:ascii="Arial" w:hAnsi="Arial" w:eastAsia="仿宋_GB2312" w:cs="Arial"/>
      <w:sz w:val="20"/>
    </w:rPr>
  </w:style>
  <w:style w:type="character" w:customStyle="1" w:styleId="18">
    <w:name w:val="批注框文本 Char"/>
    <w:link w:val="5"/>
    <w:qFormat/>
    <w:uiPriority w:val="0"/>
    <w:rPr>
      <w:rFonts w:ascii="Times New Roman" w:hAnsi="Times New Roman" w:eastAsia="宋体" w:cs="Times New Roman"/>
      <w:sz w:val="18"/>
      <w:szCs w:val="18"/>
    </w:rPr>
  </w:style>
  <w:style w:type="character" w:customStyle="1" w:styleId="19">
    <w:name w:val="页眉 Char"/>
    <w:link w:val="7"/>
    <w:qFormat/>
    <w:uiPriority w:val="0"/>
    <w:rPr>
      <w:rFonts w:ascii="Times New Roman" w:hAnsi="Times New Roman" w:eastAsia="宋体" w:cs="Times New Roman"/>
      <w:sz w:val="18"/>
    </w:rPr>
  </w:style>
  <w:style w:type="character" w:customStyle="1" w:styleId="20">
    <w:name w:val="页脚 Char"/>
    <w:link w:val="6"/>
    <w:qFormat/>
    <w:uiPriority w:val="99"/>
    <w:rPr>
      <w:rFonts w:ascii="Times New Roman" w:hAnsi="Times New Roman" w:eastAsia="宋体" w:cs="Times New Roman"/>
      <w:sz w:val="18"/>
    </w:rPr>
  </w:style>
  <w:style w:type="character" w:customStyle="1" w:styleId="21">
    <w:name w:val="脚注文本 Char"/>
    <w:link w:val="9"/>
    <w:qFormat/>
    <w:uiPriority w:val="99"/>
    <w:rPr>
      <w:rFonts w:ascii="Times New Roman" w:hAnsi="Times New Roman" w:eastAsia="宋体" w:cs="Times New Roman"/>
      <w:sz w:val="18"/>
      <w:szCs w:val="18"/>
    </w:rPr>
  </w:style>
  <w:style w:type="character" w:customStyle="1" w:styleId="22">
    <w:name w:val="脚注文本 Char1"/>
    <w:basedOn w:val="12"/>
    <w:qFormat/>
    <w:uiPriority w:val="0"/>
    <w:rPr>
      <w:rFonts w:ascii="Times New Roman" w:hAnsi="Times New Roman" w:eastAsia="宋体" w:cs="Times New Roman"/>
      <w:kern w:val="2"/>
      <w:sz w:val="18"/>
      <w:szCs w:val="18"/>
    </w:rPr>
  </w:style>
  <w:style w:type="paragraph" w:customStyle="1" w:styleId="23">
    <w:name w:val="表头"/>
    <w:basedOn w:val="1"/>
    <w:qFormat/>
    <w:uiPriority w:val="0"/>
    <w:pPr>
      <w:widowControl/>
      <w:jc w:val="center"/>
    </w:pPr>
    <w:rPr>
      <w:rFonts w:eastAsia="仿宋"/>
      <w:b/>
      <w:sz w:val="28"/>
      <w:szCs w:val="28"/>
    </w:rPr>
  </w:style>
  <w:style w:type="paragraph" w:customStyle="1" w:styleId="24">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5">
    <w:name w:val="表格（小四）"/>
    <w:basedOn w:val="1"/>
    <w:qFormat/>
    <w:uiPriority w:val="0"/>
    <w:pPr>
      <w:widowControl/>
      <w:spacing w:line="320" w:lineRule="exact"/>
      <w:jc w:val="center"/>
    </w:pPr>
    <w:rPr>
      <w:rFonts w:eastAsia="仿宋"/>
      <w:sz w:val="24"/>
      <w:szCs w:val="24"/>
    </w:rPr>
  </w:style>
  <w:style w:type="paragraph" w:customStyle="1" w:styleId="26">
    <w:name w:val="文头"/>
    <w:basedOn w:val="1"/>
    <w:qFormat/>
    <w:uiPriority w:val="0"/>
    <w:pPr>
      <w:jc w:val="center"/>
    </w:pPr>
    <w:rPr>
      <w:rFonts w:eastAsia="仿宋"/>
      <w:b/>
      <w:sz w:val="32"/>
      <w:szCs w:val="32"/>
    </w:rPr>
  </w:style>
  <w:style w:type="paragraph" w:customStyle="1" w:styleId="27">
    <w:name w:val="WPSOffice手动目录 1"/>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 China</Company>
  <Pages>28</Pages>
  <Words>6357</Words>
  <Characters>7567</Characters>
  <Lines>1891</Lines>
  <Paragraphs>1989</Paragraphs>
  <TotalTime>29</TotalTime>
  <ScaleCrop>false</ScaleCrop>
  <LinksUpToDate>false</LinksUpToDate>
  <CharactersWithSpaces>11935</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2016-06-11T01:29:00Z</dcterms:created>
  <dc:creator>贺晓霞</dc:creator>
  <cp:lastModifiedBy>Administrator</cp:lastModifiedBy>
  <cp:lastPrinted>2024-10-01T23:05:00Z</cp:lastPrinted>
  <dcterms:modified xsi:type="dcterms:W3CDTF">2025-01-17T10:55:59Z</dcterms:modified>
  <dc:title>题    目：关于提请审定重庆渝南文化发展有限责任公司土地收益金先征后返的请示</dc:title>
  <cp:revision>275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ICV">
    <vt:lpwstr>1A1348B57B83494B91F4966109919C49_13</vt:lpwstr>
  </property>
</Properties>
</file>