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bookmarkStart w:id="434" w:name="_GoBack"/>
      <w:bookmarkEnd w:id="434"/>
    </w:p>
    <w:p>
      <w:pPr>
        <w:jc w:val="center"/>
        <w:rPr>
          <w:rFonts w:hint="eastAsia" w:eastAsia="方正楷体_GBK"/>
        </w:rPr>
      </w:pPr>
    </w:p>
    <w:p>
      <w:pPr>
        <w:pStyle w:val="2"/>
        <w:spacing w:line="400" w:lineRule="exact"/>
      </w:pPr>
      <w:bookmarkStart w:id="0" w:name="正文"/>
    </w:p>
    <w:p>
      <w:pPr>
        <w:pStyle w:val="3"/>
        <w:spacing w:line="580" w:lineRule="exact"/>
        <w:rPr>
          <w:rFonts w:cs="Times New Roman"/>
        </w:rPr>
      </w:pPr>
      <w:bookmarkStart w:id="1" w:name="_Toc158038095"/>
      <w:bookmarkStart w:id="2" w:name="_Toc158038191"/>
      <w:bookmarkStart w:id="3" w:name="_Toc158038021"/>
      <w:r>
        <w:rPr>
          <w:rFonts w:cs="Times New Roman"/>
        </w:rPr>
        <w:t>重庆市綦江区人民政府</w:t>
      </w:r>
      <w:bookmarkEnd w:id="1"/>
      <w:bookmarkEnd w:id="2"/>
      <w:bookmarkEnd w:id="3"/>
    </w:p>
    <w:p>
      <w:pPr>
        <w:pStyle w:val="3"/>
        <w:spacing w:line="580" w:lineRule="exact"/>
        <w:rPr>
          <w:rFonts w:cs="Times New Roman"/>
          <w:b/>
          <w:bCs/>
        </w:rPr>
      </w:pPr>
      <w:bookmarkStart w:id="4" w:name="_Toc158038022"/>
      <w:bookmarkStart w:id="5" w:name="_Toc158038192"/>
      <w:bookmarkStart w:id="6" w:name="_Toc158038096"/>
      <w:r>
        <w:rPr>
          <w:rFonts w:cs="Times New Roman"/>
          <w:spacing w:val="-17"/>
        </w:rPr>
        <w:t>关于印发《</w:t>
      </w:r>
      <w:bookmarkStart w:id="7" w:name="_Hlk158038840"/>
      <w:r>
        <w:rPr>
          <w:rFonts w:hint="eastAsia" w:cs="Times New Roman"/>
          <w:spacing w:val="-17"/>
        </w:rPr>
        <w:t>綦江中心城区抗震防灾专项规划</w:t>
      </w:r>
      <w:r>
        <w:rPr>
          <w:rFonts w:cs="Times New Roman"/>
        </w:rPr>
        <w:t>（2022—20</w:t>
      </w:r>
      <w:r>
        <w:rPr>
          <w:rFonts w:hint="eastAsia" w:cs="Times New Roman"/>
          <w:lang w:val="en-US" w:eastAsia="zh-CN"/>
        </w:rPr>
        <w:t>3</w:t>
      </w:r>
      <w:r>
        <w:rPr>
          <w:rFonts w:cs="Times New Roman"/>
        </w:rPr>
        <w:t>5年）</w:t>
      </w:r>
      <w:bookmarkEnd w:id="7"/>
      <w:r>
        <w:rPr>
          <w:rFonts w:cs="Times New Roman"/>
        </w:rPr>
        <w:t>》的通知</w:t>
      </w:r>
      <w:bookmarkEnd w:id="4"/>
      <w:bookmarkEnd w:id="5"/>
      <w:bookmarkEnd w:id="6"/>
    </w:p>
    <w:p>
      <w:pPr>
        <w:spacing w:line="540" w:lineRule="exact"/>
        <w:ind w:firstLine="632" w:firstLineChars="200"/>
        <w:rPr>
          <w:szCs w:val="32"/>
        </w:rPr>
      </w:pPr>
    </w:p>
    <w:p>
      <w:pPr>
        <w:spacing w:line="576" w:lineRule="exact"/>
      </w:pPr>
      <w:r>
        <w:t>各街道办事处、</w:t>
      </w:r>
      <w:r>
        <w:rPr>
          <w:rFonts w:hint="eastAsia"/>
        </w:rPr>
        <w:t>各</w:t>
      </w:r>
      <w:r>
        <w:t>镇人民政府，区政府各部门，有关单位：</w:t>
      </w:r>
    </w:p>
    <w:p>
      <w:pPr>
        <w:spacing w:line="576" w:lineRule="exact"/>
        <w:ind w:firstLine="632" w:firstLineChars="200"/>
      </w:pPr>
      <w:r>
        <w:t>《</w:t>
      </w:r>
      <w:r>
        <w:rPr>
          <w:rFonts w:hint="eastAsia"/>
        </w:rPr>
        <w:t>綦江中心城区抗震防灾专项规划（2022—20</w:t>
      </w:r>
      <w:r>
        <w:rPr>
          <w:rFonts w:hint="eastAsia"/>
          <w:lang w:val="en-US" w:eastAsia="zh-CN"/>
        </w:rPr>
        <w:t>3</w:t>
      </w:r>
      <w:r>
        <w:rPr>
          <w:rFonts w:hint="eastAsia"/>
        </w:rPr>
        <w:t>5年）</w:t>
      </w:r>
      <w:r>
        <w:t>》已经</w:t>
      </w:r>
      <w:r>
        <w:rPr>
          <w:rFonts w:hint="eastAsia"/>
        </w:rPr>
        <w:t>区政府同意</w:t>
      </w:r>
      <w:r>
        <w:t>，现印发给你们，请认真贯彻执行。</w:t>
      </w:r>
    </w:p>
    <w:p>
      <w:pPr>
        <w:wordWrap w:val="0"/>
        <w:spacing w:line="320" w:lineRule="exact"/>
      </w:pPr>
      <w:r>
        <w:t>                              </w:t>
      </w:r>
    </w:p>
    <w:p>
      <w:pPr>
        <w:wordWrap w:val="0"/>
        <w:spacing w:line="280" w:lineRule="exact"/>
      </w:pPr>
      <w:r>
        <w:t>                   </w:t>
      </w:r>
    </w:p>
    <w:p>
      <w:pPr>
        <w:pStyle w:val="2"/>
      </w:pPr>
    </w:p>
    <w:p>
      <w:pPr>
        <w:spacing w:line="576" w:lineRule="exact"/>
        <w:ind w:firstLine="4424" w:firstLineChars="1400"/>
      </w:pPr>
      <w:r>
        <w:t>重庆市綦江区人民政府</w:t>
      </w:r>
      <w:r>
        <w:rPr>
          <w:rFonts w:hint="eastAsia"/>
        </w:rPr>
        <w:t>办公室</w:t>
      </w:r>
    </w:p>
    <w:p>
      <w:pPr>
        <w:spacing w:line="576" w:lineRule="exact"/>
        <w:ind w:right="632" w:rightChars="200"/>
        <w:jc w:val="left"/>
      </w:pPr>
      <w:r>
        <w:t>                                  2024年2月</w:t>
      </w:r>
      <w:r>
        <w:rPr>
          <w:rFonts w:hint="eastAsia"/>
          <w:lang w:val="en-US" w:eastAsia="zh-CN"/>
        </w:rPr>
        <w:t>8</w:t>
      </w:r>
      <w:r>
        <w:t>日</w:t>
      </w:r>
    </w:p>
    <w:p>
      <w:pPr>
        <w:wordWrap w:val="0"/>
        <w:spacing w:line="576" w:lineRule="exact"/>
        <w:ind w:firstLine="632" w:firstLineChars="200"/>
        <w:rPr>
          <w:szCs w:val="32"/>
        </w:rPr>
      </w:pPr>
      <w:r>
        <w:rPr>
          <w:szCs w:val="32"/>
        </w:rPr>
        <w:t>（此件公开发布）</w:t>
      </w:r>
    </w:p>
    <w:p>
      <w:pPr>
        <w:pStyle w:val="2"/>
      </w:pPr>
      <w:r>
        <w:rPr>
          <w:rFonts w:eastAsia="方正小标宋_GBK"/>
          <w:sz w:val="52"/>
          <w:szCs w:val="52"/>
          <w:lang w:val="en-GB"/>
        </w:rPr>
        <w:br w:type="page"/>
      </w:r>
    </w:p>
    <w:p>
      <w:pPr>
        <w:overflowPunct w:val="0"/>
        <w:spacing w:line="576" w:lineRule="exact"/>
        <w:jc w:val="center"/>
        <w:rPr>
          <w:rFonts w:hint="eastAsia" w:eastAsia="方正小标宋_GBK"/>
          <w:sz w:val="44"/>
          <w:szCs w:val="44"/>
        </w:rPr>
      </w:pPr>
      <w:bookmarkStart w:id="8" w:name="_Hlk158038818"/>
    </w:p>
    <w:p>
      <w:pPr>
        <w:overflowPunct w:val="0"/>
        <w:spacing w:line="576" w:lineRule="exact"/>
        <w:jc w:val="center"/>
        <w:rPr>
          <w:rFonts w:eastAsia="方正小标宋_GBK"/>
          <w:sz w:val="44"/>
          <w:szCs w:val="44"/>
        </w:rPr>
      </w:pPr>
      <w:r>
        <w:rPr>
          <w:rFonts w:hint="eastAsia" w:eastAsia="方正小标宋_GBK"/>
          <w:sz w:val="44"/>
          <w:szCs w:val="44"/>
        </w:rPr>
        <w:t>綦江中心城区抗震防灾专项规划</w:t>
      </w:r>
      <w:bookmarkEnd w:id="8"/>
    </w:p>
    <w:p>
      <w:pPr>
        <w:overflowPunct w:val="0"/>
        <w:spacing w:line="576" w:lineRule="exact"/>
        <w:jc w:val="center"/>
        <w:rPr>
          <w:rFonts w:eastAsia="方正小标宋_GBK"/>
          <w:sz w:val="44"/>
          <w:szCs w:val="44"/>
        </w:rPr>
      </w:pPr>
      <w:r>
        <w:rPr>
          <w:rFonts w:hint="eastAsia" w:eastAsia="方正小标宋_GBK"/>
          <w:sz w:val="44"/>
          <w:szCs w:val="44"/>
        </w:rPr>
        <w:t>（2022—2035年）</w:t>
      </w:r>
    </w:p>
    <w:p>
      <w:pPr>
        <w:overflowPunct w:val="0"/>
        <w:spacing w:line="576" w:lineRule="exact"/>
      </w:pPr>
    </w:p>
    <w:p>
      <w:pPr>
        <w:overflowPunct w:val="0"/>
        <w:spacing w:line="576" w:lineRule="exact"/>
      </w:pPr>
    </w:p>
    <w:p>
      <w:pPr>
        <w:overflowPunct w:val="0"/>
        <w:spacing w:line="576" w:lineRule="exact"/>
      </w:pPr>
    </w:p>
    <w:p>
      <w:pPr>
        <w:overflowPunct w:val="0"/>
        <w:spacing w:line="576" w:lineRule="exact"/>
      </w:pPr>
    </w:p>
    <w:p>
      <w:pPr>
        <w:overflowPunct w:val="0"/>
        <w:spacing w:line="576" w:lineRule="exact"/>
      </w:pPr>
    </w:p>
    <w:p>
      <w:pPr>
        <w:overflowPunct w:val="0"/>
        <w:spacing w:line="576" w:lineRule="exact"/>
      </w:pPr>
    </w:p>
    <w:p>
      <w:pPr>
        <w:overflowPunct w:val="0"/>
        <w:spacing w:line="576" w:lineRule="exact"/>
      </w:pPr>
    </w:p>
    <w:p>
      <w:pPr>
        <w:overflowPunct w:val="0"/>
        <w:spacing w:line="576" w:lineRule="exact"/>
      </w:pPr>
    </w:p>
    <w:p>
      <w:pPr>
        <w:overflowPunct w:val="0"/>
        <w:spacing w:line="576" w:lineRule="exact"/>
        <w:jc w:val="center"/>
      </w:pPr>
    </w:p>
    <w:p>
      <w:pPr>
        <w:overflowPunct w:val="0"/>
        <w:spacing w:line="576" w:lineRule="exact"/>
        <w:jc w:val="center"/>
        <w:rPr>
          <w:rFonts w:eastAsia="楷体_GB2312"/>
        </w:rPr>
      </w:pPr>
    </w:p>
    <w:p>
      <w:pPr>
        <w:overflowPunct w:val="0"/>
        <w:spacing w:line="576" w:lineRule="exact"/>
        <w:jc w:val="center"/>
        <w:rPr>
          <w:rFonts w:eastAsia="楷体_GB2312"/>
        </w:rPr>
      </w:pPr>
    </w:p>
    <w:p>
      <w:pPr>
        <w:overflowPunct w:val="0"/>
        <w:spacing w:line="576" w:lineRule="exact"/>
        <w:jc w:val="center"/>
        <w:rPr>
          <w:rFonts w:eastAsia="楷体_GB2312"/>
        </w:rPr>
      </w:pPr>
    </w:p>
    <w:p>
      <w:pPr>
        <w:pStyle w:val="2"/>
        <w:rPr>
          <w:rFonts w:eastAsia="楷体_GB2312"/>
          <w:kern w:val="2"/>
        </w:rPr>
      </w:pPr>
    </w:p>
    <w:p>
      <w:pPr>
        <w:pStyle w:val="2"/>
        <w:rPr>
          <w:rFonts w:eastAsia="楷体_GB2312"/>
          <w:kern w:val="2"/>
        </w:rPr>
      </w:pPr>
    </w:p>
    <w:p>
      <w:pPr>
        <w:overflowPunct w:val="0"/>
        <w:spacing w:line="576" w:lineRule="exact"/>
        <w:jc w:val="center"/>
        <w:rPr>
          <w:rFonts w:eastAsia="楷体_GB2312"/>
        </w:rPr>
      </w:pPr>
    </w:p>
    <w:p>
      <w:pPr>
        <w:overflowPunct w:val="0"/>
        <w:spacing w:line="576" w:lineRule="exact"/>
        <w:jc w:val="center"/>
        <w:rPr>
          <w:rFonts w:eastAsia="方正黑体_GBK"/>
          <w:color w:val="000000" w:themeColor="text1"/>
          <w14:textFill>
            <w14:solidFill>
              <w14:schemeClr w14:val="tx1"/>
            </w14:solidFill>
          </w14:textFill>
        </w:rPr>
      </w:pPr>
      <w:r>
        <w:rPr>
          <w:rFonts w:eastAsia="方正黑体_GBK"/>
          <w:color w:val="000000" w:themeColor="text1"/>
          <w14:textFill>
            <w14:solidFill>
              <w14:schemeClr w14:val="tx1"/>
            </w14:solidFill>
          </w14:textFill>
        </w:rPr>
        <w:t>2024年2月</w:t>
      </w:r>
    </w:p>
    <w:p>
      <w:pPr>
        <w:pStyle w:val="6"/>
        <w:snapToGrid w:val="0"/>
        <w:spacing w:line="576" w:lineRule="exact"/>
        <w:ind w:left="0" w:leftChars="0" w:firstLine="0" w:firstLineChars="0"/>
        <w:jc w:val="center"/>
        <w:rPr>
          <w:rFonts w:eastAsia="方正黑体_GBK"/>
          <w:color w:val="000000" w:themeColor="text1"/>
          <w14:textFill>
            <w14:solidFill>
              <w14:schemeClr w14:val="tx1"/>
            </w14:solidFill>
          </w14:textFill>
        </w:rPr>
        <w:sectPr>
          <w:headerReference r:id="rId3" w:type="default"/>
          <w:footerReference r:id="rId4" w:type="default"/>
          <w:footerReference r:id="rId5" w:type="even"/>
          <w:pgSz w:w="11906" w:h="16838"/>
          <w:pgMar w:top="2098" w:right="1531" w:bottom="1985" w:left="1531" w:header="851" w:footer="1474" w:gutter="0"/>
          <w:pgNumType w:fmt="decimal" w:start="1"/>
          <w:cols w:space="720" w:num="1"/>
          <w:docGrid w:type="linesAndChars" w:linePitch="579" w:charSpace="-849"/>
        </w:sectPr>
      </w:pPr>
    </w:p>
    <w:p>
      <w:pPr>
        <w:spacing w:line="576" w:lineRule="exact"/>
        <w:jc w:val="center"/>
        <w:rPr>
          <w:rFonts w:eastAsia="方正黑体_GBK"/>
          <w:szCs w:val="32"/>
        </w:rPr>
      </w:pPr>
      <w:r>
        <w:rPr>
          <w:rFonts w:eastAsia="方正黑体_GBK"/>
          <w:szCs w:val="32"/>
        </w:rPr>
        <w:t>目  录</w:t>
      </w:r>
    </w:p>
    <w:sdt>
      <w:sdtPr>
        <w:rPr>
          <w:rFonts w:ascii="Times New Roman" w:hAnsi="Times New Roman" w:eastAsia="方正仿宋_GBK"/>
          <w:b w:val="0"/>
          <w:bCs w:val="0"/>
          <w:color w:val="auto"/>
          <w:kern w:val="2"/>
          <w:sz w:val="32"/>
          <w:szCs w:val="20"/>
          <w:lang w:val="en-US"/>
        </w:rPr>
        <w:id w:val="1102376315"/>
      </w:sdtPr>
      <w:sdtEndPr>
        <w:rPr>
          <w:rFonts w:ascii="Times New Roman" w:hAnsi="Times New Roman" w:eastAsia="方正仿宋_GBK"/>
          <w:b w:val="0"/>
          <w:bCs w:val="0"/>
          <w:color w:val="auto"/>
          <w:kern w:val="2"/>
          <w:sz w:val="24"/>
          <w:szCs w:val="24"/>
          <w:lang w:val="en-US"/>
        </w:rPr>
      </w:sdtEndPr>
      <w:sdtContent>
        <w:p>
          <w:pPr>
            <w:pStyle w:val="19"/>
            <w:spacing w:before="0" w:line="576" w:lineRule="exact"/>
            <w:rPr>
              <w:rFonts w:ascii="方正黑体_GBK" w:eastAsia="方正黑体_GBK"/>
              <w:sz w:val="40"/>
              <w:szCs w:val="40"/>
            </w:rPr>
          </w:pPr>
          <w:bookmarkStart w:id="9" w:name="_Toc31193"/>
          <w:bookmarkStart w:id="10" w:name="_Toc11348"/>
          <w:bookmarkStart w:id="11" w:name="_Toc920"/>
          <w:bookmarkStart w:id="12" w:name="_Toc13807"/>
          <w:bookmarkStart w:id="13" w:name="_Toc3380"/>
          <w:bookmarkStart w:id="14" w:name="_Toc31736"/>
          <w:bookmarkStart w:id="15" w:name="_Toc54203098"/>
          <w:bookmarkStart w:id="16" w:name="_Toc6539"/>
          <w:bookmarkStart w:id="17" w:name="_Toc1680"/>
          <w:bookmarkStart w:id="18" w:name="_Toc77227861"/>
          <w:bookmarkStart w:id="19" w:name="_Toc80345828"/>
          <w:bookmarkStart w:id="20" w:name="_Toc54204278"/>
          <w:bookmarkStart w:id="21" w:name="_Toc22070"/>
          <w:bookmarkStart w:id="22" w:name="_Toc14950"/>
          <w:bookmarkStart w:id="23" w:name="_Toc20330"/>
          <w:bookmarkStart w:id="24" w:name="_Toc26671"/>
          <w:bookmarkStart w:id="25" w:name="_Toc30836"/>
          <w:bookmarkStart w:id="26" w:name="_Toc54246895"/>
          <w:bookmarkStart w:id="27" w:name="_Toc1450"/>
          <w:bookmarkStart w:id="28" w:name="_Toc9286"/>
          <w:bookmarkStart w:id="29" w:name="_Toc61515470"/>
        </w:p>
        <w:p>
          <w:pPr>
            <w:pStyle w:val="13"/>
            <w:tabs>
              <w:tab w:val="left" w:pos="1280"/>
              <w:tab w:val="right" w:leader="dot" w:pos="8380"/>
            </w:tabs>
            <w:spacing w:line="576" w:lineRule="exact"/>
            <w:rPr>
              <w:rStyle w:val="17"/>
              <w:rFonts w:ascii="Times New Roman" w:hAnsi="Times New Roman" w:eastAsia="方正黑体_GBK" w:cs="Times New Roman"/>
              <w:bCs/>
              <w:sz w:val="24"/>
              <w:szCs w:val="24"/>
            </w:rPr>
          </w:pPr>
          <w:r>
            <w:rPr>
              <w:rFonts w:ascii="Times New Roman" w:hAnsi="Times New Roman" w:eastAsia="方正黑体_GBK" w:cs="Times New Roman"/>
              <w:sz w:val="24"/>
              <w:szCs w:val="24"/>
            </w:rPr>
            <w:fldChar w:fldCharType="begin"/>
          </w:r>
          <w:r>
            <w:rPr>
              <w:rFonts w:ascii="Times New Roman" w:hAnsi="Times New Roman" w:eastAsia="方正黑体_GBK" w:cs="Times New Roman"/>
              <w:sz w:val="24"/>
              <w:szCs w:val="24"/>
            </w:rPr>
            <w:instrText xml:space="preserve"> TOC \o "1-3" \h \z \u </w:instrText>
          </w:r>
          <w:r>
            <w:rPr>
              <w:rFonts w:ascii="Times New Roman" w:hAnsi="Times New Roman" w:eastAsia="方正黑体_GBK" w:cs="Times New Roman"/>
              <w:sz w:val="24"/>
              <w:szCs w:val="24"/>
            </w:rPr>
            <w:fldChar w:fldCharType="separate"/>
          </w:r>
          <w:r>
            <w:fldChar w:fldCharType="begin"/>
          </w:r>
          <w:r>
            <w:instrText xml:space="preserve"> HYPERLINK \l "_Toc158038193" </w:instrText>
          </w:r>
          <w:r>
            <w:fldChar w:fldCharType="separate"/>
          </w:r>
          <w:r>
            <w:rPr>
              <w:rStyle w:val="17"/>
              <w:rFonts w:ascii="Times New Roman" w:hAnsi="Times New Roman" w:eastAsia="方正黑体_GBK" w:cs="Times New Roman"/>
              <w:bCs/>
              <w:sz w:val="24"/>
              <w:szCs w:val="24"/>
            </w:rPr>
            <w:t>第一章</w:t>
          </w:r>
          <w:r>
            <w:rPr>
              <w:rStyle w:val="17"/>
              <w:rFonts w:ascii="Times New Roman" w:hAnsi="Times New Roman" w:eastAsia="方正黑体_GBK" w:cs="Times New Roman"/>
              <w:bCs/>
              <w:sz w:val="24"/>
              <w:szCs w:val="24"/>
            </w:rPr>
            <w:tab/>
          </w:r>
          <w:r>
            <w:rPr>
              <w:rStyle w:val="17"/>
              <w:rFonts w:ascii="Times New Roman" w:hAnsi="Times New Roman" w:eastAsia="方正黑体_GBK" w:cs="Times New Roman"/>
              <w:bCs/>
              <w:sz w:val="24"/>
              <w:szCs w:val="24"/>
            </w:rPr>
            <w:t>总  则</w:t>
          </w:r>
          <w:r>
            <w:rPr>
              <w:rStyle w:val="17"/>
              <w:rFonts w:ascii="Times New Roman" w:hAnsi="Times New Roman" w:eastAsia="方正黑体_GBK" w:cs="Times New Roman"/>
              <w:bCs/>
              <w:sz w:val="24"/>
              <w:szCs w:val="24"/>
            </w:rPr>
            <w:tab/>
          </w:r>
          <w:r>
            <w:rPr>
              <w:rStyle w:val="17"/>
              <w:rFonts w:ascii="Times New Roman" w:hAnsi="Times New Roman" w:eastAsia="方正黑体_GBK" w:cs="Times New Roman"/>
              <w:bCs/>
              <w:sz w:val="24"/>
              <w:szCs w:val="24"/>
            </w:rPr>
            <w:fldChar w:fldCharType="begin"/>
          </w:r>
          <w:r>
            <w:rPr>
              <w:rStyle w:val="17"/>
              <w:rFonts w:ascii="Times New Roman" w:hAnsi="Times New Roman" w:eastAsia="方正黑体_GBK" w:cs="Times New Roman"/>
              <w:bCs/>
              <w:sz w:val="24"/>
              <w:szCs w:val="24"/>
            </w:rPr>
            <w:instrText xml:space="preserve"> PAGEREF _Toc158038193 \h </w:instrText>
          </w:r>
          <w:r>
            <w:rPr>
              <w:rStyle w:val="17"/>
              <w:rFonts w:ascii="Times New Roman" w:hAnsi="Times New Roman" w:eastAsia="方正黑体_GBK" w:cs="Times New Roman"/>
              <w:bCs/>
              <w:sz w:val="24"/>
              <w:szCs w:val="24"/>
            </w:rPr>
            <w:fldChar w:fldCharType="separate"/>
          </w:r>
          <w:r>
            <w:rPr>
              <w:rStyle w:val="17"/>
              <w:rFonts w:ascii="Times New Roman" w:hAnsi="Times New Roman" w:eastAsia="方正黑体_GBK" w:cs="Times New Roman"/>
              <w:bCs/>
              <w:sz w:val="24"/>
              <w:szCs w:val="24"/>
            </w:rPr>
            <w:t>10</w:t>
          </w:r>
          <w:r>
            <w:rPr>
              <w:rStyle w:val="17"/>
              <w:rFonts w:ascii="Times New Roman" w:hAnsi="Times New Roman" w:eastAsia="方正黑体_GBK" w:cs="Times New Roman"/>
              <w:bCs/>
              <w:sz w:val="24"/>
              <w:szCs w:val="24"/>
            </w:rPr>
            <w:fldChar w:fldCharType="end"/>
          </w:r>
          <w:r>
            <w:rPr>
              <w:rStyle w:val="17"/>
              <w:rFonts w:ascii="Times New Roman" w:hAnsi="Times New Roman" w:eastAsia="方正黑体_GBK" w:cs="Times New Roman"/>
              <w:bCs/>
              <w:sz w:val="24"/>
              <w:szCs w:val="24"/>
            </w:rPr>
            <w:fldChar w:fldCharType="end"/>
          </w:r>
        </w:p>
        <w:p>
          <w:pPr>
            <w:pStyle w:val="9"/>
            <w:tabs>
              <w:tab w:val="left" w:pos="160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"_Toc158038194" </w:instrText>
          </w:r>
          <w:r>
            <w:fldChar w:fldCharType="separate"/>
          </w:r>
          <w:r>
            <w:rPr>
              <w:rStyle w:val="17"/>
              <w:rFonts w:ascii="Times New Roman" w:hAnsi="Times New Roman" w:eastAsia="方正黑体_GBK" w:cs="Times New Roman"/>
              <w:bCs/>
              <w:i w:val="0"/>
              <w:iCs w:val="0"/>
              <w:sz w:val="24"/>
              <w:szCs w:val="24"/>
            </w:rPr>
            <w:t>第一条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规划目的</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_Toc158038194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10</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60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"_Toc158038195" </w:instrText>
          </w:r>
          <w:r>
            <w:fldChar w:fldCharType="separate"/>
          </w:r>
          <w:r>
            <w:rPr>
              <w:rStyle w:val="17"/>
              <w:rFonts w:ascii="Times New Roman" w:hAnsi="Times New Roman" w:eastAsia="方正黑体_GBK" w:cs="Times New Roman"/>
              <w:bCs/>
              <w:i w:val="0"/>
              <w:iCs w:val="0"/>
              <w:sz w:val="24"/>
              <w:szCs w:val="24"/>
            </w:rPr>
            <w:t>第二条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指导思想</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_Toc158038195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10</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60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"_Toc158038196" </w:instrText>
          </w:r>
          <w:r>
            <w:fldChar w:fldCharType="separate"/>
          </w:r>
          <w:r>
            <w:rPr>
              <w:rStyle w:val="17"/>
              <w:rFonts w:ascii="Times New Roman" w:hAnsi="Times New Roman" w:eastAsia="方正黑体_GBK" w:cs="Times New Roman"/>
              <w:bCs/>
              <w:i w:val="0"/>
              <w:iCs w:val="0"/>
              <w:sz w:val="24"/>
              <w:szCs w:val="24"/>
            </w:rPr>
            <w:t>第三条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规划原则</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_Toc158038196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11</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60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"_Toc158038197" </w:instrText>
          </w:r>
          <w:r>
            <w:fldChar w:fldCharType="separate"/>
          </w:r>
          <w:r>
            <w:rPr>
              <w:rStyle w:val="17"/>
              <w:rFonts w:ascii="Times New Roman" w:hAnsi="Times New Roman" w:eastAsia="方正黑体_GBK" w:cs="Times New Roman"/>
              <w:bCs/>
              <w:i w:val="0"/>
              <w:iCs w:val="0"/>
              <w:sz w:val="24"/>
              <w:szCs w:val="24"/>
            </w:rPr>
            <w:t>第四条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规划依据</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_Toc158038197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12</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60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"_Toc158038198" </w:instrText>
          </w:r>
          <w:r>
            <w:fldChar w:fldCharType="separate"/>
          </w:r>
          <w:r>
            <w:rPr>
              <w:rStyle w:val="17"/>
              <w:rFonts w:ascii="Times New Roman" w:hAnsi="Times New Roman" w:eastAsia="方正黑体_GBK" w:cs="Times New Roman"/>
              <w:bCs/>
              <w:i w:val="0"/>
              <w:iCs w:val="0"/>
              <w:sz w:val="24"/>
              <w:szCs w:val="24"/>
            </w:rPr>
            <w:t>第五条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规划范围与期限</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_Toc158038198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13</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13"/>
            <w:tabs>
              <w:tab w:val="left" w:pos="1280"/>
              <w:tab w:val="right" w:leader="dot" w:pos="8380"/>
            </w:tabs>
            <w:spacing w:line="576" w:lineRule="exact"/>
            <w:rPr>
              <w:rFonts w:ascii="Times New Roman" w:hAnsi="Times New Roman" w:eastAsia="方正黑体_GBK" w:cs="Times New Roman"/>
              <w:smallCaps w:val="0"/>
              <w:sz w:val="28"/>
              <w:szCs w:val="32"/>
            </w:rPr>
          </w:pPr>
          <w:r>
            <w:fldChar w:fldCharType="begin"/>
          </w:r>
          <w:r>
            <w:instrText xml:space="preserve"> HYPERLINK \l "_Toc158038199" </w:instrText>
          </w:r>
          <w:r>
            <w:fldChar w:fldCharType="separate"/>
          </w:r>
          <w:r>
            <w:rPr>
              <w:rStyle w:val="17"/>
              <w:rFonts w:ascii="Times New Roman" w:hAnsi="Times New Roman" w:eastAsia="方正黑体_GBK" w:cs="Times New Roman"/>
              <w:bCs/>
              <w:sz w:val="24"/>
              <w:szCs w:val="24"/>
            </w:rPr>
            <w:t>第二章</w:t>
          </w:r>
          <w:r>
            <w:rPr>
              <w:rFonts w:ascii="Times New Roman" w:hAnsi="Times New Roman" w:eastAsia="方正黑体_GBK" w:cs="Times New Roman"/>
              <w:smallCaps w:val="0"/>
              <w:sz w:val="28"/>
              <w:szCs w:val="32"/>
            </w:rPr>
            <w:tab/>
          </w:r>
          <w:r>
            <w:rPr>
              <w:rStyle w:val="17"/>
              <w:rFonts w:ascii="Times New Roman" w:hAnsi="Times New Roman" w:eastAsia="方正黑体_GBK" w:cs="Times New Roman"/>
              <w:bCs/>
              <w:sz w:val="24"/>
              <w:szCs w:val="24"/>
            </w:rPr>
            <w:t>规划性质与防御目标</w:t>
          </w:r>
          <w:r>
            <w:rPr>
              <w:rFonts w:ascii="Times New Roman" w:hAnsi="Times New Roman" w:eastAsia="方正黑体_GBK" w:cs="Times New Roman"/>
              <w:sz w:val="24"/>
              <w:szCs w:val="24"/>
            </w:rPr>
            <w:tab/>
          </w:r>
          <w:r>
            <w:rPr>
              <w:rFonts w:ascii="Times New Roman" w:hAnsi="Times New Roman" w:eastAsia="方正黑体_GBK" w:cs="Times New Roman"/>
              <w:sz w:val="24"/>
              <w:szCs w:val="24"/>
            </w:rPr>
            <w:fldChar w:fldCharType="begin"/>
          </w:r>
          <w:r>
            <w:rPr>
              <w:rFonts w:ascii="Times New Roman" w:hAnsi="Times New Roman" w:eastAsia="方正黑体_GBK" w:cs="Times New Roman"/>
              <w:sz w:val="24"/>
              <w:szCs w:val="24"/>
            </w:rPr>
            <w:instrText xml:space="preserve"> PAGEREF _Toc158038199 \h </w:instrText>
          </w:r>
          <w:r>
            <w:rPr>
              <w:rFonts w:ascii="Times New Roman" w:hAnsi="Times New Roman" w:eastAsia="方正黑体_GBK" w:cs="Times New Roman"/>
              <w:sz w:val="24"/>
              <w:szCs w:val="24"/>
            </w:rPr>
            <w:fldChar w:fldCharType="separate"/>
          </w:r>
          <w:r>
            <w:rPr>
              <w:rFonts w:ascii="Times New Roman" w:hAnsi="Times New Roman" w:eastAsia="方正黑体_GBK" w:cs="Times New Roman"/>
              <w:sz w:val="24"/>
              <w:szCs w:val="24"/>
            </w:rPr>
            <w:t>14</w:t>
          </w:r>
          <w:r>
            <w:rPr>
              <w:rFonts w:ascii="Times New Roman" w:hAnsi="Times New Roman" w:eastAsia="方正黑体_GBK" w:cs="Times New Roman"/>
              <w:sz w:val="24"/>
              <w:szCs w:val="24"/>
            </w:rPr>
            <w:fldChar w:fldCharType="end"/>
          </w:r>
          <w:r>
            <w:rPr>
              <w:rFonts w:ascii="Times New Roman" w:hAnsi="Times New Roman" w:eastAsia="方正黑体_GBK" w:cs="Times New Roman"/>
              <w:sz w:val="24"/>
              <w:szCs w:val="24"/>
            </w:rPr>
            <w:fldChar w:fldCharType="end"/>
          </w:r>
        </w:p>
        <w:p>
          <w:pPr>
            <w:pStyle w:val="9"/>
            <w:tabs>
              <w:tab w:val="left" w:pos="160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"_Toc158038200" </w:instrText>
          </w:r>
          <w:r>
            <w:fldChar w:fldCharType="separate"/>
          </w:r>
          <w:r>
            <w:rPr>
              <w:rStyle w:val="17"/>
              <w:rFonts w:ascii="Times New Roman" w:hAnsi="Times New Roman" w:eastAsia="方正黑体_GBK" w:cs="Times New Roman"/>
              <w:bCs/>
              <w:i w:val="0"/>
              <w:iCs w:val="0"/>
              <w:sz w:val="24"/>
              <w:szCs w:val="24"/>
            </w:rPr>
            <w:t>第六条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规划性质</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_Toc158038200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14</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60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"_Toc158038201" </w:instrText>
          </w:r>
          <w:r>
            <w:fldChar w:fldCharType="separate"/>
          </w:r>
          <w:r>
            <w:rPr>
              <w:rStyle w:val="17"/>
              <w:rFonts w:ascii="Times New Roman" w:hAnsi="Times New Roman" w:eastAsia="方正黑体_GBK" w:cs="Times New Roman"/>
              <w:bCs/>
              <w:i w:val="0"/>
              <w:iCs w:val="0"/>
              <w:sz w:val="24"/>
              <w:szCs w:val="24"/>
            </w:rPr>
            <w:t>第七条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防御目标</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_Toc158038201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15</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60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"_Toc158038202" </w:instrText>
          </w:r>
          <w:r>
            <w:fldChar w:fldCharType="separate"/>
          </w:r>
          <w:r>
            <w:rPr>
              <w:rStyle w:val="17"/>
              <w:rFonts w:ascii="Times New Roman" w:hAnsi="Times New Roman" w:eastAsia="方正黑体_GBK" w:cs="Times New Roman"/>
              <w:bCs/>
              <w:i w:val="0"/>
              <w:iCs w:val="0"/>
              <w:sz w:val="24"/>
              <w:szCs w:val="24"/>
            </w:rPr>
            <w:t>第八条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规划编制模式与工作区划分</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_Toc158038202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15</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13"/>
            <w:tabs>
              <w:tab w:val="left" w:pos="1280"/>
              <w:tab w:val="right" w:leader="dot" w:pos="8380"/>
            </w:tabs>
            <w:spacing w:line="576" w:lineRule="exact"/>
            <w:rPr>
              <w:rFonts w:ascii="Times New Roman" w:hAnsi="Times New Roman" w:eastAsia="方正黑体_GBK" w:cs="Times New Roman"/>
              <w:smallCaps w:val="0"/>
              <w:sz w:val="28"/>
              <w:szCs w:val="32"/>
            </w:rPr>
          </w:pPr>
          <w:r>
            <w:fldChar w:fldCharType="begin"/>
          </w:r>
          <w:r>
            <w:instrText xml:space="preserve"> HYPERLINK \l "_Toc158038203" </w:instrText>
          </w:r>
          <w:r>
            <w:fldChar w:fldCharType="separate"/>
          </w:r>
          <w:r>
            <w:rPr>
              <w:rStyle w:val="17"/>
              <w:rFonts w:ascii="Times New Roman" w:hAnsi="Times New Roman" w:eastAsia="方正黑体_GBK" w:cs="Times New Roman"/>
              <w:bCs/>
              <w:sz w:val="24"/>
              <w:szCs w:val="24"/>
            </w:rPr>
            <w:t>第三章</w:t>
          </w:r>
          <w:r>
            <w:rPr>
              <w:rFonts w:ascii="Times New Roman" w:hAnsi="Times New Roman" w:eastAsia="方正黑体_GBK" w:cs="Times New Roman"/>
              <w:smallCaps w:val="0"/>
              <w:sz w:val="28"/>
              <w:szCs w:val="32"/>
            </w:rPr>
            <w:tab/>
          </w:r>
          <w:r>
            <w:rPr>
              <w:rStyle w:val="17"/>
              <w:rFonts w:ascii="Times New Roman" w:hAnsi="Times New Roman" w:eastAsia="方正黑体_GBK" w:cs="Times New Roman"/>
              <w:bCs/>
              <w:sz w:val="24"/>
              <w:szCs w:val="24"/>
            </w:rPr>
            <w:t>抗震防灾总体设防要求</w:t>
          </w:r>
          <w:r>
            <w:rPr>
              <w:rFonts w:ascii="Times New Roman" w:hAnsi="Times New Roman" w:eastAsia="方正黑体_GBK" w:cs="Times New Roman"/>
              <w:sz w:val="24"/>
              <w:szCs w:val="24"/>
            </w:rPr>
            <w:tab/>
          </w:r>
          <w:r>
            <w:rPr>
              <w:rFonts w:ascii="Times New Roman" w:hAnsi="Times New Roman" w:eastAsia="方正黑体_GBK" w:cs="Times New Roman"/>
              <w:sz w:val="24"/>
              <w:szCs w:val="24"/>
            </w:rPr>
            <w:fldChar w:fldCharType="begin"/>
          </w:r>
          <w:r>
            <w:rPr>
              <w:rFonts w:ascii="Times New Roman" w:hAnsi="Times New Roman" w:eastAsia="方正黑体_GBK" w:cs="Times New Roman"/>
              <w:sz w:val="24"/>
              <w:szCs w:val="24"/>
            </w:rPr>
            <w:instrText xml:space="preserve"> PAGEREF _Toc158038203 \h </w:instrText>
          </w:r>
          <w:r>
            <w:rPr>
              <w:rFonts w:ascii="Times New Roman" w:hAnsi="Times New Roman" w:eastAsia="方正黑体_GBK" w:cs="Times New Roman"/>
              <w:sz w:val="24"/>
              <w:szCs w:val="24"/>
            </w:rPr>
            <w:fldChar w:fldCharType="separate"/>
          </w:r>
          <w:r>
            <w:rPr>
              <w:rFonts w:ascii="Times New Roman" w:hAnsi="Times New Roman" w:eastAsia="方正黑体_GBK" w:cs="Times New Roman"/>
              <w:sz w:val="24"/>
              <w:szCs w:val="24"/>
            </w:rPr>
            <w:t>16</w:t>
          </w:r>
          <w:r>
            <w:rPr>
              <w:rFonts w:ascii="Times New Roman" w:hAnsi="Times New Roman" w:eastAsia="方正黑体_GBK" w:cs="Times New Roman"/>
              <w:sz w:val="24"/>
              <w:szCs w:val="24"/>
            </w:rPr>
            <w:fldChar w:fldCharType="end"/>
          </w:r>
          <w:r>
            <w:rPr>
              <w:rFonts w:ascii="Times New Roman" w:hAnsi="Times New Roman" w:eastAsia="方正黑体_GBK" w:cs="Times New Roman"/>
              <w:sz w:val="24"/>
              <w:szCs w:val="24"/>
            </w:rPr>
            <w:fldChar w:fldCharType="end"/>
          </w:r>
        </w:p>
        <w:p>
          <w:pPr>
            <w:pStyle w:val="9"/>
            <w:tabs>
              <w:tab w:val="left" w:pos="160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"_Toc158038204" </w:instrText>
          </w:r>
          <w:r>
            <w:fldChar w:fldCharType="separate"/>
          </w:r>
          <w:r>
            <w:rPr>
              <w:rStyle w:val="17"/>
              <w:rFonts w:ascii="Times New Roman" w:hAnsi="Times New Roman" w:eastAsia="方正黑体_GBK" w:cs="Times New Roman"/>
              <w:bCs/>
              <w:i w:val="0"/>
              <w:iCs w:val="0"/>
              <w:sz w:val="24"/>
              <w:szCs w:val="24"/>
            </w:rPr>
            <w:t>第九条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总体设防要求</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_Toc158038204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16</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60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"_Toc158038205" </w:instrText>
          </w:r>
          <w:r>
            <w:fldChar w:fldCharType="separate"/>
          </w:r>
          <w:r>
            <w:rPr>
              <w:rStyle w:val="17"/>
              <w:rFonts w:ascii="Times New Roman" w:hAnsi="Times New Roman" w:eastAsia="方正黑体_GBK" w:cs="Times New Roman"/>
              <w:bCs/>
              <w:i w:val="0"/>
              <w:iCs w:val="0"/>
              <w:sz w:val="24"/>
              <w:szCs w:val="24"/>
            </w:rPr>
            <w:t>第十条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分类分级抗震设防要求</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_Toc158038205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18</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13"/>
            <w:tabs>
              <w:tab w:val="left" w:pos="1280"/>
              <w:tab w:val="right" w:leader="dot" w:pos="8380"/>
            </w:tabs>
            <w:spacing w:line="576" w:lineRule="exact"/>
            <w:rPr>
              <w:rFonts w:ascii="Times New Roman" w:hAnsi="Times New Roman" w:eastAsia="方正黑体_GBK" w:cs="Times New Roman"/>
              <w:smallCaps w:val="0"/>
              <w:sz w:val="28"/>
              <w:szCs w:val="32"/>
            </w:rPr>
          </w:pPr>
          <w:r>
            <w:fldChar w:fldCharType="begin"/>
          </w:r>
          <w:r>
            <w:instrText xml:space="preserve"> HYPERLINK \l "_Toc158038206" </w:instrText>
          </w:r>
          <w:r>
            <w:fldChar w:fldCharType="separate"/>
          </w:r>
          <w:r>
            <w:rPr>
              <w:rStyle w:val="17"/>
              <w:rFonts w:ascii="Times New Roman" w:hAnsi="Times New Roman" w:eastAsia="方正黑体_GBK" w:cs="Times New Roman"/>
              <w:bCs/>
              <w:sz w:val="24"/>
              <w:szCs w:val="24"/>
            </w:rPr>
            <w:t>第四章</w:t>
          </w:r>
          <w:r>
            <w:rPr>
              <w:rFonts w:ascii="Times New Roman" w:hAnsi="Times New Roman" w:eastAsia="方正黑体_GBK" w:cs="Times New Roman"/>
              <w:smallCaps w:val="0"/>
              <w:sz w:val="28"/>
              <w:szCs w:val="32"/>
            </w:rPr>
            <w:tab/>
          </w:r>
          <w:r>
            <w:rPr>
              <w:rStyle w:val="17"/>
              <w:rFonts w:ascii="Times New Roman" w:hAnsi="Times New Roman" w:eastAsia="方正黑体_GBK" w:cs="Times New Roman"/>
              <w:bCs/>
              <w:sz w:val="24"/>
              <w:szCs w:val="24"/>
            </w:rPr>
            <w:t>城市用地抗震性能评价</w:t>
          </w:r>
          <w:r>
            <w:rPr>
              <w:rFonts w:ascii="Times New Roman" w:hAnsi="Times New Roman" w:eastAsia="方正黑体_GBK" w:cs="Times New Roman"/>
              <w:sz w:val="24"/>
              <w:szCs w:val="24"/>
            </w:rPr>
            <w:tab/>
          </w:r>
          <w:r>
            <w:rPr>
              <w:rFonts w:ascii="Times New Roman" w:hAnsi="Times New Roman" w:eastAsia="方正黑体_GBK" w:cs="Times New Roman"/>
              <w:sz w:val="24"/>
              <w:szCs w:val="24"/>
            </w:rPr>
            <w:fldChar w:fldCharType="begin"/>
          </w:r>
          <w:r>
            <w:rPr>
              <w:rFonts w:ascii="Times New Roman" w:hAnsi="Times New Roman" w:eastAsia="方正黑体_GBK" w:cs="Times New Roman"/>
              <w:sz w:val="24"/>
              <w:szCs w:val="24"/>
            </w:rPr>
            <w:instrText xml:space="preserve"> PAGEREF _Toc158038206 \h </w:instrText>
          </w:r>
          <w:r>
            <w:rPr>
              <w:rFonts w:ascii="Times New Roman" w:hAnsi="Times New Roman" w:eastAsia="方正黑体_GBK" w:cs="Times New Roman"/>
              <w:sz w:val="24"/>
              <w:szCs w:val="24"/>
            </w:rPr>
            <w:fldChar w:fldCharType="separate"/>
          </w:r>
          <w:r>
            <w:rPr>
              <w:rFonts w:ascii="Times New Roman" w:hAnsi="Times New Roman" w:eastAsia="方正黑体_GBK" w:cs="Times New Roman"/>
              <w:sz w:val="24"/>
              <w:szCs w:val="24"/>
            </w:rPr>
            <w:t>19</w:t>
          </w:r>
          <w:r>
            <w:rPr>
              <w:rFonts w:ascii="Times New Roman" w:hAnsi="Times New Roman" w:eastAsia="方正黑体_GBK" w:cs="Times New Roman"/>
              <w:sz w:val="24"/>
              <w:szCs w:val="24"/>
            </w:rPr>
            <w:fldChar w:fldCharType="end"/>
          </w:r>
          <w:r>
            <w:rPr>
              <w:rFonts w:ascii="Times New Roman" w:hAnsi="Times New Roman" w:eastAsia="方正黑体_GBK" w:cs="Times New Roman"/>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"_Toc158038207" </w:instrText>
          </w:r>
          <w:r>
            <w:fldChar w:fldCharType="separate"/>
          </w:r>
          <w:r>
            <w:rPr>
              <w:rStyle w:val="17"/>
              <w:rFonts w:ascii="Times New Roman" w:hAnsi="Times New Roman" w:eastAsia="方正黑体_GBK" w:cs="Times New Roman"/>
              <w:bCs/>
              <w:i w:val="0"/>
              <w:iCs w:val="0"/>
              <w:sz w:val="24"/>
              <w:szCs w:val="24"/>
            </w:rPr>
            <w:t>第十一条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规划区地震地质环境综合评价</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_Toc158038207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19</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"_Toc158038208" </w:instrText>
          </w:r>
          <w:r>
            <w:fldChar w:fldCharType="separate"/>
          </w:r>
          <w:r>
            <w:rPr>
              <w:rStyle w:val="17"/>
              <w:rFonts w:ascii="Times New Roman" w:hAnsi="Times New Roman" w:eastAsia="方正黑体_GBK" w:cs="Times New Roman"/>
              <w:bCs/>
              <w:i w:val="0"/>
              <w:iCs w:val="0"/>
              <w:sz w:val="24"/>
              <w:szCs w:val="24"/>
            </w:rPr>
            <w:t>第十二条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用地抗震类型分区</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_Toc158038208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19</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"_Toc158038209" </w:instrText>
          </w:r>
          <w:r>
            <w:fldChar w:fldCharType="separate"/>
          </w:r>
          <w:r>
            <w:rPr>
              <w:rStyle w:val="17"/>
              <w:rFonts w:ascii="Times New Roman" w:hAnsi="Times New Roman" w:eastAsia="方正黑体_GBK" w:cs="Times New Roman"/>
              <w:bCs/>
              <w:i w:val="0"/>
              <w:iCs w:val="0"/>
              <w:sz w:val="24"/>
              <w:szCs w:val="24"/>
            </w:rPr>
            <w:t>第十三条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潜在危险地段划分</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_Toc158038209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20</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"_Toc158038210" </w:instrText>
          </w:r>
          <w:r>
            <w:fldChar w:fldCharType="separate"/>
          </w:r>
          <w:r>
            <w:rPr>
              <w:rStyle w:val="17"/>
              <w:rFonts w:ascii="Times New Roman" w:hAnsi="Times New Roman" w:eastAsia="方正黑体_GBK" w:cs="Times New Roman"/>
              <w:bCs/>
              <w:i w:val="0"/>
              <w:iCs w:val="0"/>
              <w:sz w:val="24"/>
              <w:szCs w:val="24"/>
            </w:rPr>
            <w:t>第十四条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用地抗震适宜性评价</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_Toc158038210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20</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13"/>
            <w:tabs>
              <w:tab w:val="left" w:pos="1280"/>
              <w:tab w:val="right" w:leader="dot" w:pos="8380"/>
            </w:tabs>
            <w:spacing w:line="576" w:lineRule="exact"/>
            <w:rPr>
              <w:rFonts w:ascii="Times New Roman" w:hAnsi="Times New Roman" w:eastAsia="方正黑体_GBK" w:cs="Times New Roman"/>
              <w:smallCaps w:val="0"/>
              <w:sz w:val="28"/>
              <w:szCs w:val="32"/>
            </w:rPr>
          </w:pPr>
          <w:r>
            <w:fldChar w:fldCharType="begin"/>
          </w:r>
          <w:r>
            <w:instrText xml:space="preserve"> HYPERLINK \l "_Toc158038211" </w:instrText>
          </w:r>
          <w:r>
            <w:fldChar w:fldCharType="separate"/>
          </w:r>
          <w:r>
            <w:rPr>
              <w:rStyle w:val="17"/>
              <w:rFonts w:ascii="Times New Roman" w:hAnsi="Times New Roman" w:eastAsia="方正黑体_GBK" w:cs="Times New Roman"/>
              <w:bCs/>
              <w:sz w:val="24"/>
              <w:szCs w:val="24"/>
            </w:rPr>
            <w:t>第五章</w:t>
          </w:r>
          <w:r>
            <w:rPr>
              <w:rFonts w:ascii="Times New Roman" w:hAnsi="Times New Roman" w:eastAsia="方正黑体_GBK" w:cs="Times New Roman"/>
              <w:smallCaps w:val="0"/>
              <w:sz w:val="28"/>
              <w:szCs w:val="32"/>
            </w:rPr>
            <w:tab/>
          </w:r>
          <w:r>
            <w:rPr>
              <w:rStyle w:val="17"/>
              <w:rFonts w:ascii="Times New Roman" w:hAnsi="Times New Roman" w:eastAsia="方正黑体_GBK" w:cs="Times New Roman"/>
              <w:bCs/>
              <w:sz w:val="24"/>
              <w:szCs w:val="24"/>
            </w:rPr>
            <w:t>城市防灾空间布局</w:t>
          </w:r>
          <w:r>
            <w:rPr>
              <w:rFonts w:ascii="Times New Roman" w:hAnsi="Times New Roman" w:eastAsia="方正黑体_GBK" w:cs="Times New Roman"/>
              <w:sz w:val="24"/>
              <w:szCs w:val="24"/>
            </w:rPr>
            <w:tab/>
          </w:r>
          <w:r>
            <w:rPr>
              <w:rFonts w:ascii="Times New Roman" w:hAnsi="Times New Roman" w:eastAsia="方正黑体_GBK" w:cs="Times New Roman"/>
              <w:sz w:val="24"/>
              <w:szCs w:val="24"/>
            </w:rPr>
            <w:fldChar w:fldCharType="begin"/>
          </w:r>
          <w:r>
            <w:rPr>
              <w:rFonts w:ascii="Times New Roman" w:hAnsi="Times New Roman" w:eastAsia="方正黑体_GBK" w:cs="Times New Roman"/>
              <w:sz w:val="24"/>
              <w:szCs w:val="24"/>
            </w:rPr>
            <w:instrText xml:space="preserve"> PAGEREF _Toc158038211 \h </w:instrText>
          </w:r>
          <w:r>
            <w:rPr>
              <w:rFonts w:ascii="Times New Roman" w:hAnsi="Times New Roman" w:eastAsia="方正黑体_GBK" w:cs="Times New Roman"/>
              <w:sz w:val="24"/>
              <w:szCs w:val="24"/>
            </w:rPr>
            <w:fldChar w:fldCharType="separate"/>
          </w:r>
          <w:r>
            <w:rPr>
              <w:rFonts w:ascii="Times New Roman" w:hAnsi="Times New Roman" w:eastAsia="方正黑体_GBK" w:cs="Times New Roman"/>
              <w:sz w:val="24"/>
              <w:szCs w:val="24"/>
            </w:rPr>
            <w:t>20</w:t>
          </w:r>
          <w:r>
            <w:rPr>
              <w:rFonts w:ascii="Times New Roman" w:hAnsi="Times New Roman" w:eastAsia="方正黑体_GBK" w:cs="Times New Roman"/>
              <w:sz w:val="24"/>
              <w:szCs w:val="24"/>
            </w:rPr>
            <w:fldChar w:fldCharType="end"/>
          </w:r>
          <w:r>
            <w:rPr>
              <w:rFonts w:ascii="Times New Roman" w:hAnsi="Times New Roman" w:eastAsia="方正黑体_GBK" w:cs="Times New Roman"/>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"_Toc158038212" </w:instrText>
          </w:r>
          <w:r>
            <w:fldChar w:fldCharType="separate"/>
          </w:r>
          <w:r>
            <w:rPr>
              <w:rStyle w:val="17"/>
              <w:rFonts w:ascii="Times New Roman" w:hAnsi="Times New Roman" w:eastAsia="方正黑体_GBK" w:cs="Times New Roman"/>
              <w:bCs/>
              <w:i w:val="0"/>
              <w:iCs w:val="0"/>
              <w:sz w:val="24"/>
              <w:szCs w:val="24"/>
            </w:rPr>
            <w:t>第十五条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防灾空间布局目标</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_Toc158038212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20</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"_Toc158038213" </w:instrText>
          </w:r>
          <w:r>
            <w:fldChar w:fldCharType="separate"/>
          </w:r>
          <w:r>
            <w:rPr>
              <w:rStyle w:val="17"/>
              <w:rFonts w:ascii="Times New Roman" w:hAnsi="Times New Roman" w:eastAsia="方正黑体_GBK" w:cs="Times New Roman"/>
              <w:bCs/>
              <w:i w:val="0"/>
              <w:iCs w:val="0"/>
              <w:sz w:val="24"/>
              <w:szCs w:val="24"/>
            </w:rPr>
            <w:t>第十六条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防灾分区原则与技术标准</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_Toc158038213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21</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"_Toc158038214" </w:instrText>
          </w:r>
          <w:r>
            <w:fldChar w:fldCharType="separate"/>
          </w:r>
          <w:r>
            <w:rPr>
              <w:rStyle w:val="17"/>
              <w:rFonts w:ascii="Times New Roman" w:hAnsi="Times New Roman" w:eastAsia="方正黑体_GBK" w:cs="Times New Roman"/>
              <w:bCs/>
              <w:i w:val="0"/>
              <w:iCs w:val="0"/>
              <w:sz w:val="24"/>
              <w:szCs w:val="24"/>
            </w:rPr>
            <w:t>第十七条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城市防灾空间布局</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_Toc158038214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22</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"_Toc158038215" </w:instrText>
          </w:r>
          <w:r>
            <w:fldChar w:fldCharType="separate"/>
          </w:r>
          <w:r>
            <w:rPr>
              <w:rStyle w:val="17"/>
              <w:rFonts w:ascii="Times New Roman" w:hAnsi="Times New Roman" w:eastAsia="方正黑体_GBK" w:cs="Times New Roman"/>
              <w:bCs/>
              <w:i w:val="0"/>
              <w:iCs w:val="0"/>
              <w:sz w:val="24"/>
              <w:szCs w:val="24"/>
            </w:rPr>
            <w:t>第十八条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防灾空间布局对策</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_Toc158038215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22</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13"/>
            <w:tabs>
              <w:tab w:val="left" w:pos="1280"/>
              <w:tab w:val="right" w:leader="dot" w:pos="8380"/>
            </w:tabs>
            <w:spacing w:line="576" w:lineRule="exact"/>
            <w:rPr>
              <w:rFonts w:ascii="Times New Roman" w:hAnsi="Times New Roman" w:eastAsia="方正黑体_GBK" w:cs="Times New Roman"/>
              <w:smallCaps w:val="0"/>
              <w:sz w:val="28"/>
              <w:szCs w:val="32"/>
            </w:rPr>
          </w:pPr>
          <w:r>
            <w:fldChar w:fldCharType="begin"/>
          </w:r>
          <w:r>
            <w:instrText xml:space="preserve"> HYPERLINK \l "_Toc158038216" </w:instrText>
          </w:r>
          <w:r>
            <w:fldChar w:fldCharType="separate"/>
          </w:r>
          <w:r>
            <w:rPr>
              <w:rStyle w:val="17"/>
              <w:rFonts w:ascii="Times New Roman" w:hAnsi="Times New Roman" w:eastAsia="方正黑体_GBK" w:cs="Times New Roman"/>
              <w:bCs/>
              <w:sz w:val="24"/>
              <w:szCs w:val="24"/>
            </w:rPr>
            <w:t>第六章</w:t>
          </w:r>
          <w:r>
            <w:rPr>
              <w:rFonts w:ascii="Times New Roman" w:hAnsi="Times New Roman" w:eastAsia="方正黑体_GBK" w:cs="Times New Roman"/>
              <w:smallCaps w:val="0"/>
              <w:sz w:val="28"/>
              <w:szCs w:val="32"/>
            </w:rPr>
            <w:tab/>
          </w:r>
          <w:r>
            <w:rPr>
              <w:rStyle w:val="17"/>
              <w:rFonts w:ascii="Times New Roman" w:hAnsi="Times New Roman" w:eastAsia="方正黑体_GBK" w:cs="Times New Roman"/>
              <w:bCs/>
              <w:sz w:val="24"/>
              <w:szCs w:val="24"/>
            </w:rPr>
            <w:t>中心城区建筑抗震防灾</w:t>
          </w:r>
          <w:r>
            <w:rPr>
              <w:rFonts w:ascii="Times New Roman" w:hAnsi="Times New Roman" w:eastAsia="方正黑体_GBK" w:cs="Times New Roman"/>
              <w:sz w:val="24"/>
              <w:szCs w:val="24"/>
            </w:rPr>
            <w:tab/>
          </w:r>
          <w:r>
            <w:rPr>
              <w:rFonts w:ascii="Times New Roman" w:hAnsi="Times New Roman" w:eastAsia="方正黑体_GBK" w:cs="Times New Roman"/>
              <w:sz w:val="24"/>
              <w:szCs w:val="24"/>
            </w:rPr>
            <w:fldChar w:fldCharType="begin"/>
          </w:r>
          <w:r>
            <w:rPr>
              <w:rFonts w:ascii="Times New Roman" w:hAnsi="Times New Roman" w:eastAsia="方正黑体_GBK" w:cs="Times New Roman"/>
              <w:sz w:val="24"/>
              <w:szCs w:val="24"/>
            </w:rPr>
            <w:instrText xml:space="preserve"> PAGEREF _Toc158038216 \h </w:instrText>
          </w:r>
          <w:r>
            <w:rPr>
              <w:rFonts w:ascii="Times New Roman" w:hAnsi="Times New Roman" w:eastAsia="方正黑体_GBK" w:cs="Times New Roman"/>
              <w:sz w:val="24"/>
              <w:szCs w:val="24"/>
            </w:rPr>
            <w:fldChar w:fldCharType="separate"/>
          </w:r>
          <w:r>
            <w:rPr>
              <w:rFonts w:ascii="Times New Roman" w:hAnsi="Times New Roman" w:eastAsia="方正黑体_GBK" w:cs="Times New Roman"/>
              <w:sz w:val="24"/>
              <w:szCs w:val="24"/>
            </w:rPr>
            <w:t>24</w:t>
          </w:r>
          <w:r>
            <w:rPr>
              <w:rFonts w:ascii="Times New Roman" w:hAnsi="Times New Roman" w:eastAsia="方正黑体_GBK" w:cs="Times New Roman"/>
              <w:sz w:val="24"/>
              <w:szCs w:val="24"/>
            </w:rPr>
            <w:fldChar w:fldCharType="end"/>
          </w:r>
          <w:r>
            <w:rPr>
              <w:rFonts w:ascii="Times New Roman" w:hAnsi="Times New Roman" w:eastAsia="方正黑体_GBK" w:cs="Times New Roman"/>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"_Toc158038217" </w:instrText>
          </w:r>
          <w:r>
            <w:fldChar w:fldCharType="separate"/>
          </w:r>
          <w:r>
            <w:rPr>
              <w:rStyle w:val="17"/>
              <w:rFonts w:ascii="Times New Roman" w:hAnsi="Times New Roman" w:eastAsia="方正黑体_GBK" w:cs="Times New Roman"/>
              <w:bCs/>
              <w:i w:val="0"/>
              <w:iCs w:val="0"/>
              <w:sz w:val="24"/>
              <w:szCs w:val="24"/>
            </w:rPr>
            <w:t>第十九条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建筑物抗震设防标准</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_Toc158038217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24</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"_Toc158038218" </w:instrText>
          </w:r>
          <w:r>
            <w:fldChar w:fldCharType="separate"/>
          </w:r>
          <w:r>
            <w:rPr>
              <w:rStyle w:val="17"/>
              <w:rFonts w:ascii="Times New Roman" w:hAnsi="Times New Roman" w:eastAsia="方正黑体_GBK" w:cs="Times New Roman"/>
              <w:bCs/>
              <w:i w:val="0"/>
              <w:iCs w:val="0"/>
              <w:sz w:val="24"/>
              <w:szCs w:val="24"/>
            </w:rPr>
            <w:t>第二十条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重要建筑建设要求</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_Toc158038218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24</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"_Toc158038219" </w:instrText>
          </w:r>
          <w:r>
            <w:fldChar w:fldCharType="separate"/>
          </w:r>
          <w:r>
            <w:rPr>
              <w:rStyle w:val="17"/>
              <w:rFonts w:ascii="Times New Roman" w:hAnsi="Times New Roman" w:eastAsia="方正黑体_GBK" w:cs="Times New Roman"/>
              <w:bCs/>
              <w:i w:val="0"/>
              <w:iCs w:val="0"/>
              <w:sz w:val="24"/>
              <w:szCs w:val="24"/>
            </w:rPr>
            <w:t>第二十一条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建筑抗震加固与改造</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_Toc158038219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25</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"_Toc158038220" </w:instrText>
          </w:r>
          <w:r>
            <w:fldChar w:fldCharType="separate"/>
          </w:r>
          <w:r>
            <w:rPr>
              <w:rStyle w:val="17"/>
              <w:rFonts w:ascii="Times New Roman" w:hAnsi="Times New Roman" w:eastAsia="方正黑体_GBK" w:cs="Times New Roman"/>
              <w:bCs/>
              <w:i w:val="0"/>
              <w:iCs w:val="0"/>
              <w:sz w:val="24"/>
              <w:szCs w:val="24"/>
            </w:rPr>
            <w:t>第二十二条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重要建筑物抗震加固策略</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_Toc158038220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26</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"_Toc158038221" </w:instrText>
          </w:r>
          <w:r>
            <w:fldChar w:fldCharType="separate"/>
          </w:r>
          <w:r>
            <w:rPr>
              <w:rStyle w:val="17"/>
              <w:rFonts w:ascii="Times New Roman" w:hAnsi="Times New Roman" w:eastAsia="方正黑体_GBK" w:cs="Times New Roman"/>
              <w:bCs/>
              <w:i w:val="0"/>
              <w:iCs w:val="0"/>
              <w:sz w:val="24"/>
              <w:szCs w:val="24"/>
            </w:rPr>
            <w:t>第二十三条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一般建筑物抗震改造安排</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_Toc158038221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27</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"_Toc158038222" </w:instrText>
          </w:r>
          <w:r>
            <w:fldChar w:fldCharType="separate"/>
          </w:r>
          <w:r>
            <w:rPr>
              <w:rStyle w:val="17"/>
              <w:rFonts w:ascii="Times New Roman" w:hAnsi="Times New Roman" w:eastAsia="方正黑体_GBK" w:cs="Times New Roman"/>
              <w:bCs/>
              <w:i w:val="0"/>
              <w:iCs w:val="0"/>
              <w:sz w:val="24"/>
              <w:szCs w:val="24"/>
            </w:rPr>
            <w:t>第二十四条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中小学校舍抗震加固要求</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_Toc158038222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28</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"_Toc158038223" </w:instrText>
          </w:r>
          <w:r>
            <w:fldChar w:fldCharType="separate"/>
          </w:r>
          <w:r>
            <w:rPr>
              <w:rStyle w:val="17"/>
              <w:rFonts w:ascii="Times New Roman" w:hAnsi="Times New Roman" w:eastAsia="方正黑体_GBK" w:cs="Times New Roman"/>
              <w:bCs/>
              <w:i w:val="0"/>
              <w:iCs w:val="0"/>
              <w:sz w:val="24"/>
              <w:szCs w:val="24"/>
            </w:rPr>
            <w:t>第二十五条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文物保护单位与历史建筑的抗震保护</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_Toc158038223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29</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"_Toc158038224" </w:instrText>
          </w:r>
          <w:r>
            <w:fldChar w:fldCharType="separate"/>
          </w:r>
          <w:r>
            <w:rPr>
              <w:rStyle w:val="17"/>
              <w:rFonts w:ascii="Times New Roman" w:hAnsi="Times New Roman" w:eastAsia="方正黑体_GBK" w:cs="Times New Roman"/>
              <w:bCs/>
              <w:i w:val="0"/>
              <w:iCs w:val="0"/>
              <w:sz w:val="24"/>
              <w:szCs w:val="24"/>
            </w:rPr>
            <w:t>第二十六条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新建建筑抗震设防要求</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_Toc158038224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29</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13"/>
            <w:tabs>
              <w:tab w:val="left" w:pos="1280"/>
              <w:tab w:val="right" w:leader="dot" w:pos="8380"/>
            </w:tabs>
            <w:spacing w:line="576" w:lineRule="exact"/>
            <w:rPr>
              <w:rFonts w:ascii="Times New Roman" w:hAnsi="Times New Roman" w:eastAsia="方正黑体_GBK" w:cs="Times New Roman"/>
              <w:smallCaps w:val="0"/>
              <w:sz w:val="28"/>
              <w:szCs w:val="32"/>
            </w:rPr>
          </w:pPr>
          <w:r>
            <w:fldChar w:fldCharType="begin"/>
          </w:r>
          <w:r>
            <w:instrText xml:space="preserve"> HYPERLINK \l "_Toc158038225" </w:instrText>
          </w:r>
          <w:r>
            <w:fldChar w:fldCharType="separate"/>
          </w:r>
          <w:r>
            <w:rPr>
              <w:rStyle w:val="17"/>
              <w:rFonts w:ascii="Times New Roman" w:hAnsi="Times New Roman" w:eastAsia="方正黑体_GBK" w:cs="Times New Roman"/>
              <w:bCs/>
              <w:sz w:val="24"/>
              <w:szCs w:val="24"/>
            </w:rPr>
            <w:t>第七章</w:t>
          </w:r>
          <w:r>
            <w:rPr>
              <w:rFonts w:ascii="Times New Roman" w:hAnsi="Times New Roman" w:eastAsia="方正黑体_GBK" w:cs="Times New Roman"/>
              <w:smallCaps w:val="0"/>
              <w:sz w:val="28"/>
              <w:szCs w:val="32"/>
            </w:rPr>
            <w:tab/>
          </w:r>
          <w:r>
            <w:rPr>
              <w:rStyle w:val="17"/>
              <w:rFonts w:ascii="Times New Roman" w:hAnsi="Times New Roman" w:eastAsia="方正黑体_GBK" w:cs="Times New Roman"/>
              <w:bCs/>
              <w:sz w:val="24"/>
              <w:szCs w:val="24"/>
            </w:rPr>
            <w:t>基础设施抗震防灾</w:t>
          </w:r>
          <w:r>
            <w:rPr>
              <w:rFonts w:ascii="Times New Roman" w:hAnsi="Times New Roman" w:eastAsia="方正黑体_GBK" w:cs="Times New Roman"/>
              <w:sz w:val="24"/>
              <w:szCs w:val="24"/>
            </w:rPr>
            <w:tab/>
          </w:r>
          <w:r>
            <w:rPr>
              <w:rFonts w:ascii="Times New Roman" w:hAnsi="Times New Roman" w:eastAsia="方正黑体_GBK" w:cs="Times New Roman"/>
              <w:sz w:val="24"/>
              <w:szCs w:val="24"/>
            </w:rPr>
            <w:fldChar w:fldCharType="begin"/>
          </w:r>
          <w:r>
            <w:rPr>
              <w:rFonts w:ascii="Times New Roman" w:hAnsi="Times New Roman" w:eastAsia="方正黑体_GBK" w:cs="Times New Roman"/>
              <w:sz w:val="24"/>
              <w:szCs w:val="24"/>
            </w:rPr>
            <w:instrText xml:space="preserve"> PAGEREF _Toc158038225 \h </w:instrText>
          </w:r>
          <w:r>
            <w:rPr>
              <w:rFonts w:ascii="Times New Roman" w:hAnsi="Times New Roman" w:eastAsia="方正黑体_GBK" w:cs="Times New Roman"/>
              <w:sz w:val="24"/>
              <w:szCs w:val="24"/>
            </w:rPr>
            <w:fldChar w:fldCharType="separate"/>
          </w:r>
          <w:r>
            <w:rPr>
              <w:rFonts w:ascii="Times New Roman" w:hAnsi="Times New Roman" w:eastAsia="方正黑体_GBK" w:cs="Times New Roman"/>
              <w:sz w:val="24"/>
              <w:szCs w:val="24"/>
            </w:rPr>
            <w:t>30</w:t>
          </w:r>
          <w:r>
            <w:rPr>
              <w:rFonts w:ascii="Times New Roman" w:hAnsi="Times New Roman" w:eastAsia="方正黑体_GBK" w:cs="Times New Roman"/>
              <w:sz w:val="24"/>
              <w:szCs w:val="24"/>
            </w:rPr>
            <w:fldChar w:fldCharType="end"/>
          </w:r>
          <w:r>
            <w:rPr>
              <w:rFonts w:ascii="Times New Roman" w:hAnsi="Times New Roman" w:eastAsia="方正黑体_GBK" w:cs="Times New Roman"/>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"_Toc158038226" </w:instrText>
          </w:r>
          <w:r>
            <w:fldChar w:fldCharType="separate"/>
          </w:r>
          <w:r>
            <w:rPr>
              <w:rStyle w:val="17"/>
              <w:rFonts w:ascii="Times New Roman" w:hAnsi="Times New Roman" w:eastAsia="方正黑体_GBK" w:cs="Times New Roman"/>
              <w:bCs/>
              <w:i w:val="0"/>
              <w:iCs w:val="0"/>
              <w:sz w:val="24"/>
              <w:szCs w:val="24"/>
            </w:rPr>
            <w:t>第二十七条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供电系统</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_Toc158038226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30</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"_Toc158038227" </w:instrText>
          </w:r>
          <w:r>
            <w:fldChar w:fldCharType="separate"/>
          </w:r>
          <w:r>
            <w:rPr>
              <w:rStyle w:val="17"/>
              <w:rFonts w:ascii="Times New Roman" w:hAnsi="Times New Roman" w:eastAsia="方正黑体_GBK" w:cs="Times New Roman"/>
              <w:bCs/>
              <w:i w:val="0"/>
              <w:iCs w:val="0"/>
              <w:sz w:val="24"/>
              <w:szCs w:val="24"/>
            </w:rPr>
            <w:t>第二十八条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供水系统</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_Toc158038227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31</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"_Toc158038228" </w:instrText>
          </w:r>
          <w:r>
            <w:fldChar w:fldCharType="separate"/>
          </w:r>
          <w:r>
            <w:rPr>
              <w:rStyle w:val="17"/>
              <w:rFonts w:ascii="Times New Roman" w:hAnsi="Times New Roman" w:eastAsia="方正黑体_GBK" w:cs="Times New Roman"/>
              <w:bCs/>
              <w:i w:val="0"/>
              <w:iCs w:val="0"/>
              <w:sz w:val="24"/>
              <w:szCs w:val="24"/>
            </w:rPr>
            <w:t>第二十九条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交通系统</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_Toc158038228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32</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"_Toc158038229" </w:instrText>
          </w:r>
          <w:r>
            <w:fldChar w:fldCharType="separate"/>
          </w:r>
          <w:r>
            <w:rPr>
              <w:rStyle w:val="17"/>
              <w:rFonts w:ascii="Times New Roman" w:hAnsi="Times New Roman" w:eastAsia="方正黑体_GBK" w:cs="Times New Roman"/>
              <w:bCs/>
              <w:i w:val="0"/>
              <w:iCs w:val="0"/>
              <w:sz w:val="24"/>
              <w:szCs w:val="24"/>
            </w:rPr>
            <w:t>第三十条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医疗系统</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_Toc158038229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33</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"_Toc158038230" </w:instrText>
          </w:r>
          <w:r>
            <w:fldChar w:fldCharType="separate"/>
          </w:r>
          <w:r>
            <w:rPr>
              <w:rStyle w:val="17"/>
              <w:rFonts w:ascii="Times New Roman" w:hAnsi="Times New Roman" w:eastAsia="方正黑体_GBK" w:cs="Times New Roman"/>
              <w:bCs/>
              <w:i w:val="0"/>
              <w:iCs w:val="0"/>
              <w:sz w:val="24"/>
              <w:szCs w:val="24"/>
            </w:rPr>
            <w:t>第三十一条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通</w:t>
          </w:r>
          <w:r>
            <w:rPr>
              <w:rStyle w:val="17"/>
              <w:rFonts w:hint="eastAsia" w:ascii="Times New Roman" w:hAnsi="Times New Roman" w:eastAsia="方正黑体_GBK" w:cs="Times New Roman"/>
              <w:i w:val="0"/>
              <w:iCs w:val="0"/>
              <w:sz w:val="24"/>
              <w:szCs w:val="24"/>
              <w:lang w:eastAsia="zh-CN"/>
            </w:rPr>
            <w:t>信</w:t>
          </w:r>
          <w:r>
            <w:rPr>
              <w:rStyle w:val="17"/>
              <w:rFonts w:ascii="Times New Roman" w:hAnsi="Times New Roman" w:eastAsia="方正黑体_GBK" w:cs="Times New Roman"/>
              <w:i w:val="0"/>
              <w:iCs w:val="0"/>
              <w:sz w:val="24"/>
              <w:szCs w:val="24"/>
            </w:rPr>
            <w:t>系统</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_Toc158038230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33</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"_Toc158038231" </w:instrText>
          </w:r>
          <w:r>
            <w:fldChar w:fldCharType="separate"/>
          </w:r>
          <w:r>
            <w:rPr>
              <w:rStyle w:val="17"/>
              <w:rFonts w:ascii="Times New Roman" w:hAnsi="Times New Roman" w:eastAsia="方正黑体_GBK" w:cs="Times New Roman"/>
              <w:bCs/>
              <w:i w:val="0"/>
              <w:iCs w:val="0"/>
              <w:sz w:val="24"/>
              <w:szCs w:val="24"/>
            </w:rPr>
            <w:t>第三十二条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粮食系统</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_Toc158038231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34</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"_Toc158038232" </w:instrText>
          </w:r>
          <w:r>
            <w:fldChar w:fldCharType="separate"/>
          </w:r>
          <w:r>
            <w:rPr>
              <w:rStyle w:val="17"/>
              <w:rFonts w:ascii="Times New Roman" w:hAnsi="Times New Roman" w:eastAsia="方正黑体_GBK" w:cs="Times New Roman"/>
              <w:bCs/>
              <w:i w:val="0"/>
              <w:iCs w:val="0"/>
              <w:sz w:val="24"/>
              <w:szCs w:val="24"/>
            </w:rPr>
            <w:t>第三十三条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燃气系统</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_Toc158038232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35</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"_Toc158038233" </w:instrText>
          </w:r>
          <w:r>
            <w:fldChar w:fldCharType="separate"/>
          </w:r>
          <w:r>
            <w:rPr>
              <w:rStyle w:val="17"/>
              <w:rFonts w:ascii="Times New Roman" w:hAnsi="Times New Roman" w:eastAsia="方正黑体_GBK" w:cs="Times New Roman"/>
              <w:bCs/>
              <w:i w:val="0"/>
              <w:iCs w:val="0"/>
              <w:sz w:val="24"/>
              <w:szCs w:val="24"/>
            </w:rPr>
            <w:t>第三十四条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消防救援系统</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_Toc158038233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35</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13"/>
            <w:tabs>
              <w:tab w:val="left" w:pos="1280"/>
              <w:tab w:val="right" w:leader="dot" w:pos="8380"/>
            </w:tabs>
            <w:spacing w:line="576" w:lineRule="exact"/>
            <w:rPr>
              <w:rFonts w:ascii="Times New Roman" w:hAnsi="Times New Roman" w:eastAsia="方正黑体_GBK" w:cs="Times New Roman"/>
              <w:smallCaps w:val="0"/>
              <w:sz w:val="28"/>
              <w:szCs w:val="32"/>
            </w:rPr>
          </w:pPr>
          <w:r>
            <w:fldChar w:fldCharType="begin"/>
          </w:r>
          <w:r>
            <w:instrText xml:space="preserve"> HYPERLINK \l "_Toc158038234" </w:instrText>
          </w:r>
          <w:r>
            <w:fldChar w:fldCharType="separate"/>
          </w:r>
          <w:r>
            <w:rPr>
              <w:rStyle w:val="17"/>
              <w:rFonts w:ascii="Times New Roman" w:hAnsi="Times New Roman" w:eastAsia="方正黑体_GBK" w:cs="Times New Roman"/>
              <w:bCs/>
              <w:sz w:val="24"/>
              <w:szCs w:val="24"/>
            </w:rPr>
            <w:t>第八章</w:t>
          </w:r>
          <w:r>
            <w:rPr>
              <w:rFonts w:ascii="Times New Roman" w:hAnsi="Times New Roman" w:eastAsia="方正黑体_GBK" w:cs="Times New Roman"/>
              <w:smallCaps w:val="0"/>
              <w:sz w:val="28"/>
              <w:szCs w:val="32"/>
            </w:rPr>
            <w:tab/>
          </w:r>
          <w:r>
            <w:rPr>
              <w:rStyle w:val="17"/>
              <w:rFonts w:ascii="Times New Roman" w:hAnsi="Times New Roman" w:eastAsia="方正黑体_GBK" w:cs="Times New Roman"/>
              <w:bCs/>
              <w:sz w:val="24"/>
              <w:szCs w:val="24"/>
            </w:rPr>
            <w:t>地震次生灾害防御</w:t>
          </w:r>
          <w:r>
            <w:rPr>
              <w:rFonts w:ascii="Times New Roman" w:hAnsi="Times New Roman" w:eastAsia="方正黑体_GBK" w:cs="Times New Roman"/>
              <w:sz w:val="24"/>
              <w:szCs w:val="24"/>
            </w:rPr>
            <w:tab/>
          </w:r>
          <w:r>
            <w:rPr>
              <w:rFonts w:ascii="Times New Roman" w:hAnsi="Times New Roman" w:eastAsia="方正黑体_GBK" w:cs="Times New Roman"/>
              <w:sz w:val="24"/>
              <w:szCs w:val="24"/>
            </w:rPr>
            <w:fldChar w:fldCharType="begin"/>
          </w:r>
          <w:r>
            <w:rPr>
              <w:rFonts w:ascii="Times New Roman" w:hAnsi="Times New Roman" w:eastAsia="方正黑体_GBK" w:cs="Times New Roman"/>
              <w:sz w:val="24"/>
              <w:szCs w:val="24"/>
            </w:rPr>
            <w:instrText xml:space="preserve"> PAGEREF _Toc158038234 \h </w:instrText>
          </w:r>
          <w:r>
            <w:rPr>
              <w:rFonts w:ascii="Times New Roman" w:hAnsi="Times New Roman" w:eastAsia="方正黑体_GBK" w:cs="Times New Roman"/>
              <w:sz w:val="24"/>
              <w:szCs w:val="24"/>
            </w:rPr>
            <w:fldChar w:fldCharType="separate"/>
          </w:r>
          <w:r>
            <w:rPr>
              <w:rFonts w:ascii="Times New Roman" w:hAnsi="Times New Roman" w:eastAsia="方正黑体_GBK" w:cs="Times New Roman"/>
              <w:sz w:val="24"/>
              <w:szCs w:val="24"/>
            </w:rPr>
            <w:t>36</w:t>
          </w:r>
          <w:r>
            <w:rPr>
              <w:rFonts w:ascii="Times New Roman" w:hAnsi="Times New Roman" w:eastAsia="方正黑体_GBK" w:cs="Times New Roman"/>
              <w:sz w:val="24"/>
              <w:szCs w:val="24"/>
            </w:rPr>
            <w:fldChar w:fldCharType="end"/>
          </w:r>
          <w:r>
            <w:rPr>
              <w:rFonts w:ascii="Times New Roman" w:hAnsi="Times New Roman" w:eastAsia="方正黑体_GBK" w:cs="Times New Roman"/>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"_Toc158038235" </w:instrText>
          </w:r>
          <w:r>
            <w:fldChar w:fldCharType="separate"/>
          </w:r>
          <w:r>
            <w:rPr>
              <w:rStyle w:val="17"/>
              <w:rFonts w:ascii="Times New Roman" w:hAnsi="Times New Roman" w:eastAsia="方正黑体_GBK" w:cs="Times New Roman"/>
              <w:bCs/>
              <w:i w:val="0"/>
              <w:iCs w:val="0"/>
              <w:sz w:val="24"/>
              <w:szCs w:val="24"/>
            </w:rPr>
            <w:t>第三十五条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次生火灾防御</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_Toc158038235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36</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"_Toc158038236" </w:instrText>
          </w:r>
          <w:r>
            <w:fldChar w:fldCharType="separate"/>
          </w:r>
          <w:r>
            <w:rPr>
              <w:rStyle w:val="17"/>
              <w:rFonts w:ascii="Times New Roman" w:hAnsi="Times New Roman" w:eastAsia="方正黑体_GBK" w:cs="Times New Roman"/>
              <w:bCs/>
              <w:i w:val="0"/>
              <w:iCs w:val="0"/>
              <w:sz w:val="24"/>
              <w:szCs w:val="24"/>
            </w:rPr>
            <w:t>第三十六条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次生水灾防御</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_Toc158038236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38</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"_Toc158038237" </w:instrText>
          </w:r>
          <w:r>
            <w:fldChar w:fldCharType="separate"/>
          </w:r>
          <w:r>
            <w:rPr>
              <w:rStyle w:val="17"/>
              <w:rFonts w:ascii="Times New Roman" w:hAnsi="Times New Roman" w:eastAsia="方正黑体_GBK" w:cs="Times New Roman"/>
              <w:bCs/>
              <w:i w:val="0"/>
              <w:iCs w:val="0"/>
              <w:sz w:val="24"/>
              <w:szCs w:val="24"/>
            </w:rPr>
            <w:t>第三十七条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次生爆炸防御</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_Toc158038237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38</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"_Toc158038238" </w:instrText>
          </w:r>
          <w:r>
            <w:fldChar w:fldCharType="separate"/>
          </w:r>
          <w:r>
            <w:rPr>
              <w:rStyle w:val="17"/>
              <w:rFonts w:ascii="Times New Roman" w:hAnsi="Times New Roman" w:eastAsia="方正黑体_GBK" w:cs="Times New Roman"/>
              <w:bCs/>
              <w:i w:val="0"/>
              <w:iCs w:val="0"/>
              <w:sz w:val="24"/>
              <w:szCs w:val="24"/>
            </w:rPr>
            <w:t>第三十八条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次生地质灾害防御</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_Toc158038238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39</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13"/>
            <w:tabs>
              <w:tab w:val="left" w:pos="1280"/>
              <w:tab w:val="right" w:leader="dot" w:pos="8380"/>
            </w:tabs>
            <w:spacing w:line="576" w:lineRule="exact"/>
            <w:rPr>
              <w:rFonts w:ascii="Times New Roman" w:hAnsi="Times New Roman" w:eastAsia="方正黑体_GBK" w:cs="Times New Roman"/>
              <w:smallCaps w:val="0"/>
              <w:sz w:val="28"/>
              <w:szCs w:val="32"/>
            </w:rPr>
          </w:pPr>
          <w:r>
            <w:fldChar w:fldCharType="begin"/>
          </w:r>
          <w:r>
            <w:instrText xml:space="preserve"> HYPERLINK \l "_Toc158038239" </w:instrText>
          </w:r>
          <w:r>
            <w:fldChar w:fldCharType="separate"/>
          </w:r>
          <w:r>
            <w:rPr>
              <w:rStyle w:val="17"/>
              <w:rFonts w:ascii="Times New Roman" w:hAnsi="Times New Roman" w:eastAsia="方正黑体_GBK" w:cs="Times New Roman"/>
              <w:bCs/>
              <w:sz w:val="24"/>
              <w:szCs w:val="24"/>
            </w:rPr>
            <w:t>第九章</w:t>
          </w:r>
          <w:r>
            <w:rPr>
              <w:rFonts w:ascii="Times New Roman" w:hAnsi="Times New Roman" w:eastAsia="方正黑体_GBK" w:cs="Times New Roman"/>
              <w:smallCaps w:val="0"/>
              <w:sz w:val="28"/>
              <w:szCs w:val="32"/>
            </w:rPr>
            <w:tab/>
          </w:r>
          <w:r>
            <w:rPr>
              <w:rStyle w:val="17"/>
              <w:rFonts w:ascii="Times New Roman" w:hAnsi="Times New Roman" w:eastAsia="方正黑体_GBK" w:cs="Times New Roman"/>
              <w:bCs/>
              <w:sz w:val="24"/>
              <w:szCs w:val="24"/>
            </w:rPr>
            <w:t>避震疏散规划</w:t>
          </w:r>
          <w:r>
            <w:rPr>
              <w:rFonts w:ascii="Times New Roman" w:hAnsi="Times New Roman" w:eastAsia="方正黑体_GBK" w:cs="Times New Roman"/>
              <w:sz w:val="24"/>
              <w:szCs w:val="24"/>
            </w:rPr>
            <w:tab/>
          </w:r>
          <w:r>
            <w:rPr>
              <w:rFonts w:ascii="Times New Roman" w:hAnsi="Times New Roman" w:eastAsia="方正黑体_GBK" w:cs="Times New Roman"/>
              <w:sz w:val="24"/>
              <w:szCs w:val="24"/>
            </w:rPr>
            <w:fldChar w:fldCharType="begin"/>
          </w:r>
          <w:r>
            <w:rPr>
              <w:rFonts w:ascii="Times New Roman" w:hAnsi="Times New Roman" w:eastAsia="方正黑体_GBK" w:cs="Times New Roman"/>
              <w:sz w:val="24"/>
              <w:szCs w:val="24"/>
            </w:rPr>
            <w:instrText xml:space="preserve"> PAGEREF _Toc158038239 \h </w:instrText>
          </w:r>
          <w:r>
            <w:rPr>
              <w:rFonts w:ascii="Times New Roman" w:hAnsi="Times New Roman" w:eastAsia="方正黑体_GBK" w:cs="Times New Roman"/>
              <w:sz w:val="24"/>
              <w:szCs w:val="24"/>
            </w:rPr>
            <w:fldChar w:fldCharType="separate"/>
          </w:r>
          <w:r>
            <w:rPr>
              <w:rFonts w:ascii="Times New Roman" w:hAnsi="Times New Roman" w:eastAsia="方正黑体_GBK" w:cs="Times New Roman"/>
              <w:sz w:val="24"/>
              <w:szCs w:val="24"/>
            </w:rPr>
            <w:t>40</w:t>
          </w:r>
          <w:r>
            <w:rPr>
              <w:rFonts w:ascii="Times New Roman" w:hAnsi="Times New Roman" w:eastAsia="方正黑体_GBK" w:cs="Times New Roman"/>
              <w:sz w:val="24"/>
              <w:szCs w:val="24"/>
            </w:rPr>
            <w:fldChar w:fldCharType="end"/>
          </w:r>
          <w:r>
            <w:rPr>
              <w:rFonts w:ascii="Times New Roman" w:hAnsi="Times New Roman" w:eastAsia="方正黑体_GBK" w:cs="Times New Roman"/>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"_Toc158038240" </w:instrText>
          </w:r>
          <w:r>
            <w:fldChar w:fldCharType="separate"/>
          </w:r>
          <w:r>
            <w:rPr>
              <w:rStyle w:val="17"/>
              <w:rFonts w:ascii="Times New Roman" w:hAnsi="Times New Roman" w:eastAsia="方正黑体_GBK" w:cs="Times New Roman"/>
              <w:bCs/>
              <w:i w:val="0"/>
              <w:iCs w:val="0"/>
              <w:sz w:val="24"/>
              <w:szCs w:val="24"/>
            </w:rPr>
            <w:t>第三十九条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城市避震疏散体系</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_Toc158038240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40</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"_Toc158038241" </w:instrText>
          </w:r>
          <w:r>
            <w:fldChar w:fldCharType="separate"/>
          </w:r>
          <w:r>
            <w:rPr>
              <w:rStyle w:val="17"/>
              <w:rFonts w:ascii="Times New Roman" w:hAnsi="Times New Roman" w:eastAsia="方正黑体_GBK" w:cs="Times New Roman"/>
              <w:bCs/>
              <w:i w:val="0"/>
              <w:iCs w:val="0"/>
              <w:sz w:val="24"/>
              <w:szCs w:val="24"/>
            </w:rPr>
            <w:t>第四十条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应急避难场所选址要求</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_Toc158038241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40</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"_Toc158038242" </w:instrText>
          </w:r>
          <w:r>
            <w:fldChar w:fldCharType="separate"/>
          </w:r>
          <w:r>
            <w:rPr>
              <w:rStyle w:val="17"/>
              <w:rFonts w:ascii="Times New Roman" w:hAnsi="Times New Roman" w:eastAsia="方正黑体_GBK" w:cs="Times New Roman"/>
              <w:bCs/>
              <w:i w:val="0"/>
              <w:iCs w:val="0"/>
              <w:sz w:val="24"/>
              <w:szCs w:val="24"/>
            </w:rPr>
            <w:t>第四十一条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应急避难场所分类与设置标准</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_Toc158038242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41</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"_Toc158038243" </w:instrText>
          </w:r>
          <w:r>
            <w:fldChar w:fldCharType="separate"/>
          </w:r>
          <w:r>
            <w:rPr>
              <w:rStyle w:val="17"/>
              <w:rFonts w:ascii="Times New Roman" w:hAnsi="Times New Roman" w:eastAsia="方正黑体_GBK" w:cs="Times New Roman"/>
              <w:bCs/>
              <w:i w:val="0"/>
              <w:iCs w:val="0"/>
              <w:sz w:val="24"/>
              <w:szCs w:val="24"/>
            </w:rPr>
            <w:t>第四十二条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应急避难场所规模</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_Toc158038243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42</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"_Toc158038244" </w:instrText>
          </w:r>
          <w:r>
            <w:fldChar w:fldCharType="separate"/>
          </w:r>
          <w:r>
            <w:rPr>
              <w:rStyle w:val="17"/>
              <w:rFonts w:ascii="Times New Roman" w:hAnsi="Times New Roman" w:eastAsia="方正黑体_GBK" w:cs="Times New Roman"/>
              <w:bCs/>
              <w:i w:val="0"/>
              <w:iCs w:val="0"/>
              <w:sz w:val="24"/>
              <w:szCs w:val="24"/>
            </w:rPr>
            <w:t>第四十三条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中长期避难场所布局规划</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_Toc158038244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44</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"_Toc158038245" </w:instrText>
          </w:r>
          <w:r>
            <w:fldChar w:fldCharType="separate"/>
          </w:r>
          <w:r>
            <w:rPr>
              <w:rStyle w:val="17"/>
              <w:rFonts w:ascii="Times New Roman" w:hAnsi="Times New Roman" w:eastAsia="方正黑体_GBK" w:cs="Times New Roman"/>
              <w:bCs/>
              <w:i w:val="0"/>
              <w:iCs w:val="0"/>
              <w:sz w:val="24"/>
              <w:szCs w:val="24"/>
            </w:rPr>
            <w:t>第四十四条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短期避难场所布局规划</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_Toc158038245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45</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"_Toc158038246" </w:instrText>
          </w:r>
          <w:r>
            <w:fldChar w:fldCharType="separate"/>
          </w:r>
          <w:r>
            <w:rPr>
              <w:rStyle w:val="17"/>
              <w:rFonts w:ascii="Times New Roman" w:hAnsi="Times New Roman" w:eastAsia="方正黑体_GBK" w:cs="Times New Roman"/>
              <w:bCs/>
              <w:i w:val="0"/>
              <w:iCs w:val="0"/>
              <w:sz w:val="24"/>
              <w:szCs w:val="24"/>
            </w:rPr>
            <w:t>第四十五条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暂时避难场所布局规划</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_Toc158038246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45</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"_Toc158038247" </w:instrText>
          </w:r>
          <w:r>
            <w:fldChar w:fldCharType="separate"/>
          </w:r>
          <w:r>
            <w:rPr>
              <w:rStyle w:val="17"/>
              <w:rFonts w:ascii="Times New Roman" w:hAnsi="Times New Roman" w:eastAsia="方正黑体_GBK" w:cs="Times New Roman"/>
              <w:bCs/>
              <w:i w:val="0"/>
              <w:iCs w:val="0"/>
              <w:sz w:val="24"/>
              <w:szCs w:val="24"/>
            </w:rPr>
            <w:t>第四十六条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避难场所管理要求</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_Toc158038247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45</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"_Toc158038248" </w:instrText>
          </w:r>
          <w:r>
            <w:fldChar w:fldCharType="separate"/>
          </w:r>
          <w:r>
            <w:rPr>
              <w:rStyle w:val="17"/>
              <w:rFonts w:ascii="Times New Roman" w:hAnsi="Times New Roman" w:eastAsia="方正黑体_GBK" w:cs="Times New Roman"/>
              <w:bCs/>
              <w:i w:val="0"/>
              <w:iCs w:val="0"/>
              <w:sz w:val="24"/>
              <w:szCs w:val="24"/>
            </w:rPr>
            <w:t>第四十七条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疏散通道空间布局</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_Toc158038248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46</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"_Toc158038249" </w:instrText>
          </w:r>
          <w:r>
            <w:fldChar w:fldCharType="separate"/>
          </w:r>
          <w:r>
            <w:rPr>
              <w:rStyle w:val="17"/>
              <w:rFonts w:ascii="Times New Roman" w:hAnsi="Times New Roman" w:eastAsia="方正黑体_GBK" w:cs="Times New Roman"/>
              <w:bCs/>
              <w:i w:val="0"/>
              <w:iCs w:val="0"/>
              <w:sz w:val="24"/>
              <w:szCs w:val="24"/>
            </w:rPr>
            <w:t>第四十八条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疏散通道技术指标</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_Toc158038249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47</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"_Toc158038250" </w:instrText>
          </w:r>
          <w:r>
            <w:fldChar w:fldCharType="separate"/>
          </w:r>
          <w:r>
            <w:rPr>
              <w:rStyle w:val="17"/>
              <w:rFonts w:ascii="Times New Roman" w:hAnsi="Times New Roman" w:eastAsia="方正黑体_GBK" w:cs="Times New Roman"/>
              <w:bCs/>
              <w:i w:val="0"/>
              <w:iCs w:val="0"/>
              <w:sz w:val="24"/>
              <w:szCs w:val="24"/>
            </w:rPr>
            <w:t>第四十九条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应急避难场所配套设施内容</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_Toc158038250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48</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13"/>
            <w:tabs>
              <w:tab w:val="left" w:pos="1280"/>
              <w:tab w:val="right" w:leader="dot" w:pos="8380"/>
            </w:tabs>
            <w:spacing w:line="576" w:lineRule="exact"/>
            <w:rPr>
              <w:rFonts w:ascii="Times New Roman" w:hAnsi="Times New Roman" w:eastAsia="方正黑体_GBK" w:cs="Times New Roman"/>
              <w:smallCaps w:val="0"/>
              <w:sz w:val="28"/>
              <w:szCs w:val="32"/>
            </w:rPr>
          </w:pPr>
          <w:r>
            <w:fldChar w:fldCharType="begin"/>
          </w:r>
          <w:r>
            <w:instrText xml:space="preserve"> HYPERLINK \l "_Toc158038251" </w:instrText>
          </w:r>
          <w:r>
            <w:fldChar w:fldCharType="separate"/>
          </w:r>
          <w:r>
            <w:rPr>
              <w:rStyle w:val="17"/>
              <w:rFonts w:ascii="Times New Roman" w:hAnsi="Times New Roman" w:eastAsia="方正黑体_GBK" w:cs="Times New Roman"/>
              <w:bCs/>
              <w:sz w:val="24"/>
              <w:szCs w:val="24"/>
            </w:rPr>
            <w:t>第十章</w:t>
          </w:r>
          <w:r>
            <w:rPr>
              <w:rFonts w:ascii="Times New Roman" w:hAnsi="Times New Roman" w:eastAsia="方正黑体_GBK" w:cs="Times New Roman"/>
              <w:smallCaps w:val="0"/>
              <w:sz w:val="28"/>
              <w:szCs w:val="32"/>
            </w:rPr>
            <w:tab/>
          </w:r>
          <w:r>
            <w:rPr>
              <w:rStyle w:val="17"/>
              <w:rFonts w:ascii="Times New Roman" w:hAnsi="Times New Roman" w:eastAsia="方正黑体_GBK" w:cs="Times New Roman"/>
              <w:bCs/>
              <w:sz w:val="24"/>
              <w:szCs w:val="24"/>
            </w:rPr>
            <w:t>应急保障基础设施规划</w:t>
          </w:r>
          <w:r>
            <w:rPr>
              <w:rFonts w:ascii="Times New Roman" w:hAnsi="Times New Roman" w:eastAsia="方正黑体_GBK" w:cs="Times New Roman"/>
              <w:sz w:val="24"/>
              <w:szCs w:val="24"/>
            </w:rPr>
            <w:tab/>
          </w:r>
          <w:r>
            <w:rPr>
              <w:rFonts w:ascii="Times New Roman" w:hAnsi="Times New Roman" w:eastAsia="方正黑体_GBK" w:cs="Times New Roman"/>
              <w:sz w:val="24"/>
              <w:szCs w:val="24"/>
            </w:rPr>
            <w:fldChar w:fldCharType="begin"/>
          </w:r>
          <w:r>
            <w:rPr>
              <w:rFonts w:ascii="Times New Roman" w:hAnsi="Times New Roman" w:eastAsia="方正黑体_GBK" w:cs="Times New Roman"/>
              <w:sz w:val="24"/>
              <w:szCs w:val="24"/>
            </w:rPr>
            <w:instrText xml:space="preserve"> PAGEREF _Toc158038251 \h </w:instrText>
          </w:r>
          <w:r>
            <w:rPr>
              <w:rFonts w:ascii="Times New Roman" w:hAnsi="Times New Roman" w:eastAsia="方正黑体_GBK" w:cs="Times New Roman"/>
              <w:sz w:val="24"/>
              <w:szCs w:val="24"/>
            </w:rPr>
            <w:fldChar w:fldCharType="separate"/>
          </w:r>
          <w:r>
            <w:rPr>
              <w:rFonts w:ascii="Times New Roman" w:hAnsi="Times New Roman" w:eastAsia="方正黑体_GBK" w:cs="Times New Roman"/>
              <w:sz w:val="24"/>
              <w:szCs w:val="24"/>
            </w:rPr>
            <w:t>48</w:t>
          </w:r>
          <w:r>
            <w:rPr>
              <w:rFonts w:ascii="Times New Roman" w:hAnsi="Times New Roman" w:eastAsia="方正黑体_GBK" w:cs="Times New Roman"/>
              <w:sz w:val="24"/>
              <w:szCs w:val="24"/>
            </w:rPr>
            <w:fldChar w:fldCharType="end"/>
          </w:r>
          <w:r>
            <w:rPr>
              <w:rFonts w:ascii="Times New Roman" w:hAnsi="Times New Roman" w:eastAsia="方正黑体_GBK" w:cs="Times New Roman"/>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"_Toc158038252" </w:instrText>
          </w:r>
          <w:r>
            <w:fldChar w:fldCharType="separate"/>
          </w:r>
          <w:r>
            <w:rPr>
              <w:rStyle w:val="17"/>
              <w:rFonts w:ascii="Times New Roman" w:hAnsi="Times New Roman" w:eastAsia="方正黑体_GBK" w:cs="Times New Roman"/>
              <w:bCs/>
              <w:i w:val="0"/>
              <w:iCs w:val="0"/>
              <w:sz w:val="24"/>
              <w:szCs w:val="24"/>
            </w:rPr>
            <w:t>第五十条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应急供水保障规划</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_Toc158038252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48</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"_Toc158038253" </w:instrText>
          </w:r>
          <w:r>
            <w:fldChar w:fldCharType="separate"/>
          </w:r>
          <w:r>
            <w:rPr>
              <w:rStyle w:val="17"/>
              <w:rFonts w:ascii="Times New Roman" w:hAnsi="Times New Roman" w:eastAsia="方正黑体_GBK" w:cs="Times New Roman"/>
              <w:bCs/>
              <w:i w:val="0"/>
              <w:iCs w:val="0"/>
              <w:sz w:val="24"/>
              <w:szCs w:val="24"/>
            </w:rPr>
            <w:t>第五十一条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应急供电保障规划</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_Toc158038253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50</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"_Toc158038254" </w:instrText>
          </w:r>
          <w:r>
            <w:fldChar w:fldCharType="separate"/>
          </w:r>
          <w:r>
            <w:rPr>
              <w:rStyle w:val="17"/>
              <w:rFonts w:ascii="Times New Roman" w:hAnsi="Times New Roman" w:eastAsia="方正黑体_GBK" w:cs="Times New Roman"/>
              <w:bCs/>
              <w:i w:val="0"/>
              <w:iCs w:val="0"/>
              <w:sz w:val="24"/>
              <w:szCs w:val="24"/>
            </w:rPr>
            <w:t>第五十二条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应急救灾医疗保障规划</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_Toc158038254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53</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"_Toc158038255" </w:instrText>
          </w:r>
          <w:r>
            <w:fldChar w:fldCharType="separate"/>
          </w:r>
          <w:r>
            <w:rPr>
              <w:rStyle w:val="17"/>
              <w:rFonts w:ascii="Times New Roman" w:hAnsi="Times New Roman" w:eastAsia="方正黑体_GBK" w:cs="Times New Roman"/>
              <w:bCs/>
              <w:i w:val="0"/>
              <w:iCs w:val="0"/>
              <w:sz w:val="24"/>
              <w:szCs w:val="24"/>
            </w:rPr>
            <w:t>第五十三条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应急通</w:t>
          </w:r>
          <w:r>
            <w:rPr>
              <w:rStyle w:val="17"/>
              <w:rFonts w:hint="eastAsia" w:ascii="Times New Roman" w:hAnsi="Times New Roman" w:eastAsia="方正黑体_GBK" w:cs="Times New Roman"/>
              <w:i w:val="0"/>
              <w:iCs w:val="0"/>
              <w:sz w:val="24"/>
              <w:szCs w:val="24"/>
              <w:lang w:eastAsia="zh-CN"/>
            </w:rPr>
            <w:t>信</w:t>
          </w:r>
          <w:r>
            <w:rPr>
              <w:rStyle w:val="17"/>
              <w:rFonts w:ascii="Times New Roman" w:hAnsi="Times New Roman" w:eastAsia="方正黑体_GBK" w:cs="Times New Roman"/>
              <w:i w:val="0"/>
              <w:iCs w:val="0"/>
              <w:sz w:val="24"/>
              <w:szCs w:val="24"/>
            </w:rPr>
            <w:t>保障规划</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_Toc158038255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55</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13"/>
            <w:tabs>
              <w:tab w:val="left" w:pos="1600"/>
              <w:tab w:val="right" w:leader="dot" w:pos="8380"/>
            </w:tabs>
            <w:spacing w:line="576" w:lineRule="exact"/>
            <w:rPr>
              <w:rFonts w:ascii="Times New Roman" w:hAnsi="Times New Roman" w:eastAsia="方正黑体_GBK" w:cs="Times New Roman"/>
              <w:smallCaps w:val="0"/>
              <w:sz w:val="28"/>
              <w:szCs w:val="32"/>
            </w:rPr>
          </w:pPr>
          <w:r>
            <w:fldChar w:fldCharType="begin"/>
          </w:r>
          <w:r>
            <w:instrText xml:space="preserve"> HYPERLINK \l "_Toc158038256" </w:instrText>
          </w:r>
          <w:r>
            <w:fldChar w:fldCharType="separate"/>
          </w:r>
          <w:r>
            <w:rPr>
              <w:rStyle w:val="17"/>
              <w:rFonts w:ascii="Times New Roman" w:hAnsi="Times New Roman" w:eastAsia="方正黑体_GBK" w:cs="Times New Roman"/>
              <w:bCs/>
              <w:sz w:val="24"/>
              <w:szCs w:val="24"/>
            </w:rPr>
            <w:t>第十一章</w:t>
          </w:r>
          <w:r>
            <w:rPr>
              <w:rFonts w:ascii="Times New Roman" w:hAnsi="Times New Roman" w:eastAsia="方正黑体_GBK" w:cs="Times New Roman"/>
              <w:smallCaps w:val="0"/>
              <w:sz w:val="28"/>
              <w:szCs w:val="32"/>
            </w:rPr>
            <w:tab/>
          </w:r>
          <w:r>
            <w:rPr>
              <w:rStyle w:val="17"/>
              <w:rFonts w:ascii="Times New Roman" w:hAnsi="Times New Roman" w:eastAsia="方正黑体_GBK" w:cs="Times New Roman"/>
              <w:bCs/>
              <w:sz w:val="24"/>
              <w:szCs w:val="24"/>
            </w:rPr>
            <w:t>救灾物资与消防保障</w:t>
          </w:r>
          <w:r>
            <w:rPr>
              <w:rFonts w:ascii="Times New Roman" w:hAnsi="Times New Roman" w:eastAsia="方正黑体_GBK" w:cs="Times New Roman"/>
              <w:sz w:val="24"/>
              <w:szCs w:val="24"/>
            </w:rPr>
            <w:tab/>
          </w:r>
          <w:r>
            <w:rPr>
              <w:rFonts w:ascii="Times New Roman" w:hAnsi="Times New Roman" w:eastAsia="方正黑体_GBK" w:cs="Times New Roman"/>
              <w:sz w:val="24"/>
              <w:szCs w:val="24"/>
            </w:rPr>
            <w:fldChar w:fldCharType="begin"/>
          </w:r>
          <w:r>
            <w:rPr>
              <w:rFonts w:ascii="Times New Roman" w:hAnsi="Times New Roman" w:eastAsia="方正黑体_GBK" w:cs="Times New Roman"/>
              <w:sz w:val="24"/>
              <w:szCs w:val="24"/>
            </w:rPr>
            <w:instrText xml:space="preserve"> PAGEREF _Toc158038256 \h </w:instrText>
          </w:r>
          <w:r>
            <w:rPr>
              <w:rFonts w:ascii="Times New Roman" w:hAnsi="Times New Roman" w:eastAsia="方正黑体_GBK" w:cs="Times New Roman"/>
              <w:sz w:val="24"/>
              <w:szCs w:val="24"/>
            </w:rPr>
            <w:fldChar w:fldCharType="separate"/>
          </w:r>
          <w:r>
            <w:rPr>
              <w:rFonts w:ascii="Times New Roman" w:hAnsi="Times New Roman" w:eastAsia="方正黑体_GBK" w:cs="Times New Roman"/>
              <w:sz w:val="24"/>
              <w:szCs w:val="24"/>
            </w:rPr>
            <w:t>56</w:t>
          </w:r>
          <w:r>
            <w:rPr>
              <w:rFonts w:ascii="Times New Roman" w:hAnsi="Times New Roman" w:eastAsia="方正黑体_GBK" w:cs="Times New Roman"/>
              <w:sz w:val="24"/>
              <w:szCs w:val="24"/>
            </w:rPr>
            <w:fldChar w:fldCharType="end"/>
          </w:r>
          <w:r>
            <w:rPr>
              <w:rFonts w:ascii="Times New Roman" w:hAnsi="Times New Roman" w:eastAsia="方正黑体_GBK" w:cs="Times New Roman"/>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"_Toc158038257" </w:instrText>
          </w:r>
          <w:r>
            <w:fldChar w:fldCharType="separate"/>
          </w:r>
          <w:r>
            <w:rPr>
              <w:rStyle w:val="17"/>
              <w:rFonts w:ascii="Times New Roman" w:hAnsi="Times New Roman" w:eastAsia="方正黑体_GBK" w:cs="Times New Roman"/>
              <w:bCs/>
              <w:i w:val="0"/>
              <w:iCs w:val="0"/>
              <w:sz w:val="24"/>
              <w:szCs w:val="24"/>
            </w:rPr>
            <w:t>第五十四条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区域抗震救灾协调</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_Toc158038257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56</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"_Toc158038258" </w:instrText>
          </w:r>
          <w:r>
            <w:fldChar w:fldCharType="separate"/>
          </w:r>
          <w:r>
            <w:rPr>
              <w:rStyle w:val="17"/>
              <w:rFonts w:ascii="Times New Roman" w:hAnsi="Times New Roman" w:eastAsia="方正黑体_GBK" w:cs="Times New Roman"/>
              <w:bCs/>
              <w:i w:val="0"/>
              <w:iCs w:val="0"/>
              <w:sz w:val="24"/>
              <w:szCs w:val="24"/>
            </w:rPr>
            <w:t>第五十五条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抗震指挥中心布局</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_Toc158038258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57</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"_Toc158038259" </w:instrText>
          </w:r>
          <w:r>
            <w:fldChar w:fldCharType="separate"/>
          </w:r>
          <w:r>
            <w:rPr>
              <w:rStyle w:val="17"/>
              <w:rFonts w:ascii="Times New Roman" w:hAnsi="Times New Roman" w:eastAsia="方正黑体_GBK" w:cs="Times New Roman"/>
              <w:bCs/>
              <w:i w:val="0"/>
              <w:iCs w:val="0"/>
              <w:sz w:val="24"/>
              <w:szCs w:val="24"/>
            </w:rPr>
            <w:t>第五十六条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物资保障空间布局</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_Toc158038259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57</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"_Toc158038260" </w:instrText>
          </w:r>
          <w:r>
            <w:fldChar w:fldCharType="separate"/>
          </w:r>
          <w:r>
            <w:rPr>
              <w:rStyle w:val="17"/>
              <w:rFonts w:ascii="Times New Roman" w:hAnsi="Times New Roman" w:eastAsia="方正黑体_GBK" w:cs="Times New Roman"/>
              <w:bCs/>
              <w:i w:val="0"/>
              <w:iCs w:val="0"/>
              <w:sz w:val="24"/>
              <w:szCs w:val="24"/>
            </w:rPr>
            <w:t>第五十七条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物资应急准备</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_Toc158038260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58</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"_Toc158038261" </w:instrText>
          </w:r>
          <w:r>
            <w:fldChar w:fldCharType="separate"/>
          </w:r>
          <w:r>
            <w:rPr>
              <w:rStyle w:val="17"/>
              <w:rFonts w:ascii="Times New Roman" w:hAnsi="Times New Roman" w:eastAsia="方正黑体_GBK" w:cs="Times New Roman"/>
              <w:bCs/>
              <w:i w:val="0"/>
              <w:iCs w:val="0"/>
              <w:sz w:val="24"/>
              <w:szCs w:val="24"/>
            </w:rPr>
            <w:t>第五十八条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消防系统救灾保障</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_Toc158038261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59</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13"/>
            <w:tabs>
              <w:tab w:val="left" w:pos="1600"/>
              <w:tab w:val="right" w:leader="dot" w:pos="8380"/>
            </w:tabs>
            <w:spacing w:line="576" w:lineRule="exact"/>
            <w:rPr>
              <w:rFonts w:ascii="Times New Roman" w:hAnsi="Times New Roman" w:eastAsia="方正黑体_GBK" w:cs="Times New Roman"/>
              <w:smallCaps w:val="0"/>
              <w:sz w:val="28"/>
              <w:szCs w:val="32"/>
            </w:rPr>
          </w:pPr>
          <w:r>
            <w:fldChar w:fldCharType="begin"/>
          </w:r>
          <w:r>
            <w:instrText xml:space="preserve"> HYPERLINK \l "_Toc158038262" </w:instrText>
          </w:r>
          <w:r>
            <w:fldChar w:fldCharType="separate"/>
          </w:r>
          <w:r>
            <w:rPr>
              <w:rStyle w:val="17"/>
              <w:rFonts w:ascii="Times New Roman" w:hAnsi="Times New Roman" w:eastAsia="方正黑体_GBK" w:cs="Times New Roman"/>
              <w:bCs/>
              <w:sz w:val="24"/>
              <w:szCs w:val="24"/>
            </w:rPr>
            <w:t>第十二章</w:t>
          </w:r>
          <w:r>
            <w:rPr>
              <w:rFonts w:ascii="Times New Roman" w:hAnsi="Times New Roman" w:eastAsia="方正黑体_GBK" w:cs="Times New Roman"/>
              <w:smallCaps w:val="0"/>
              <w:sz w:val="28"/>
              <w:szCs w:val="32"/>
            </w:rPr>
            <w:tab/>
          </w:r>
          <w:r>
            <w:rPr>
              <w:rStyle w:val="17"/>
              <w:rFonts w:ascii="Times New Roman" w:hAnsi="Times New Roman" w:eastAsia="方正黑体_GBK" w:cs="Times New Roman"/>
              <w:bCs/>
              <w:sz w:val="24"/>
              <w:szCs w:val="24"/>
            </w:rPr>
            <w:t>灾后安置与恢复重建</w:t>
          </w:r>
          <w:r>
            <w:rPr>
              <w:rFonts w:ascii="Times New Roman" w:hAnsi="Times New Roman" w:eastAsia="方正黑体_GBK" w:cs="Times New Roman"/>
              <w:sz w:val="24"/>
              <w:szCs w:val="24"/>
            </w:rPr>
            <w:tab/>
          </w:r>
          <w:r>
            <w:rPr>
              <w:rFonts w:ascii="Times New Roman" w:hAnsi="Times New Roman" w:eastAsia="方正黑体_GBK" w:cs="Times New Roman"/>
              <w:sz w:val="24"/>
              <w:szCs w:val="24"/>
            </w:rPr>
            <w:fldChar w:fldCharType="begin"/>
          </w:r>
          <w:r>
            <w:rPr>
              <w:rFonts w:ascii="Times New Roman" w:hAnsi="Times New Roman" w:eastAsia="方正黑体_GBK" w:cs="Times New Roman"/>
              <w:sz w:val="24"/>
              <w:szCs w:val="24"/>
            </w:rPr>
            <w:instrText xml:space="preserve"> PAGEREF _Toc158038262 \h </w:instrText>
          </w:r>
          <w:r>
            <w:rPr>
              <w:rFonts w:ascii="Times New Roman" w:hAnsi="Times New Roman" w:eastAsia="方正黑体_GBK" w:cs="Times New Roman"/>
              <w:sz w:val="24"/>
              <w:szCs w:val="24"/>
            </w:rPr>
            <w:fldChar w:fldCharType="separate"/>
          </w:r>
          <w:r>
            <w:rPr>
              <w:rFonts w:ascii="Times New Roman" w:hAnsi="Times New Roman" w:eastAsia="方正黑体_GBK" w:cs="Times New Roman"/>
              <w:sz w:val="24"/>
              <w:szCs w:val="24"/>
            </w:rPr>
            <w:t>60</w:t>
          </w:r>
          <w:r>
            <w:rPr>
              <w:rFonts w:ascii="Times New Roman" w:hAnsi="Times New Roman" w:eastAsia="方正黑体_GBK" w:cs="Times New Roman"/>
              <w:sz w:val="24"/>
              <w:szCs w:val="24"/>
            </w:rPr>
            <w:fldChar w:fldCharType="end"/>
          </w:r>
          <w:r>
            <w:rPr>
              <w:rFonts w:ascii="Times New Roman" w:hAnsi="Times New Roman" w:eastAsia="方正黑体_GBK" w:cs="Times New Roman"/>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"_Toc158038263" </w:instrText>
          </w:r>
          <w:r>
            <w:fldChar w:fldCharType="separate"/>
          </w:r>
          <w:r>
            <w:rPr>
              <w:rStyle w:val="17"/>
              <w:rFonts w:ascii="Times New Roman" w:hAnsi="Times New Roman" w:eastAsia="方正黑体_GBK" w:cs="Times New Roman"/>
              <w:bCs/>
              <w:i w:val="0"/>
              <w:iCs w:val="0"/>
              <w:sz w:val="24"/>
              <w:szCs w:val="24"/>
            </w:rPr>
            <w:t>第五十九条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灾后过渡安置点布局</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_Toc158038263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60</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"_Toc158038264" </w:instrText>
          </w:r>
          <w:r>
            <w:fldChar w:fldCharType="separate"/>
          </w:r>
          <w:r>
            <w:rPr>
              <w:rStyle w:val="17"/>
              <w:rFonts w:ascii="Times New Roman" w:hAnsi="Times New Roman" w:eastAsia="方正黑体_GBK" w:cs="Times New Roman"/>
              <w:bCs/>
              <w:i w:val="0"/>
              <w:iCs w:val="0"/>
              <w:sz w:val="24"/>
              <w:szCs w:val="24"/>
            </w:rPr>
            <w:t>第六十条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灾后过渡安置点布局要求</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_Toc158038264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60</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"_Toc158038265" </w:instrText>
          </w:r>
          <w:r>
            <w:fldChar w:fldCharType="separate"/>
          </w:r>
          <w:r>
            <w:rPr>
              <w:rStyle w:val="17"/>
              <w:rFonts w:ascii="Times New Roman" w:hAnsi="Times New Roman" w:eastAsia="方正黑体_GBK" w:cs="Times New Roman"/>
              <w:bCs/>
              <w:i w:val="0"/>
              <w:iCs w:val="0"/>
              <w:sz w:val="24"/>
              <w:szCs w:val="24"/>
            </w:rPr>
            <w:t>第六十一条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灾后恢复重建</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_Toc158038265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61</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"_Toc158038266" </w:instrText>
          </w:r>
          <w:r>
            <w:fldChar w:fldCharType="separate"/>
          </w:r>
          <w:r>
            <w:rPr>
              <w:rStyle w:val="17"/>
              <w:rFonts w:ascii="Times New Roman" w:hAnsi="Times New Roman" w:eastAsia="方正黑体_GBK" w:cs="Times New Roman"/>
              <w:bCs/>
              <w:i w:val="0"/>
              <w:iCs w:val="0"/>
              <w:sz w:val="24"/>
              <w:szCs w:val="24"/>
            </w:rPr>
            <w:t>第六十二条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重建设防标准</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_Toc158038266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63</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"_Toc158038267" </w:instrText>
          </w:r>
          <w:r>
            <w:fldChar w:fldCharType="separate"/>
          </w:r>
          <w:r>
            <w:rPr>
              <w:rStyle w:val="17"/>
              <w:rFonts w:ascii="Times New Roman" w:hAnsi="Times New Roman" w:eastAsia="方正黑体_GBK" w:cs="Times New Roman"/>
              <w:bCs/>
              <w:i w:val="0"/>
              <w:iCs w:val="0"/>
              <w:sz w:val="24"/>
              <w:szCs w:val="24"/>
            </w:rPr>
            <w:t>第六十三条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灾后重建规划内容</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_Toc158038267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63</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"_Toc158038268" </w:instrText>
          </w:r>
          <w:r>
            <w:fldChar w:fldCharType="separate"/>
          </w:r>
          <w:r>
            <w:rPr>
              <w:rStyle w:val="17"/>
              <w:rFonts w:ascii="Times New Roman" w:hAnsi="Times New Roman" w:eastAsia="方正黑体_GBK" w:cs="Times New Roman"/>
              <w:bCs/>
              <w:i w:val="0"/>
              <w:iCs w:val="0"/>
              <w:sz w:val="24"/>
              <w:szCs w:val="24"/>
            </w:rPr>
            <w:t>第六十四条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灾后重建组织体系</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_Toc158038268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63</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13"/>
            <w:tabs>
              <w:tab w:val="left" w:pos="1600"/>
              <w:tab w:val="right" w:leader="dot" w:pos="8380"/>
            </w:tabs>
            <w:spacing w:line="576" w:lineRule="exact"/>
            <w:rPr>
              <w:rFonts w:ascii="Times New Roman" w:hAnsi="Times New Roman" w:eastAsia="方正黑体_GBK" w:cs="Times New Roman"/>
              <w:smallCaps w:val="0"/>
              <w:sz w:val="28"/>
              <w:szCs w:val="32"/>
            </w:rPr>
          </w:pPr>
          <w:r>
            <w:fldChar w:fldCharType="begin"/>
          </w:r>
          <w:r>
            <w:instrText xml:space="preserve"> HYPERLINK \l "_Toc158038269" </w:instrText>
          </w:r>
          <w:r>
            <w:fldChar w:fldCharType="separate"/>
          </w:r>
          <w:r>
            <w:rPr>
              <w:rStyle w:val="17"/>
              <w:rFonts w:ascii="Times New Roman" w:hAnsi="Times New Roman" w:eastAsia="方正黑体_GBK" w:cs="Times New Roman"/>
              <w:bCs/>
              <w:sz w:val="24"/>
              <w:szCs w:val="24"/>
            </w:rPr>
            <w:t>第十三章</w:t>
          </w:r>
          <w:r>
            <w:rPr>
              <w:rFonts w:ascii="Times New Roman" w:hAnsi="Times New Roman" w:eastAsia="方正黑体_GBK" w:cs="Times New Roman"/>
              <w:smallCaps w:val="0"/>
              <w:sz w:val="28"/>
              <w:szCs w:val="32"/>
            </w:rPr>
            <w:tab/>
          </w:r>
          <w:r>
            <w:rPr>
              <w:rStyle w:val="17"/>
              <w:rFonts w:ascii="Times New Roman" w:hAnsi="Times New Roman" w:eastAsia="方正黑体_GBK" w:cs="Times New Roman"/>
              <w:bCs/>
              <w:sz w:val="24"/>
              <w:szCs w:val="24"/>
            </w:rPr>
            <w:t>近期抗震设防建设</w:t>
          </w:r>
          <w:r>
            <w:rPr>
              <w:rFonts w:ascii="Times New Roman" w:hAnsi="Times New Roman" w:eastAsia="方正黑体_GBK" w:cs="Times New Roman"/>
              <w:sz w:val="24"/>
              <w:szCs w:val="24"/>
            </w:rPr>
            <w:tab/>
          </w:r>
          <w:r>
            <w:rPr>
              <w:rFonts w:ascii="Times New Roman" w:hAnsi="Times New Roman" w:eastAsia="方正黑体_GBK" w:cs="Times New Roman"/>
              <w:sz w:val="24"/>
              <w:szCs w:val="24"/>
            </w:rPr>
            <w:fldChar w:fldCharType="begin"/>
          </w:r>
          <w:r>
            <w:rPr>
              <w:rFonts w:ascii="Times New Roman" w:hAnsi="Times New Roman" w:eastAsia="方正黑体_GBK" w:cs="Times New Roman"/>
              <w:sz w:val="24"/>
              <w:szCs w:val="24"/>
            </w:rPr>
            <w:instrText xml:space="preserve"> PAGEREF _Toc158038269 \h </w:instrText>
          </w:r>
          <w:r>
            <w:rPr>
              <w:rFonts w:ascii="Times New Roman" w:hAnsi="Times New Roman" w:eastAsia="方正黑体_GBK" w:cs="Times New Roman"/>
              <w:sz w:val="24"/>
              <w:szCs w:val="24"/>
            </w:rPr>
            <w:fldChar w:fldCharType="separate"/>
          </w:r>
          <w:r>
            <w:rPr>
              <w:rFonts w:ascii="Times New Roman" w:hAnsi="Times New Roman" w:eastAsia="方正黑体_GBK" w:cs="Times New Roman"/>
              <w:sz w:val="24"/>
              <w:szCs w:val="24"/>
            </w:rPr>
            <w:t>64</w:t>
          </w:r>
          <w:r>
            <w:rPr>
              <w:rFonts w:ascii="Times New Roman" w:hAnsi="Times New Roman" w:eastAsia="方正黑体_GBK" w:cs="Times New Roman"/>
              <w:sz w:val="24"/>
              <w:szCs w:val="24"/>
            </w:rPr>
            <w:fldChar w:fldCharType="end"/>
          </w:r>
          <w:r>
            <w:rPr>
              <w:rFonts w:ascii="Times New Roman" w:hAnsi="Times New Roman" w:eastAsia="方正黑体_GBK" w:cs="Times New Roman"/>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"_Toc158038270" </w:instrText>
          </w:r>
          <w:r>
            <w:fldChar w:fldCharType="separate"/>
          </w:r>
          <w:r>
            <w:rPr>
              <w:rStyle w:val="17"/>
              <w:rFonts w:ascii="Times New Roman" w:hAnsi="Times New Roman" w:eastAsia="方正黑体_GBK" w:cs="Times New Roman"/>
              <w:bCs/>
              <w:i w:val="0"/>
              <w:iCs w:val="0"/>
              <w:sz w:val="24"/>
              <w:szCs w:val="24"/>
            </w:rPr>
            <w:t>第六十五条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城区建筑</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_Toc158038270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64</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"_Toc158038271" </w:instrText>
          </w:r>
          <w:r>
            <w:fldChar w:fldCharType="separate"/>
          </w:r>
          <w:r>
            <w:rPr>
              <w:rStyle w:val="17"/>
              <w:rFonts w:ascii="Times New Roman" w:hAnsi="Times New Roman" w:eastAsia="方正黑体_GBK" w:cs="Times New Roman"/>
              <w:bCs/>
              <w:i w:val="0"/>
              <w:iCs w:val="0"/>
              <w:sz w:val="24"/>
              <w:szCs w:val="24"/>
            </w:rPr>
            <w:t>第六十六条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生命线工程</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_Toc158038271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64</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"_Toc158038272" </w:instrText>
          </w:r>
          <w:r>
            <w:fldChar w:fldCharType="separate"/>
          </w:r>
          <w:r>
            <w:rPr>
              <w:rStyle w:val="17"/>
              <w:rFonts w:ascii="Times New Roman" w:hAnsi="Times New Roman" w:eastAsia="方正黑体_GBK" w:cs="Times New Roman"/>
              <w:bCs/>
              <w:i w:val="0"/>
              <w:iCs w:val="0"/>
              <w:sz w:val="24"/>
              <w:szCs w:val="24"/>
            </w:rPr>
            <w:t>第六十七条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地震次生灾害防御</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_Toc158038272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67</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"_Toc158038273" </w:instrText>
          </w:r>
          <w:r>
            <w:fldChar w:fldCharType="separate"/>
          </w:r>
          <w:r>
            <w:rPr>
              <w:rStyle w:val="17"/>
              <w:rFonts w:ascii="Times New Roman" w:hAnsi="Times New Roman" w:eastAsia="方正黑体_GBK" w:cs="Times New Roman"/>
              <w:bCs/>
              <w:i w:val="0"/>
              <w:iCs w:val="0"/>
              <w:sz w:val="24"/>
              <w:szCs w:val="24"/>
            </w:rPr>
            <w:t>第六十八条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应急避难场所</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_Toc158038273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69</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13"/>
            <w:tabs>
              <w:tab w:val="left" w:pos="1600"/>
              <w:tab w:val="right" w:leader="dot" w:pos="8380"/>
            </w:tabs>
            <w:spacing w:line="576" w:lineRule="exact"/>
            <w:rPr>
              <w:rFonts w:ascii="Times New Roman" w:hAnsi="Times New Roman" w:eastAsia="方正黑体_GBK" w:cs="Times New Roman"/>
              <w:smallCaps w:val="0"/>
              <w:sz w:val="28"/>
              <w:szCs w:val="32"/>
            </w:rPr>
          </w:pPr>
          <w:r>
            <w:fldChar w:fldCharType="begin"/>
          </w:r>
          <w:r>
            <w:instrText xml:space="preserve"> HYPERLINK \l "_Toc158038274" </w:instrText>
          </w:r>
          <w:r>
            <w:fldChar w:fldCharType="separate"/>
          </w:r>
          <w:r>
            <w:rPr>
              <w:rStyle w:val="17"/>
              <w:rFonts w:ascii="Times New Roman" w:hAnsi="Times New Roman" w:eastAsia="方正黑体_GBK" w:cs="Times New Roman"/>
              <w:bCs/>
              <w:sz w:val="24"/>
              <w:szCs w:val="24"/>
            </w:rPr>
            <w:t>第十四章</w:t>
          </w:r>
          <w:r>
            <w:rPr>
              <w:rFonts w:ascii="Times New Roman" w:hAnsi="Times New Roman" w:eastAsia="方正黑体_GBK" w:cs="Times New Roman"/>
              <w:smallCaps w:val="0"/>
              <w:sz w:val="28"/>
              <w:szCs w:val="32"/>
            </w:rPr>
            <w:tab/>
          </w:r>
          <w:r>
            <w:rPr>
              <w:rStyle w:val="17"/>
              <w:rFonts w:ascii="Times New Roman" w:hAnsi="Times New Roman" w:eastAsia="方正黑体_GBK" w:cs="Times New Roman"/>
              <w:bCs/>
              <w:sz w:val="24"/>
              <w:szCs w:val="24"/>
            </w:rPr>
            <w:t>规划管理与保障措施</w:t>
          </w:r>
          <w:r>
            <w:rPr>
              <w:rFonts w:ascii="Times New Roman" w:hAnsi="Times New Roman" w:eastAsia="方正黑体_GBK" w:cs="Times New Roman"/>
              <w:sz w:val="24"/>
              <w:szCs w:val="24"/>
            </w:rPr>
            <w:tab/>
          </w:r>
          <w:r>
            <w:rPr>
              <w:rFonts w:ascii="Times New Roman" w:hAnsi="Times New Roman" w:eastAsia="方正黑体_GBK" w:cs="Times New Roman"/>
              <w:sz w:val="24"/>
              <w:szCs w:val="24"/>
            </w:rPr>
            <w:fldChar w:fldCharType="begin"/>
          </w:r>
          <w:r>
            <w:rPr>
              <w:rFonts w:ascii="Times New Roman" w:hAnsi="Times New Roman" w:eastAsia="方正黑体_GBK" w:cs="Times New Roman"/>
              <w:sz w:val="24"/>
              <w:szCs w:val="24"/>
            </w:rPr>
            <w:instrText xml:space="preserve"> PAGEREF _Toc158038274 \h </w:instrText>
          </w:r>
          <w:r>
            <w:rPr>
              <w:rFonts w:ascii="Times New Roman" w:hAnsi="Times New Roman" w:eastAsia="方正黑体_GBK" w:cs="Times New Roman"/>
              <w:sz w:val="24"/>
              <w:szCs w:val="24"/>
            </w:rPr>
            <w:fldChar w:fldCharType="separate"/>
          </w:r>
          <w:r>
            <w:rPr>
              <w:rFonts w:ascii="Times New Roman" w:hAnsi="Times New Roman" w:eastAsia="方正黑体_GBK" w:cs="Times New Roman"/>
              <w:sz w:val="24"/>
              <w:szCs w:val="24"/>
            </w:rPr>
            <w:t>69</w:t>
          </w:r>
          <w:r>
            <w:rPr>
              <w:rFonts w:ascii="Times New Roman" w:hAnsi="Times New Roman" w:eastAsia="方正黑体_GBK" w:cs="Times New Roman"/>
              <w:sz w:val="24"/>
              <w:szCs w:val="24"/>
            </w:rPr>
            <w:fldChar w:fldCharType="end"/>
          </w:r>
          <w:r>
            <w:rPr>
              <w:rFonts w:ascii="Times New Roman" w:hAnsi="Times New Roman" w:eastAsia="方正黑体_GBK" w:cs="Times New Roman"/>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"_Toc158038275" </w:instrText>
          </w:r>
          <w:r>
            <w:fldChar w:fldCharType="separate"/>
          </w:r>
          <w:r>
            <w:rPr>
              <w:rStyle w:val="17"/>
              <w:rFonts w:ascii="Times New Roman" w:hAnsi="Times New Roman" w:eastAsia="方正黑体_GBK" w:cs="Times New Roman"/>
              <w:bCs/>
              <w:i w:val="0"/>
              <w:iCs w:val="0"/>
              <w:sz w:val="24"/>
              <w:szCs w:val="24"/>
            </w:rPr>
            <w:t>第六十九条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规划实施的协调和管理</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_Toc158038275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69</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"_Toc158038276" </w:instrText>
          </w:r>
          <w:r>
            <w:fldChar w:fldCharType="separate"/>
          </w:r>
          <w:r>
            <w:rPr>
              <w:rStyle w:val="17"/>
              <w:rFonts w:ascii="Times New Roman" w:hAnsi="Times New Roman" w:eastAsia="方正黑体_GBK" w:cs="Times New Roman"/>
              <w:bCs/>
              <w:i w:val="0"/>
              <w:iCs w:val="0"/>
              <w:sz w:val="24"/>
              <w:szCs w:val="24"/>
            </w:rPr>
            <w:t>第七十条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年度计划制定和实施保障</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_Toc158038276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69</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"_Toc158038277" </w:instrText>
          </w:r>
          <w:r>
            <w:fldChar w:fldCharType="separate"/>
          </w:r>
          <w:r>
            <w:rPr>
              <w:rStyle w:val="17"/>
              <w:rFonts w:ascii="Times New Roman" w:hAnsi="Times New Roman" w:eastAsia="方正黑体_GBK" w:cs="Times New Roman"/>
              <w:bCs/>
              <w:i w:val="0"/>
              <w:iCs w:val="0"/>
              <w:sz w:val="24"/>
              <w:szCs w:val="24"/>
            </w:rPr>
            <w:t>第七十一条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加强领导，健全机构，强化监督管理</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_Toc158038277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70</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"_Toc158038278" </w:instrText>
          </w:r>
          <w:r>
            <w:fldChar w:fldCharType="separate"/>
          </w:r>
          <w:r>
            <w:rPr>
              <w:rStyle w:val="17"/>
              <w:rFonts w:ascii="Times New Roman" w:hAnsi="Times New Roman" w:eastAsia="方正黑体_GBK" w:cs="Times New Roman"/>
              <w:bCs/>
              <w:i w:val="0"/>
              <w:iCs w:val="0"/>
              <w:sz w:val="24"/>
              <w:szCs w:val="24"/>
            </w:rPr>
            <w:t>第七十二条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建立健全防灾的法规和制度建设</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_Toc158038278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70</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"_Toc158038279" </w:instrText>
          </w:r>
          <w:r>
            <w:fldChar w:fldCharType="separate"/>
          </w:r>
          <w:r>
            <w:rPr>
              <w:rStyle w:val="17"/>
              <w:rFonts w:ascii="Times New Roman" w:hAnsi="Times New Roman" w:eastAsia="方正黑体_GBK" w:cs="Times New Roman"/>
              <w:bCs/>
              <w:i w:val="0"/>
              <w:iCs w:val="0"/>
              <w:sz w:val="24"/>
              <w:szCs w:val="24"/>
            </w:rPr>
            <w:t>第七十三条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加强宣传培训，增强全民抗震减灾意识和能力</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_Toc158038279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71</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"_Toc158038280" </w:instrText>
          </w:r>
          <w:r>
            <w:fldChar w:fldCharType="separate"/>
          </w:r>
          <w:r>
            <w:rPr>
              <w:rStyle w:val="17"/>
              <w:rFonts w:ascii="Times New Roman" w:hAnsi="Times New Roman" w:eastAsia="方正黑体_GBK" w:cs="Times New Roman"/>
              <w:bCs/>
              <w:i w:val="0"/>
              <w:iCs w:val="0"/>
              <w:sz w:val="24"/>
              <w:szCs w:val="24"/>
            </w:rPr>
            <w:t>第七十四条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依靠科技进步，提高城市抗震能力和水平</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_Toc158038280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73</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"_Toc158038281" </w:instrText>
          </w:r>
          <w:r>
            <w:fldChar w:fldCharType="separate"/>
          </w:r>
          <w:r>
            <w:rPr>
              <w:rStyle w:val="17"/>
              <w:rFonts w:ascii="Times New Roman" w:hAnsi="Times New Roman" w:eastAsia="方正黑体_GBK" w:cs="Times New Roman"/>
              <w:bCs/>
              <w:i w:val="0"/>
              <w:iCs w:val="0"/>
              <w:sz w:val="24"/>
              <w:szCs w:val="24"/>
            </w:rPr>
            <w:t>第七十五条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建立稳定的投入保障机制，确保规划实施</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_Toc158038281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73</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"_Toc158038282" </w:instrText>
          </w:r>
          <w:r>
            <w:fldChar w:fldCharType="separate"/>
          </w:r>
          <w:r>
            <w:rPr>
              <w:rStyle w:val="17"/>
              <w:rFonts w:ascii="Times New Roman" w:hAnsi="Times New Roman" w:eastAsia="方正黑体_GBK" w:cs="Times New Roman"/>
              <w:bCs/>
              <w:i w:val="0"/>
              <w:iCs w:val="0"/>
              <w:sz w:val="24"/>
              <w:szCs w:val="24"/>
            </w:rPr>
            <w:t>第七十六条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规划实施宣传</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_Toc158038282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74</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13"/>
            <w:tabs>
              <w:tab w:val="left" w:pos="1600"/>
              <w:tab w:val="right" w:leader="dot" w:pos="8380"/>
            </w:tabs>
            <w:spacing w:line="576" w:lineRule="exact"/>
            <w:rPr>
              <w:rFonts w:ascii="Times New Roman" w:hAnsi="Times New Roman" w:eastAsia="方正黑体_GBK" w:cs="Times New Roman"/>
              <w:smallCaps w:val="0"/>
              <w:sz w:val="28"/>
              <w:szCs w:val="32"/>
            </w:rPr>
          </w:pPr>
          <w:r>
            <w:fldChar w:fldCharType="begin"/>
          </w:r>
          <w:r>
            <w:instrText xml:space="preserve"> HYPERLINK \l "_Toc158038283" </w:instrText>
          </w:r>
          <w:r>
            <w:fldChar w:fldCharType="separate"/>
          </w:r>
          <w:r>
            <w:rPr>
              <w:rStyle w:val="17"/>
              <w:rFonts w:ascii="Times New Roman" w:hAnsi="Times New Roman" w:eastAsia="方正黑体_GBK" w:cs="Times New Roman"/>
              <w:bCs/>
              <w:sz w:val="24"/>
              <w:szCs w:val="24"/>
            </w:rPr>
            <w:t>第十五章</w:t>
          </w:r>
          <w:r>
            <w:rPr>
              <w:rFonts w:ascii="Times New Roman" w:hAnsi="Times New Roman" w:eastAsia="方正黑体_GBK" w:cs="Times New Roman"/>
              <w:smallCaps w:val="0"/>
              <w:sz w:val="28"/>
              <w:szCs w:val="32"/>
            </w:rPr>
            <w:tab/>
          </w:r>
          <w:r>
            <w:rPr>
              <w:rStyle w:val="17"/>
              <w:rFonts w:ascii="Times New Roman" w:hAnsi="Times New Roman" w:eastAsia="方正黑体_GBK" w:cs="Times New Roman"/>
              <w:bCs/>
              <w:sz w:val="24"/>
              <w:szCs w:val="24"/>
            </w:rPr>
            <w:t>附则</w:t>
          </w:r>
          <w:r>
            <w:rPr>
              <w:rFonts w:ascii="Times New Roman" w:hAnsi="Times New Roman" w:eastAsia="方正黑体_GBK" w:cs="Times New Roman"/>
              <w:sz w:val="24"/>
              <w:szCs w:val="24"/>
            </w:rPr>
            <w:tab/>
          </w:r>
          <w:r>
            <w:rPr>
              <w:rFonts w:ascii="Times New Roman" w:hAnsi="Times New Roman" w:eastAsia="方正黑体_GBK" w:cs="Times New Roman"/>
              <w:sz w:val="24"/>
              <w:szCs w:val="24"/>
            </w:rPr>
            <w:fldChar w:fldCharType="begin"/>
          </w:r>
          <w:r>
            <w:rPr>
              <w:rFonts w:ascii="Times New Roman" w:hAnsi="Times New Roman" w:eastAsia="方正黑体_GBK" w:cs="Times New Roman"/>
              <w:sz w:val="24"/>
              <w:szCs w:val="24"/>
            </w:rPr>
            <w:instrText xml:space="preserve"> PAGEREF _Toc158038283 \h </w:instrText>
          </w:r>
          <w:r>
            <w:rPr>
              <w:rFonts w:ascii="Times New Roman" w:hAnsi="Times New Roman" w:eastAsia="方正黑体_GBK" w:cs="Times New Roman"/>
              <w:sz w:val="24"/>
              <w:szCs w:val="24"/>
            </w:rPr>
            <w:fldChar w:fldCharType="separate"/>
          </w:r>
          <w:r>
            <w:rPr>
              <w:rFonts w:ascii="Times New Roman" w:hAnsi="Times New Roman" w:eastAsia="方正黑体_GBK" w:cs="Times New Roman"/>
              <w:sz w:val="24"/>
              <w:szCs w:val="24"/>
            </w:rPr>
            <w:t>74</w:t>
          </w:r>
          <w:r>
            <w:rPr>
              <w:rFonts w:ascii="Times New Roman" w:hAnsi="Times New Roman" w:eastAsia="方正黑体_GBK" w:cs="Times New Roman"/>
              <w:sz w:val="24"/>
              <w:szCs w:val="24"/>
            </w:rPr>
            <w:fldChar w:fldCharType="end"/>
          </w:r>
          <w:r>
            <w:rPr>
              <w:rFonts w:ascii="Times New Roman" w:hAnsi="Times New Roman" w:eastAsia="方正黑体_GBK" w:cs="Times New Roman"/>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"_Toc158038284" </w:instrText>
          </w:r>
          <w:r>
            <w:fldChar w:fldCharType="separate"/>
          </w:r>
          <w:r>
            <w:rPr>
              <w:rStyle w:val="17"/>
              <w:rFonts w:ascii="Times New Roman" w:hAnsi="Times New Roman" w:eastAsia="方正黑体_GBK" w:cs="Times New Roman"/>
              <w:bCs/>
              <w:i w:val="0"/>
              <w:iCs w:val="0"/>
              <w:sz w:val="24"/>
              <w:szCs w:val="24"/>
            </w:rPr>
            <w:t>第七十七条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修编条件</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_Toc158038284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74</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"_Toc158038285" </w:instrText>
          </w:r>
          <w:r>
            <w:fldChar w:fldCharType="separate"/>
          </w:r>
          <w:r>
            <w:rPr>
              <w:rStyle w:val="17"/>
              <w:rFonts w:ascii="Times New Roman" w:hAnsi="Times New Roman" w:eastAsia="方正黑体_GBK" w:cs="Times New Roman"/>
              <w:bCs/>
              <w:i w:val="0"/>
              <w:iCs w:val="0"/>
              <w:sz w:val="24"/>
              <w:szCs w:val="24"/>
            </w:rPr>
            <w:t>第七十八条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修编报批</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_Toc158038285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75</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pStyle w:val="9"/>
            <w:tabs>
              <w:tab w:val="left" w:pos="1920"/>
              <w:tab w:val="right" w:leader="dot" w:pos="8380"/>
            </w:tabs>
            <w:spacing w:line="576" w:lineRule="exact"/>
            <w:rPr>
              <w:rFonts w:ascii="Times New Roman" w:hAnsi="Times New Roman" w:eastAsia="方正黑体_GBK" w:cs="Times New Roman"/>
              <w:i w:val="0"/>
              <w:iCs w:val="0"/>
              <w:sz w:val="28"/>
              <w:szCs w:val="32"/>
            </w:rPr>
          </w:pPr>
          <w:r>
            <w:fldChar w:fldCharType="begin"/>
          </w:r>
          <w:r>
            <w:instrText xml:space="preserve"> HYPERLINK \l "_Toc158038286" </w:instrText>
          </w:r>
          <w:r>
            <w:fldChar w:fldCharType="separate"/>
          </w:r>
          <w:r>
            <w:rPr>
              <w:rStyle w:val="17"/>
              <w:rFonts w:ascii="Times New Roman" w:hAnsi="Times New Roman" w:eastAsia="方正黑体_GBK" w:cs="Times New Roman"/>
              <w:bCs/>
              <w:i w:val="0"/>
              <w:iCs w:val="0"/>
              <w:sz w:val="24"/>
              <w:szCs w:val="24"/>
            </w:rPr>
            <w:t>第七十九条</w:t>
          </w:r>
          <w:r>
            <w:rPr>
              <w:rFonts w:ascii="Times New Roman" w:hAnsi="Times New Roman" w:eastAsia="方正黑体_GBK" w:cs="Times New Roman"/>
              <w:i w:val="0"/>
              <w:iCs w:val="0"/>
              <w:sz w:val="28"/>
              <w:szCs w:val="32"/>
            </w:rPr>
            <w:tab/>
          </w:r>
          <w:r>
            <w:rPr>
              <w:rStyle w:val="17"/>
              <w:rFonts w:ascii="Times New Roman" w:hAnsi="Times New Roman" w:eastAsia="方正黑体_GBK" w:cs="Times New Roman"/>
              <w:i w:val="0"/>
              <w:iCs w:val="0"/>
              <w:sz w:val="24"/>
              <w:szCs w:val="24"/>
            </w:rPr>
            <w:t>解释</w:t>
          </w:r>
          <w:r>
            <w:rPr>
              <w:rFonts w:ascii="Times New Roman" w:hAnsi="Times New Roman" w:eastAsia="方正黑体_GBK" w:cs="Times New Roman"/>
              <w:i w:val="0"/>
              <w:iCs w:val="0"/>
              <w:sz w:val="24"/>
              <w:szCs w:val="24"/>
            </w:rPr>
            <w:tab/>
          </w:r>
          <w:r>
            <w:rPr>
              <w:rFonts w:ascii="Times New Roman" w:hAnsi="Times New Roman" w:eastAsia="方正黑体_GBK" w:cs="Times New Roman"/>
              <w:i w:val="0"/>
              <w:iCs w:val="0"/>
              <w:sz w:val="24"/>
              <w:szCs w:val="24"/>
            </w:rPr>
            <w:fldChar w:fldCharType="begin"/>
          </w:r>
          <w:r>
            <w:rPr>
              <w:rFonts w:ascii="Times New Roman" w:hAnsi="Times New Roman" w:eastAsia="方正黑体_GBK" w:cs="Times New Roman"/>
              <w:i w:val="0"/>
              <w:iCs w:val="0"/>
              <w:sz w:val="24"/>
              <w:szCs w:val="24"/>
            </w:rPr>
            <w:instrText xml:space="preserve"> PAGEREF _Toc158038286 \h </w:instrText>
          </w:r>
          <w:r>
            <w:rPr>
              <w:rFonts w:ascii="Times New Roman" w:hAnsi="Times New Roman" w:eastAsia="方正黑体_GBK" w:cs="Times New Roman"/>
              <w:i w:val="0"/>
              <w:iCs w:val="0"/>
              <w:sz w:val="24"/>
              <w:szCs w:val="24"/>
            </w:rPr>
            <w:fldChar w:fldCharType="separate"/>
          </w:r>
          <w:r>
            <w:rPr>
              <w:rFonts w:ascii="Times New Roman" w:hAnsi="Times New Roman" w:eastAsia="方正黑体_GBK" w:cs="Times New Roman"/>
              <w:i w:val="0"/>
              <w:iCs w:val="0"/>
              <w:sz w:val="24"/>
              <w:szCs w:val="24"/>
            </w:rPr>
            <w:t>75</w:t>
          </w:r>
          <w:r>
            <w:rPr>
              <w:rFonts w:ascii="Times New Roman" w:hAnsi="Times New Roman" w:eastAsia="方正黑体_GBK" w:cs="Times New Roman"/>
              <w:i w:val="0"/>
              <w:iCs w:val="0"/>
              <w:sz w:val="24"/>
              <w:szCs w:val="24"/>
            </w:rPr>
            <w:fldChar w:fldCharType="end"/>
          </w:r>
          <w:r>
            <w:rPr>
              <w:rFonts w:ascii="Times New Roman" w:hAnsi="Times New Roman" w:eastAsia="方正黑体_GBK" w:cs="Times New Roman"/>
              <w:i w:val="0"/>
              <w:iCs w:val="0"/>
              <w:sz w:val="24"/>
              <w:szCs w:val="24"/>
            </w:rPr>
            <w:fldChar w:fldCharType="end"/>
          </w:r>
        </w:p>
        <w:p>
          <w:pPr>
            <w:spacing w:line="576" w:lineRule="exact"/>
            <w:rPr>
              <w:sz w:val="24"/>
              <w:szCs w:val="24"/>
            </w:rPr>
          </w:pPr>
          <w:r>
            <w:rPr>
              <w:rFonts w:eastAsia="方正黑体_GBK"/>
              <w:b/>
              <w:bCs/>
              <w:sz w:val="44"/>
              <w:szCs w:val="24"/>
              <w:lang w:val="zh-CN"/>
            </w:rPr>
            <w:fldChar w:fldCharType="end"/>
          </w:r>
        </w:p>
      </w:sdtContent>
    </w:sdt>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Pr>
        <w:widowControl/>
        <w:jc w:val="left"/>
        <w:rPr>
          <w:rFonts w:eastAsia="方正黑体_GBK"/>
          <w:smallCaps/>
          <w:szCs w:val="32"/>
        </w:rPr>
      </w:pPr>
      <w:r>
        <w:rPr>
          <w:rFonts w:eastAsia="方正黑体_GBK"/>
          <w:szCs w:val="32"/>
        </w:rPr>
        <w:br w:type="page"/>
      </w:r>
    </w:p>
    <w:p>
      <w:pPr>
        <w:pStyle w:val="12"/>
        <w:tabs>
          <w:tab w:val="right" w:leader="dot" w:pos="8380"/>
        </w:tabs>
        <w:spacing w:line="576" w:lineRule="exact"/>
        <w:ind w:left="797" w:leftChars="49"/>
        <w:rPr>
          <w:rFonts w:ascii="Times New Roman" w:hAnsi="Times New Roman" w:eastAsia="方正黑体_GBK"/>
          <w:sz w:val="32"/>
          <w:szCs w:val="32"/>
        </w:rPr>
      </w:pPr>
      <w:r>
        <w:rPr>
          <w:rFonts w:ascii="Times New Roman" w:hAnsi="Times New Roman" w:eastAsia="方正黑体_GBK"/>
          <w:sz w:val="32"/>
          <w:szCs w:val="32"/>
        </w:rPr>
        <w:t>附表</w:t>
      </w:r>
    </w:p>
    <w:p>
      <w:pPr>
        <w:pStyle w:val="12"/>
        <w:tabs>
          <w:tab w:val="right" w:leader="dot" w:pos="8380"/>
        </w:tabs>
        <w:spacing w:line="576" w:lineRule="exact"/>
        <w:ind w:left="320" w:leftChars="100" w:firstLine="0"/>
        <w:rPr>
          <w:rFonts w:ascii="Times New Roman" w:hAnsi="Times New Roman" w:eastAsia="方正黑体_GBK"/>
          <w:smallCaps w:val="0"/>
          <w:sz w:val="24"/>
          <w:szCs w:val="24"/>
        </w:rPr>
      </w:pPr>
      <w:r>
        <w:rPr>
          <w:rFonts w:ascii="Times New Roman" w:hAnsi="Times New Roman"/>
        </w:rPr>
        <w:fldChar w:fldCharType="begin"/>
      </w:r>
      <w:r>
        <w:rPr>
          <w:rFonts w:ascii="Times New Roman" w:hAnsi="Times New Roman"/>
        </w:rPr>
        <w:instrText xml:space="preserve"> TOC \h \z \c "表" </w:instrText>
      </w:r>
      <w:r>
        <w:rPr>
          <w:rFonts w:ascii="Times New Roman" w:hAnsi="Times New Roman"/>
        </w:rPr>
        <w:fldChar w:fldCharType="separate"/>
      </w:r>
      <w:r>
        <w:fldChar w:fldCharType="begin"/>
      </w:r>
      <w:r>
        <w:instrText xml:space="preserve"> HYPERLINK \l "_Toc158043558" </w:instrText>
      </w:r>
      <w:r>
        <w:fldChar w:fldCharType="separate"/>
      </w:r>
      <w:r>
        <w:rPr>
          <w:rStyle w:val="17"/>
          <w:rFonts w:ascii="Times New Roman" w:hAnsi="Times New Roman" w:eastAsia="方正黑体_GBK"/>
          <w:sz w:val="24"/>
          <w:szCs w:val="24"/>
          <w:lang w:bidi="ar"/>
        </w:rPr>
        <w:t>附表1綦江中心城区重要建筑抗震改造加固策略一览表</w:t>
      </w:r>
      <w:r>
        <w:rPr>
          <w:rFonts w:ascii="Times New Roman" w:hAnsi="Times New Roman" w:eastAsia="方正黑体_GBK"/>
          <w:sz w:val="24"/>
          <w:szCs w:val="24"/>
        </w:rPr>
        <w:tab/>
      </w:r>
      <w:r>
        <w:rPr>
          <w:rFonts w:ascii="Times New Roman" w:hAnsi="Times New Roman" w:eastAsia="方正黑体_GBK"/>
          <w:sz w:val="24"/>
          <w:szCs w:val="24"/>
        </w:rPr>
        <w:fldChar w:fldCharType="begin"/>
      </w:r>
      <w:r>
        <w:rPr>
          <w:rFonts w:ascii="Times New Roman" w:hAnsi="Times New Roman" w:eastAsia="方正黑体_GBK"/>
          <w:sz w:val="24"/>
          <w:szCs w:val="24"/>
        </w:rPr>
        <w:instrText xml:space="preserve"> PAGEREF _Toc158043558 \h </w:instrText>
      </w:r>
      <w:r>
        <w:rPr>
          <w:rFonts w:ascii="Times New Roman" w:hAnsi="Times New Roman" w:eastAsia="方正黑体_GBK"/>
          <w:sz w:val="24"/>
          <w:szCs w:val="24"/>
        </w:rPr>
        <w:fldChar w:fldCharType="separate"/>
      </w:r>
      <w:r>
        <w:rPr>
          <w:rFonts w:ascii="Times New Roman" w:hAnsi="Times New Roman" w:eastAsia="方正黑体_GBK"/>
          <w:sz w:val="24"/>
          <w:szCs w:val="24"/>
        </w:rPr>
        <w:t>76</w:t>
      </w:r>
      <w:r>
        <w:rPr>
          <w:rFonts w:ascii="Times New Roman" w:hAnsi="Times New Roman" w:eastAsia="方正黑体_GBK"/>
          <w:sz w:val="24"/>
          <w:szCs w:val="24"/>
        </w:rPr>
        <w:fldChar w:fldCharType="end"/>
      </w:r>
      <w:r>
        <w:rPr>
          <w:rFonts w:ascii="Times New Roman" w:hAnsi="Times New Roman" w:eastAsia="方正黑体_GBK"/>
          <w:sz w:val="24"/>
          <w:szCs w:val="24"/>
        </w:rPr>
        <w:fldChar w:fldCharType="end"/>
      </w:r>
    </w:p>
    <w:p>
      <w:pPr>
        <w:pStyle w:val="12"/>
        <w:tabs>
          <w:tab w:val="right" w:leader="dot" w:pos="8380"/>
        </w:tabs>
        <w:spacing w:line="576" w:lineRule="exact"/>
        <w:ind w:left="320" w:leftChars="100" w:firstLine="0"/>
        <w:rPr>
          <w:rFonts w:ascii="Times New Roman" w:hAnsi="Times New Roman" w:eastAsia="方正黑体_GBK"/>
          <w:smallCaps w:val="0"/>
          <w:sz w:val="24"/>
          <w:szCs w:val="24"/>
        </w:rPr>
      </w:pPr>
      <w:r>
        <w:fldChar w:fldCharType="begin"/>
      </w:r>
      <w:r>
        <w:instrText xml:space="preserve"> HYPERLINK \l "_Toc158043559" </w:instrText>
      </w:r>
      <w:r>
        <w:fldChar w:fldCharType="separate"/>
      </w:r>
      <w:r>
        <w:rPr>
          <w:rStyle w:val="17"/>
          <w:rFonts w:ascii="Times New Roman" w:hAnsi="Times New Roman" w:eastAsia="方正黑体_GBK"/>
          <w:sz w:val="24"/>
          <w:szCs w:val="24"/>
          <w:lang w:bidi="ar"/>
        </w:rPr>
        <w:t>附表2綦江中心城区一般建筑物抗震改造加固策略一览表</w:t>
      </w:r>
      <w:r>
        <w:rPr>
          <w:rFonts w:ascii="Times New Roman" w:hAnsi="Times New Roman" w:eastAsia="方正黑体_GBK"/>
          <w:sz w:val="24"/>
          <w:szCs w:val="24"/>
        </w:rPr>
        <w:tab/>
      </w:r>
      <w:r>
        <w:rPr>
          <w:rFonts w:ascii="Times New Roman" w:hAnsi="Times New Roman" w:eastAsia="方正黑体_GBK"/>
          <w:sz w:val="24"/>
          <w:szCs w:val="24"/>
        </w:rPr>
        <w:fldChar w:fldCharType="begin"/>
      </w:r>
      <w:r>
        <w:rPr>
          <w:rFonts w:ascii="Times New Roman" w:hAnsi="Times New Roman" w:eastAsia="方正黑体_GBK"/>
          <w:sz w:val="24"/>
          <w:szCs w:val="24"/>
        </w:rPr>
        <w:instrText xml:space="preserve"> PAGEREF _Toc158043559 \h </w:instrText>
      </w:r>
      <w:r>
        <w:rPr>
          <w:rFonts w:ascii="Times New Roman" w:hAnsi="Times New Roman" w:eastAsia="方正黑体_GBK"/>
          <w:sz w:val="24"/>
          <w:szCs w:val="24"/>
        </w:rPr>
        <w:fldChar w:fldCharType="separate"/>
      </w:r>
      <w:r>
        <w:rPr>
          <w:rFonts w:ascii="Times New Roman" w:hAnsi="Times New Roman" w:eastAsia="方正黑体_GBK"/>
          <w:sz w:val="24"/>
          <w:szCs w:val="24"/>
        </w:rPr>
        <w:t>78</w:t>
      </w:r>
      <w:r>
        <w:rPr>
          <w:rFonts w:ascii="Times New Roman" w:hAnsi="Times New Roman" w:eastAsia="方正黑体_GBK"/>
          <w:sz w:val="24"/>
          <w:szCs w:val="24"/>
        </w:rPr>
        <w:fldChar w:fldCharType="end"/>
      </w:r>
      <w:r>
        <w:rPr>
          <w:rFonts w:ascii="Times New Roman" w:hAnsi="Times New Roman" w:eastAsia="方正黑体_GBK"/>
          <w:sz w:val="24"/>
          <w:szCs w:val="24"/>
        </w:rPr>
        <w:fldChar w:fldCharType="end"/>
      </w:r>
    </w:p>
    <w:p>
      <w:pPr>
        <w:pStyle w:val="12"/>
        <w:tabs>
          <w:tab w:val="right" w:leader="dot" w:pos="8380"/>
        </w:tabs>
        <w:spacing w:line="576" w:lineRule="exact"/>
        <w:ind w:left="320" w:leftChars="100" w:firstLine="0"/>
        <w:rPr>
          <w:rFonts w:ascii="Times New Roman" w:hAnsi="Times New Roman" w:eastAsia="方正黑体_GBK"/>
          <w:smallCaps w:val="0"/>
          <w:sz w:val="24"/>
          <w:szCs w:val="24"/>
        </w:rPr>
      </w:pPr>
      <w:r>
        <w:fldChar w:fldCharType="begin"/>
      </w:r>
      <w:r>
        <w:instrText xml:space="preserve"> HYPERLINK \l "_Toc158043560" </w:instrText>
      </w:r>
      <w:r>
        <w:fldChar w:fldCharType="separate"/>
      </w:r>
      <w:r>
        <w:rPr>
          <w:rStyle w:val="17"/>
          <w:rFonts w:ascii="Times New Roman" w:hAnsi="Times New Roman" w:eastAsia="方正黑体_GBK"/>
          <w:sz w:val="24"/>
          <w:szCs w:val="24"/>
          <w:lang w:bidi="ar"/>
        </w:rPr>
        <w:t>附表3中小学校舍建筑抗震改造加固策略一览表</w:t>
      </w:r>
      <w:r>
        <w:rPr>
          <w:rFonts w:ascii="Times New Roman" w:hAnsi="Times New Roman" w:eastAsia="方正黑体_GBK"/>
          <w:sz w:val="24"/>
          <w:szCs w:val="24"/>
        </w:rPr>
        <w:tab/>
      </w:r>
      <w:r>
        <w:rPr>
          <w:rFonts w:ascii="Times New Roman" w:hAnsi="Times New Roman" w:eastAsia="方正黑体_GBK"/>
          <w:sz w:val="24"/>
          <w:szCs w:val="24"/>
        </w:rPr>
        <w:fldChar w:fldCharType="begin"/>
      </w:r>
      <w:r>
        <w:rPr>
          <w:rFonts w:ascii="Times New Roman" w:hAnsi="Times New Roman" w:eastAsia="方正黑体_GBK"/>
          <w:sz w:val="24"/>
          <w:szCs w:val="24"/>
        </w:rPr>
        <w:instrText xml:space="preserve"> PAGEREF _Toc158043560 \h </w:instrText>
      </w:r>
      <w:r>
        <w:rPr>
          <w:rFonts w:ascii="Times New Roman" w:hAnsi="Times New Roman" w:eastAsia="方正黑体_GBK"/>
          <w:sz w:val="24"/>
          <w:szCs w:val="24"/>
        </w:rPr>
        <w:fldChar w:fldCharType="separate"/>
      </w:r>
      <w:r>
        <w:rPr>
          <w:rFonts w:ascii="Times New Roman" w:hAnsi="Times New Roman" w:eastAsia="方正黑体_GBK"/>
          <w:sz w:val="24"/>
          <w:szCs w:val="24"/>
        </w:rPr>
        <w:t>79</w:t>
      </w:r>
      <w:r>
        <w:rPr>
          <w:rFonts w:ascii="Times New Roman" w:hAnsi="Times New Roman" w:eastAsia="方正黑体_GBK"/>
          <w:sz w:val="24"/>
          <w:szCs w:val="24"/>
        </w:rPr>
        <w:fldChar w:fldCharType="end"/>
      </w:r>
      <w:r>
        <w:rPr>
          <w:rFonts w:ascii="Times New Roman" w:hAnsi="Times New Roman" w:eastAsia="方正黑体_GBK"/>
          <w:sz w:val="24"/>
          <w:szCs w:val="24"/>
        </w:rPr>
        <w:fldChar w:fldCharType="end"/>
      </w:r>
    </w:p>
    <w:p>
      <w:pPr>
        <w:pStyle w:val="12"/>
        <w:tabs>
          <w:tab w:val="right" w:leader="dot" w:pos="8380"/>
        </w:tabs>
        <w:spacing w:line="576" w:lineRule="exact"/>
        <w:ind w:left="320" w:leftChars="100" w:firstLine="0"/>
        <w:rPr>
          <w:rFonts w:ascii="Times New Roman" w:hAnsi="Times New Roman" w:eastAsia="方正黑体_GBK"/>
          <w:smallCaps w:val="0"/>
          <w:sz w:val="24"/>
          <w:szCs w:val="24"/>
        </w:rPr>
      </w:pPr>
      <w:r>
        <w:fldChar w:fldCharType="begin"/>
      </w:r>
      <w:r>
        <w:instrText xml:space="preserve"> HYPERLINK \l "_Toc158043561" </w:instrText>
      </w:r>
      <w:r>
        <w:fldChar w:fldCharType="separate"/>
      </w:r>
      <w:r>
        <w:rPr>
          <w:rStyle w:val="17"/>
          <w:rFonts w:ascii="Times New Roman" w:hAnsi="Times New Roman" w:eastAsia="方正黑体_GBK"/>
          <w:sz w:val="24"/>
          <w:szCs w:val="24"/>
          <w:lang w:bidi="ar"/>
        </w:rPr>
        <w:t>附表4綦江中心城区中长期应急避难场所规划一览表</w:t>
      </w:r>
      <w:r>
        <w:rPr>
          <w:rFonts w:ascii="Times New Roman" w:hAnsi="Times New Roman" w:eastAsia="方正黑体_GBK"/>
          <w:sz w:val="24"/>
          <w:szCs w:val="24"/>
        </w:rPr>
        <w:tab/>
      </w:r>
      <w:r>
        <w:rPr>
          <w:rFonts w:ascii="Times New Roman" w:hAnsi="Times New Roman" w:eastAsia="方正黑体_GBK"/>
          <w:sz w:val="24"/>
          <w:szCs w:val="24"/>
        </w:rPr>
        <w:fldChar w:fldCharType="begin"/>
      </w:r>
      <w:r>
        <w:rPr>
          <w:rFonts w:ascii="Times New Roman" w:hAnsi="Times New Roman" w:eastAsia="方正黑体_GBK"/>
          <w:sz w:val="24"/>
          <w:szCs w:val="24"/>
        </w:rPr>
        <w:instrText xml:space="preserve"> PAGEREF _Toc158043561 \h </w:instrText>
      </w:r>
      <w:r>
        <w:rPr>
          <w:rFonts w:ascii="Times New Roman" w:hAnsi="Times New Roman" w:eastAsia="方正黑体_GBK"/>
          <w:sz w:val="24"/>
          <w:szCs w:val="24"/>
        </w:rPr>
        <w:fldChar w:fldCharType="separate"/>
      </w:r>
      <w:r>
        <w:rPr>
          <w:rFonts w:ascii="Times New Roman" w:hAnsi="Times New Roman" w:eastAsia="方正黑体_GBK"/>
          <w:sz w:val="24"/>
          <w:szCs w:val="24"/>
        </w:rPr>
        <w:t>80</w:t>
      </w:r>
      <w:r>
        <w:rPr>
          <w:rFonts w:ascii="Times New Roman" w:hAnsi="Times New Roman" w:eastAsia="方正黑体_GBK"/>
          <w:sz w:val="24"/>
          <w:szCs w:val="24"/>
        </w:rPr>
        <w:fldChar w:fldCharType="end"/>
      </w:r>
      <w:r>
        <w:rPr>
          <w:rFonts w:ascii="Times New Roman" w:hAnsi="Times New Roman" w:eastAsia="方正黑体_GBK"/>
          <w:sz w:val="24"/>
          <w:szCs w:val="24"/>
        </w:rPr>
        <w:fldChar w:fldCharType="end"/>
      </w:r>
    </w:p>
    <w:p>
      <w:pPr>
        <w:pStyle w:val="12"/>
        <w:tabs>
          <w:tab w:val="right" w:leader="dot" w:pos="8380"/>
        </w:tabs>
        <w:spacing w:line="576" w:lineRule="exact"/>
        <w:ind w:left="320" w:leftChars="100" w:firstLine="0"/>
        <w:rPr>
          <w:rFonts w:ascii="Times New Roman" w:hAnsi="Times New Roman" w:eastAsia="方正黑体_GBK"/>
          <w:smallCaps w:val="0"/>
          <w:sz w:val="24"/>
          <w:szCs w:val="24"/>
        </w:rPr>
      </w:pPr>
      <w:r>
        <w:fldChar w:fldCharType="begin"/>
      </w:r>
      <w:r>
        <w:instrText xml:space="preserve"> HYPERLINK \l "_Toc158043562" </w:instrText>
      </w:r>
      <w:r>
        <w:fldChar w:fldCharType="separate"/>
      </w:r>
      <w:r>
        <w:rPr>
          <w:rStyle w:val="17"/>
          <w:rFonts w:ascii="Times New Roman" w:hAnsi="Times New Roman" w:eastAsia="方正黑体_GBK"/>
          <w:sz w:val="24"/>
          <w:szCs w:val="24"/>
          <w:lang w:bidi="ar"/>
        </w:rPr>
        <w:t>附表5綦江中心城区短期应急避难场所规划一览表</w:t>
      </w:r>
      <w:r>
        <w:rPr>
          <w:rFonts w:ascii="Times New Roman" w:hAnsi="Times New Roman" w:eastAsia="方正黑体_GBK"/>
          <w:sz w:val="24"/>
          <w:szCs w:val="24"/>
        </w:rPr>
        <w:tab/>
      </w:r>
      <w:r>
        <w:rPr>
          <w:rFonts w:ascii="Times New Roman" w:hAnsi="Times New Roman" w:eastAsia="方正黑体_GBK"/>
          <w:sz w:val="24"/>
          <w:szCs w:val="24"/>
        </w:rPr>
        <w:fldChar w:fldCharType="begin"/>
      </w:r>
      <w:r>
        <w:rPr>
          <w:rFonts w:ascii="Times New Roman" w:hAnsi="Times New Roman" w:eastAsia="方正黑体_GBK"/>
          <w:sz w:val="24"/>
          <w:szCs w:val="24"/>
        </w:rPr>
        <w:instrText xml:space="preserve"> PAGEREF _Toc158043562 \h </w:instrText>
      </w:r>
      <w:r>
        <w:rPr>
          <w:rFonts w:ascii="Times New Roman" w:hAnsi="Times New Roman" w:eastAsia="方正黑体_GBK"/>
          <w:sz w:val="24"/>
          <w:szCs w:val="24"/>
        </w:rPr>
        <w:fldChar w:fldCharType="separate"/>
      </w:r>
      <w:r>
        <w:rPr>
          <w:rFonts w:ascii="Times New Roman" w:hAnsi="Times New Roman" w:eastAsia="方正黑体_GBK"/>
          <w:sz w:val="24"/>
          <w:szCs w:val="24"/>
        </w:rPr>
        <w:t>81</w:t>
      </w:r>
      <w:r>
        <w:rPr>
          <w:rFonts w:ascii="Times New Roman" w:hAnsi="Times New Roman" w:eastAsia="方正黑体_GBK"/>
          <w:sz w:val="24"/>
          <w:szCs w:val="24"/>
        </w:rPr>
        <w:fldChar w:fldCharType="end"/>
      </w:r>
      <w:r>
        <w:rPr>
          <w:rFonts w:ascii="Times New Roman" w:hAnsi="Times New Roman" w:eastAsia="方正黑体_GBK"/>
          <w:sz w:val="24"/>
          <w:szCs w:val="24"/>
        </w:rPr>
        <w:fldChar w:fldCharType="end"/>
      </w:r>
    </w:p>
    <w:p>
      <w:pPr>
        <w:pStyle w:val="12"/>
        <w:tabs>
          <w:tab w:val="right" w:leader="dot" w:pos="8380"/>
        </w:tabs>
        <w:spacing w:line="576" w:lineRule="exact"/>
        <w:ind w:left="320" w:leftChars="100" w:firstLine="0"/>
        <w:rPr>
          <w:rFonts w:ascii="Times New Roman" w:hAnsi="Times New Roman" w:eastAsia="方正黑体_GBK"/>
          <w:smallCaps w:val="0"/>
          <w:sz w:val="24"/>
          <w:szCs w:val="24"/>
        </w:rPr>
      </w:pPr>
      <w:r>
        <w:fldChar w:fldCharType="begin"/>
      </w:r>
      <w:r>
        <w:instrText xml:space="preserve"> HYPERLINK \l "_Toc158043563" </w:instrText>
      </w:r>
      <w:r>
        <w:fldChar w:fldCharType="separate"/>
      </w:r>
      <w:r>
        <w:rPr>
          <w:rStyle w:val="17"/>
          <w:rFonts w:ascii="Times New Roman" w:hAnsi="Times New Roman" w:eastAsia="方正黑体_GBK"/>
          <w:sz w:val="24"/>
          <w:szCs w:val="24"/>
          <w:lang w:bidi="ar"/>
        </w:rPr>
        <w:t>附表6綦江中心城区暂时应急避难场所规划一览表</w:t>
      </w:r>
      <w:r>
        <w:rPr>
          <w:rFonts w:ascii="Times New Roman" w:hAnsi="Times New Roman" w:eastAsia="方正黑体_GBK"/>
          <w:sz w:val="24"/>
          <w:szCs w:val="24"/>
        </w:rPr>
        <w:tab/>
      </w:r>
      <w:r>
        <w:rPr>
          <w:rFonts w:ascii="Times New Roman" w:hAnsi="Times New Roman" w:eastAsia="方正黑体_GBK"/>
          <w:sz w:val="24"/>
          <w:szCs w:val="24"/>
        </w:rPr>
        <w:fldChar w:fldCharType="begin"/>
      </w:r>
      <w:r>
        <w:rPr>
          <w:rFonts w:ascii="Times New Roman" w:hAnsi="Times New Roman" w:eastAsia="方正黑体_GBK"/>
          <w:sz w:val="24"/>
          <w:szCs w:val="24"/>
        </w:rPr>
        <w:instrText xml:space="preserve"> PAGEREF _Toc158043563 \h </w:instrText>
      </w:r>
      <w:r>
        <w:rPr>
          <w:rFonts w:ascii="Times New Roman" w:hAnsi="Times New Roman" w:eastAsia="方正黑体_GBK"/>
          <w:sz w:val="24"/>
          <w:szCs w:val="24"/>
        </w:rPr>
        <w:fldChar w:fldCharType="separate"/>
      </w:r>
      <w:r>
        <w:rPr>
          <w:rFonts w:ascii="Times New Roman" w:hAnsi="Times New Roman" w:eastAsia="方正黑体_GBK"/>
          <w:sz w:val="24"/>
          <w:szCs w:val="24"/>
        </w:rPr>
        <w:t>82</w:t>
      </w:r>
      <w:r>
        <w:rPr>
          <w:rFonts w:ascii="Times New Roman" w:hAnsi="Times New Roman" w:eastAsia="方正黑体_GBK"/>
          <w:sz w:val="24"/>
          <w:szCs w:val="24"/>
        </w:rPr>
        <w:fldChar w:fldCharType="end"/>
      </w:r>
      <w:r>
        <w:rPr>
          <w:rFonts w:ascii="Times New Roman" w:hAnsi="Times New Roman" w:eastAsia="方正黑体_GBK"/>
          <w:sz w:val="24"/>
          <w:szCs w:val="24"/>
        </w:rPr>
        <w:fldChar w:fldCharType="end"/>
      </w:r>
    </w:p>
    <w:p>
      <w:pPr>
        <w:pStyle w:val="12"/>
        <w:tabs>
          <w:tab w:val="right" w:leader="dot" w:pos="8380"/>
        </w:tabs>
        <w:spacing w:line="576" w:lineRule="exact"/>
        <w:ind w:left="320" w:leftChars="100" w:firstLine="0"/>
        <w:rPr>
          <w:rFonts w:ascii="Times New Roman" w:hAnsi="Times New Roman" w:eastAsia="方正黑体_GBK"/>
          <w:smallCaps w:val="0"/>
          <w:sz w:val="24"/>
          <w:szCs w:val="24"/>
        </w:rPr>
      </w:pPr>
      <w:r>
        <w:fldChar w:fldCharType="begin"/>
      </w:r>
      <w:r>
        <w:instrText xml:space="preserve"> HYPERLINK \l "_Toc158043564" </w:instrText>
      </w:r>
      <w:r>
        <w:fldChar w:fldCharType="separate"/>
      </w:r>
      <w:r>
        <w:rPr>
          <w:rStyle w:val="17"/>
          <w:rFonts w:ascii="Times New Roman" w:hAnsi="Times New Roman" w:eastAsia="方正黑体_GBK"/>
          <w:sz w:val="24"/>
          <w:szCs w:val="24"/>
          <w:lang w:bidi="ar"/>
        </w:rPr>
        <w:t>附表7綦江中心城区主要疏散通道一览表</w:t>
      </w:r>
      <w:r>
        <w:rPr>
          <w:rFonts w:ascii="Times New Roman" w:hAnsi="Times New Roman" w:eastAsia="方正黑体_GBK"/>
          <w:sz w:val="24"/>
          <w:szCs w:val="24"/>
        </w:rPr>
        <w:tab/>
      </w:r>
      <w:r>
        <w:rPr>
          <w:rFonts w:ascii="Times New Roman" w:hAnsi="Times New Roman" w:eastAsia="方正黑体_GBK"/>
          <w:sz w:val="24"/>
          <w:szCs w:val="24"/>
        </w:rPr>
        <w:fldChar w:fldCharType="begin"/>
      </w:r>
      <w:r>
        <w:rPr>
          <w:rFonts w:ascii="Times New Roman" w:hAnsi="Times New Roman" w:eastAsia="方正黑体_GBK"/>
          <w:sz w:val="24"/>
          <w:szCs w:val="24"/>
        </w:rPr>
        <w:instrText xml:space="preserve"> PAGEREF _Toc158043564 \h </w:instrText>
      </w:r>
      <w:r>
        <w:rPr>
          <w:rFonts w:ascii="Times New Roman" w:hAnsi="Times New Roman" w:eastAsia="方正黑体_GBK"/>
          <w:sz w:val="24"/>
          <w:szCs w:val="24"/>
        </w:rPr>
        <w:fldChar w:fldCharType="separate"/>
      </w:r>
      <w:r>
        <w:rPr>
          <w:rFonts w:ascii="Times New Roman" w:hAnsi="Times New Roman" w:eastAsia="方正黑体_GBK"/>
          <w:sz w:val="24"/>
          <w:szCs w:val="24"/>
        </w:rPr>
        <w:t>88</w:t>
      </w:r>
      <w:r>
        <w:rPr>
          <w:rFonts w:ascii="Times New Roman" w:hAnsi="Times New Roman" w:eastAsia="方正黑体_GBK"/>
          <w:sz w:val="24"/>
          <w:szCs w:val="24"/>
        </w:rPr>
        <w:fldChar w:fldCharType="end"/>
      </w:r>
      <w:r>
        <w:rPr>
          <w:rFonts w:ascii="Times New Roman" w:hAnsi="Times New Roman" w:eastAsia="方正黑体_GBK"/>
          <w:sz w:val="24"/>
          <w:szCs w:val="24"/>
        </w:rPr>
        <w:fldChar w:fldCharType="end"/>
      </w:r>
    </w:p>
    <w:p>
      <w:pPr>
        <w:pStyle w:val="12"/>
        <w:tabs>
          <w:tab w:val="right" w:leader="dot" w:pos="8380"/>
        </w:tabs>
        <w:spacing w:line="576" w:lineRule="exact"/>
        <w:ind w:left="320" w:leftChars="100" w:firstLine="0"/>
        <w:rPr>
          <w:rFonts w:ascii="Times New Roman" w:hAnsi="Times New Roman" w:eastAsia="方正黑体_GBK"/>
          <w:smallCaps w:val="0"/>
          <w:sz w:val="24"/>
          <w:szCs w:val="24"/>
        </w:rPr>
      </w:pPr>
      <w:r>
        <w:fldChar w:fldCharType="begin"/>
      </w:r>
      <w:r>
        <w:instrText xml:space="preserve"> HYPERLINK \l "_Toc158043565" </w:instrText>
      </w:r>
      <w:r>
        <w:fldChar w:fldCharType="separate"/>
      </w:r>
      <w:r>
        <w:rPr>
          <w:rStyle w:val="17"/>
          <w:rFonts w:ascii="Times New Roman" w:hAnsi="Times New Roman" w:eastAsia="方正黑体_GBK"/>
          <w:sz w:val="24"/>
          <w:szCs w:val="24"/>
          <w:lang w:bidi="ar"/>
        </w:rPr>
        <w:t>附表8綦江中心城区各级避难场所设施配置一览表</w:t>
      </w:r>
      <w:r>
        <w:rPr>
          <w:rFonts w:ascii="Times New Roman" w:hAnsi="Times New Roman" w:eastAsia="方正黑体_GBK"/>
          <w:sz w:val="24"/>
          <w:szCs w:val="24"/>
        </w:rPr>
        <w:tab/>
      </w:r>
      <w:r>
        <w:rPr>
          <w:rFonts w:ascii="Times New Roman" w:hAnsi="Times New Roman" w:eastAsia="方正黑体_GBK"/>
          <w:sz w:val="24"/>
          <w:szCs w:val="24"/>
        </w:rPr>
        <w:fldChar w:fldCharType="begin"/>
      </w:r>
      <w:r>
        <w:rPr>
          <w:rFonts w:ascii="Times New Roman" w:hAnsi="Times New Roman" w:eastAsia="方正黑体_GBK"/>
          <w:sz w:val="24"/>
          <w:szCs w:val="24"/>
        </w:rPr>
        <w:instrText xml:space="preserve"> PAGEREF _Toc158043565 \h </w:instrText>
      </w:r>
      <w:r>
        <w:rPr>
          <w:rFonts w:ascii="Times New Roman" w:hAnsi="Times New Roman" w:eastAsia="方正黑体_GBK"/>
          <w:sz w:val="24"/>
          <w:szCs w:val="24"/>
        </w:rPr>
        <w:fldChar w:fldCharType="separate"/>
      </w:r>
      <w:r>
        <w:rPr>
          <w:rFonts w:ascii="Times New Roman" w:hAnsi="Times New Roman" w:eastAsia="方正黑体_GBK"/>
          <w:sz w:val="24"/>
          <w:szCs w:val="24"/>
        </w:rPr>
        <w:t>90</w:t>
      </w:r>
      <w:r>
        <w:rPr>
          <w:rFonts w:ascii="Times New Roman" w:hAnsi="Times New Roman" w:eastAsia="方正黑体_GBK"/>
          <w:sz w:val="24"/>
          <w:szCs w:val="24"/>
        </w:rPr>
        <w:fldChar w:fldCharType="end"/>
      </w:r>
      <w:r>
        <w:rPr>
          <w:rFonts w:ascii="Times New Roman" w:hAnsi="Times New Roman" w:eastAsia="方正黑体_GBK"/>
          <w:sz w:val="24"/>
          <w:szCs w:val="24"/>
        </w:rPr>
        <w:fldChar w:fldCharType="end"/>
      </w:r>
    </w:p>
    <w:p>
      <w:pPr>
        <w:pStyle w:val="12"/>
        <w:tabs>
          <w:tab w:val="right" w:leader="dot" w:pos="8380"/>
        </w:tabs>
        <w:spacing w:line="576" w:lineRule="exact"/>
        <w:ind w:left="320" w:leftChars="100" w:firstLine="0"/>
        <w:rPr>
          <w:rFonts w:ascii="Times New Roman" w:hAnsi="Times New Roman" w:eastAsia="方正黑体_GBK"/>
          <w:smallCaps w:val="0"/>
          <w:sz w:val="24"/>
          <w:szCs w:val="24"/>
        </w:rPr>
      </w:pPr>
      <w:r>
        <w:fldChar w:fldCharType="begin"/>
      </w:r>
      <w:r>
        <w:instrText xml:space="preserve"> HYPERLINK \l "_Toc158043566" </w:instrText>
      </w:r>
      <w:r>
        <w:fldChar w:fldCharType="separate"/>
      </w:r>
      <w:r>
        <w:rPr>
          <w:rStyle w:val="17"/>
          <w:rFonts w:ascii="Times New Roman" w:hAnsi="Times New Roman" w:eastAsia="方正黑体_GBK"/>
          <w:sz w:val="24"/>
          <w:szCs w:val="24"/>
          <w:lang w:bidi="ar"/>
        </w:rPr>
        <w:t>附表9綦江中心城区水厂一览表</w:t>
      </w:r>
      <w:r>
        <w:rPr>
          <w:rFonts w:ascii="Times New Roman" w:hAnsi="Times New Roman" w:eastAsia="方正黑体_GBK"/>
          <w:sz w:val="24"/>
          <w:szCs w:val="24"/>
        </w:rPr>
        <w:tab/>
      </w:r>
      <w:r>
        <w:rPr>
          <w:rFonts w:ascii="Times New Roman" w:hAnsi="Times New Roman" w:eastAsia="方正黑体_GBK"/>
          <w:sz w:val="24"/>
          <w:szCs w:val="24"/>
        </w:rPr>
        <w:fldChar w:fldCharType="begin"/>
      </w:r>
      <w:r>
        <w:rPr>
          <w:rFonts w:ascii="Times New Roman" w:hAnsi="Times New Roman" w:eastAsia="方正黑体_GBK"/>
          <w:sz w:val="24"/>
          <w:szCs w:val="24"/>
        </w:rPr>
        <w:instrText xml:space="preserve"> PAGEREF _Toc158043566 \h </w:instrText>
      </w:r>
      <w:r>
        <w:rPr>
          <w:rFonts w:ascii="Times New Roman" w:hAnsi="Times New Roman" w:eastAsia="方正黑体_GBK"/>
          <w:sz w:val="24"/>
          <w:szCs w:val="24"/>
        </w:rPr>
        <w:fldChar w:fldCharType="separate"/>
      </w:r>
      <w:r>
        <w:rPr>
          <w:rFonts w:ascii="Times New Roman" w:hAnsi="Times New Roman" w:eastAsia="方正黑体_GBK"/>
          <w:sz w:val="24"/>
          <w:szCs w:val="24"/>
        </w:rPr>
        <w:t>93</w:t>
      </w:r>
      <w:r>
        <w:rPr>
          <w:rFonts w:ascii="Times New Roman" w:hAnsi="Times New Roman" w:eastAsia="方正黑体_GBK"/>
          <w:sz w:val="24"/>
          <w:szCs w:val="24"/>
        </w:rPr>
        <w:fldChar w:fldCharType="end"/>
      </w:r>
      <w:r>
        <w:rPr>
          <w:rFonts w:ascii="Times New Roman" w:hAnsi="Times New Roman" w:eastAsia="方正黑体_GBK"/>
          <w:sz w:val="24"/>
          <w:szCs w:val="24"/>
        </w:rPr>
        <w:fldChar w:fldCharType="end"/>
      </w:r>
    </w:p>
    <w:p>
      <w:pPr>
        <w:pStyle w:val="12"/>
        <w:tabs>
          <w:tab w:val="right" w:leader="dot" w:pos="8380"/>
        </w:tabs>
        <w:spacing w:line="576" w:lineRule="exact"/>
        <w:ind w:left="320" w:leftChars="100" w:firstLine="0"/>
        <w:rPr>
          <w:rFonts w:ascii="Times New Roman" w:hAnsi="Times New Roman" w:eastAsia="方正黑体_GBK"/>
          <w:smallCaps w:val="0"/>
          <w:sz w:val="24"/>
          <w:szCs w:val="24"/>
        </w:rPr>
      </w:pPr>
      <w:r>
        <w:fldChar w:fldCharType="begin"/>
      </w:r>
      <w:r>
        <w:instrText xml:space="preserve"> HYPERLINK \l "_Toc158043567" </w:instrText>
      </w:r>
      <w:r>
        <w:fldChar w:fldCharType="separate"/>
      </w:r>
      <w:r>
        <w:rPr>
          <w:rStyle w:val="17"/>
          <w:rFonts w:ascii="Times New Roman" w:hAnsi="Times New Roman" w:eastAsia="方正黑体_GBK"/>
          <w:sz w:val="24"/>
          <w:szCs w:val="24"/>
          <w:lang w:bidi="ar"/>
        </w:rPr>
        <w:t>附表10綦江中心城区应急避难场所对口医院一览表</w:t>
      </w:r>
      <w:r>
        <w:rPr>
          <w:rFonts w:ascii="Times New Roman" w:hAnsi="Times New Roman" w:eastAsia="方正黑体_GBK"/>
          <w:sz w:val="24"/>
          <w:szCs w:val="24"/>
        </w:rPr>
        <w:tab/>
      </w:r>
      <w:r>
        <w:rPr>
          <w:rFonts w:ascii="Times New Roman" w:hAnsi="Times New Roman" w:eastAsia="方正黑体_GBK"/>
          <w:sz w:val="24"/>
          <w:szCs w:val="24"/>
        </w:rPr>
        <w:fldChar w:fldCharType="begin"/>
      </w:r>
      <w:r>
        <w:rPr>
          <w:rFonts w:ascii="Times New Roman" w:hAnsi="Times New Roman" w:eastAsia="方正黑体_GBK"/>
          <w:sz w:val="24"/>
          <w:szCs w:val="24"/>
        </w:rPr>
        <w:instrText xml:space="preserve"> PAGEREF _Toc158043567 \h </w:instrText>
      </w:r>
      <w:r>
        <w:rPr>
          <w:rFonts w:ascii="Times New Roman" w:hAnsi="Times New Roman" w:eastAsia="方正黑体_GBK"/>
          <w:sz w:val="24"/>
          <w:szCs w:val="24"/>
        </w:rPr>
        <w:fldChar w:fldCharType="separate"/>
      </w:r>
      <w:r>
        <w:rPr>
          <w:rFonts w:ascii="Times New Roman" w:hAnsi="Times New Roman" w:eastAsia="方正黑体_GBK"/>
          <w:sz w:val="24"/>
          <w:szCs w:val="24"/>
        </w:rPr>
        <w:t>94</w:t>
      </w:r>
      <w:r>
        <w:rPr>
          <w:rFonts w:ascii="Times New Roman" w:hAnsi="Times New Roman" w:eastAsia="方正黑体_GBK"/>
          <w:sz w:val="24"/>
          <w:szCs w:val="24"/>
        </w:rPr>
        <w:fldChar w:fldCharType="end"/>
      </w:r>
      <w:r>
        <w:rPr>
          <w:rFonts w:ascii="Times New Roman" w:hAnsi="Times New Roman" w:eastAsia="方正黑体_GBK"/>
          <w:sz w:val="24"/>
          <w:szCs w:val="24"/>
        </w:rPr>
        <w:fldChar w:fldCharType="end"/>
      </w:r>
    </w:p>
    <w:p>
      <w:pPr>
        <w:pStyle w:val="12"/>
        <w:tabs>
          <w:tab w:val="right" w:leader="dot" w:pos="8380"/>
        </w:tabs>
        <w:spacing w:line="576" w:lineRule="exact"/>
        <w:ind w:left="320" w:leftChars="100" w:firstLine="0"/>
        <w:rPr>
          <w:rFonts w:ascii="Times New Roman" w:hAnsi="Times New Roman" w:eastAsia="方正黑体_GBK"/>
          <w:smallCaps w:val="0"/>
          <w:sz w:val="24"/>
          <w:szCs w:val="24"/>
        </w:rPr>
      </w:pPr>
      <w:r>
        <w:fldChar w:fldCharType="begin"/>
      </w:r>
      <w:r>
        <w:instrText xml:space="preserve"> HYPERLINK \l "_Toc158043568" </w:instrText>
      </w:r>
      <w:r>
        <w:fldChar w:fldCharType="separate"/>
      </w:r>
      <w:r>
        <w:rPr>
          <w:rStyle w:val="17"/>
          <w:rFonts w:ascii="Times New Roman" w:hAnsi="Times New Roman" w:eastAsia="方正黑体_GBK"/>
          <w:sz w:val="24"/>
          <w:szCs w:val="24"/>
          <w:lang w:bidi="ar"/>
        </w:rPr>
        <w:t>附表11綦江中心城区通信规划情况一览表</w:t>
      </w:r>
      <w:r>
        <w:rPr>
          <w:rFonts w:ascii="Times New Roman" w:hAnsi="Times New Roman" w:eastAsia="方正黑体_GBK"/>
          <w:sz w:val="24"/>
          <w:szCs w:val="24"/>
        </w:rPr>
        <w:tab/>
      </w:r>
      <w:r>
        <w:rPr>
          <w:rFonts w:ascii="Times New Roman" w:hAnsi="Times New Roman" w:eastAsia="方正黑体_GBK"/>
          <w:sz w:val="24"/>
          <w:szCs w:val="24"/>
        </w:rPr>
        <w:fldChar w:fldCharType="begin"/>
      </w:r>
      <w:r>
        <w:rPr>
          <w:rFonts w:ascii="Times New Roman" w:hAnsi="Times New Roman" w:eastAsia="方正黑体_GBK"/>
          <w:sz w:val="24"/>
          <w:szCs w:val="24"/>
        </w:rPr>
        <w:instrText xml:space="preserve"> PAGEREF _Toc158043568 \h </w:instrText>
      </w:r>
      <w:r>
        <w:rPr>
          <w:rFonts w:ascii="Times New Roman" w:hAnsi="Times New Roman" w:eastAsia="方正黑体_GBK"/>
          <w:sz w:val="24"/>
          <w:szCs w:val="24"/>
        </w:rPr>
        <w:fldChar w:fldCharType="separate"/>
      </w:r>
      <w:r>
        <w:rPr>
          <w:rFonts w:ascii="Times New Roman" w:hAnsi="Times New Roman" w:eastAsia="方正黑体_GBK"/>
          <w:sz w:val="24"/>
          <w:szCs w:val="24"/>
        </w:rPr>
        <w:t>95</w:t>
      </w:r>
      <w:r>
        <w:rPr>
          <w:rFonts w:ascii="Times New Roman" w:hAnsi="Times New Roman" w:eastAsia="方正黑体_GBK"/>
          <w:sz w:val="24"/>
          <w:szCs w:val="24"/>
        </w:rPr>
        <w:fldChar w:fldCharType="end"/>
      </w:r>
      <w:r>
        <w:rPr>
          <w:rFonts w:ascii="Times New Roman" w:hAnsi="Times New Roman" w:eastAsia="方正黑体_GBK"/>
          <w:sz w:val="24"/>
          <w:szCs w:val="24"/>
        </w:rPr>
        <w:fldChar w:fldCharType="end"/>
      </w:r>
    </w:p>
    <w:p>
      <w:pPr>
        <w:pStyle w:val="12"/>
        <w:tabs>
          <w:tab w:val="right" w:leader="dot" w:pos="8380"/>
        </w:tabs>
        <w:spacing w:line="576" w:lineRule="exact"/>
        <w:ind w:left="320" w:leftChars="100" w:firstLine="0"/>
        <w:rPr>
          <w:rFonts w:ascii="Times New Roman" w:hAnsi="Times New Roman" w:eastAsia="方正黑体_GBK"/>
          <w:smallCaps w:val="0"/>
          <w:sz w:val="24"/>
          <w:szCs w:val="24"/>
        </w:rPr>
      </w:pPr>
      <w:r>
        <w:fldChar w:fldCharType="begin"/>
      </w:r>
      <w:r>
        <w:instrText xml:space="preserve"> HYPERLINK \l "_Toc158043569" </w:instrText>
      </w:r>
      <w:r>
        <w:fldChar w:fldCharType="separate"/>
      </w:r>
      <w:r>
        <w:rPr>
          <w:rStyle w:val="17"/>
          <w:rFonts w:ascii="Times New Roman" w:hAnsi="Times New Roman" w:eastAsia="方正黑体_GBK"/>
          <w:sz w:val="24"/>
          <w:szCs w:val="24"/>
          <w:lang w:bidi="ar"/>
        </w:rPr>
        <w:t>附表12綦江中心城区消防站点规划情况一览表</w:t>
      </w:r>
      <w:r>
        <w:rPr>
          <w:rFonts w:ascii="Times New Roman" w:hAnsi="Times New Roman" w:eastAsia="方正黑体_GBK"/>
          <w:sz w:val="24"/>
          <w:szCs w:val="24"/>
        </w:rPr>
        <w:tab/>
      </w:r>
      <w:r>
        <w:rPr>
          <w:rFonts w:ascii="Times New Roman" w:hAnsi="Times New Roman" w:eastAsia="方正黑体_GBK"/>
          <w:sz w:val="24"/>
          <w:szCs w:val="24"/>
        </w:rPr>
        <w:fldChar w:fldCharType="begin"/>
      </w:r>
      <w:r>
        <w:rPr>
          <w:rFonts w:ascii="Times New Roman" w:hAnsi="Times New Roman" w:eastAsia="方正黑体_GBK"/>
          <w:sz w:val="24"/>
          <w:szCs w:val="24"/>
        </w:rPr>
        <w:instrText xml:space="preserve"> PAGEREF _Toc158043569 \h </w:instrText>
      </w:r>
      <w:r>
        <w:rPr>
          <w:rFonts w:ascii="Times New Roman" w:hAnsi="Times New Roman" w:eastAsia="方正黑体_GBK"/>
          <w:sz w:val="24"/>
          <w:szCs w:val="24"/>
        </w:rPr>
        <w:fldChar w:fldCharType="separate"/>
      </w:r>
      <w:r>
        <w:rPr>
          <w:rFonts w:ascii="Times New Roman" w:hAnsi="Times New Roman" w:eastAsia="方正黑体_GBK"/>
          <w:sz w:val="24"/>
          <w:szCs w:val="24"/>
        </w:rPr>
        <w:t>96</w:t>
      </w:r>
      <w:r>
        <w:rPr>
          <w:rFonts w:ascii="Times New Roman" w:hAnsi="Times New Roman" w:eastAsia="方正黑体_GBK"/>
          <w:sz w:val="24"/>
          <w:szCs w:val="24"/>
        </w:rPr>
        <w:fldChar w:fldCharType="end"/>
      </w:r>
      <w:r>
        <w:rPr>
          <w:rFonts w:ascii="Times New Roman" w:hAnsi="Times New Roman" w:eastAsia="方正黑体_GBK"/>
          <w:sz w:val="24"/>
          <w:szCs w:val="24"/>
        </w:rPr>
        <w:fldChar w:fldCharType="end"/>
      </w:r>
    </w:p>
    <w:p>
      <w:pPr>
        <w:pStyle w:val="12"/>
        <w:tabs>
          <w:tab w:val="right" w:leader="dot" w:pos="8380"/>
        </w:tabs>
        <w:spacing w:line="576" w:lineRule="exact"/>
        <w:ind w:left="320" w:leftChars="100" w:firstLine="0"/>
        <w:rPr>
          <w:rFonts w:ascii="Times New Roman" w:hAnsi="Times New Roman" w:eastAsia="方正黑体_GBK"/>
          <w:smallCaps w:val="0"/>
          <w:sz w:val="24"/>
          <w:szCs w:val="24"/>
        </w:rPr>
      </w:pPr>
      <w:r>
        <w:fldChar w:fldCharType="begin"/>
      </w:r>
      <w:r>
        <w:instrText xml:space="preserve"> HYPERLINK \l "_Toc158043570" </w:instrText>
      </w:r>
      <w:r>
        <w:fldChar w:fldCharType="separate"/>
      </w:r>
      <w:r>
        <w:rPr>
          <w:rStyle w:val="17"/>
          <w:rFonts w:ascii="Times New Roman" w:hAnsi="Times New Roman" w:eastAsia="方正黑体_GBK"/>
          <w:sz w:val="24"/>
          <w:szCs w:val="24"/>
          <w:lang w:bidi="ar"/>
        </w:rPr>
        <w:t>附表13綦江中心城应急避难场所对口消防站一览表</w:t>
      </w:r>
      <w:r>
        <w:rPr>
          <w:rFonts w:ascii="Times New Roman" w:hAnsi="Times New Roman" w:eastAsia="方正黑体_GBK"/>
          <w:sz w:val="24"/>
          <w:szCs w:val="24"/>
        </w:rPr>
        <w:tab/>
      </w:r>
      <w:r>
        <w:rPr>
          <w:rFonts w:ascii="Times New Roman" w:hAnsi="Times New Roman" w:eastAsia="方正黑体_GBK"/>
          <w:sz w:val="24"/>
          <w:szCs w:val="24"/>
        </w:rPr>
        <w:fldChar w:fldCharType="begin"/>
      </w:r>
      <w:r>
        <w:rPr>
          <w:rFonts w:ascii="Times New Roman" w:hAnsi="Times New Roman" w:eastAsia="方正黑体_GBK"/>
          <w:sz w:val="24"/>
          <w:szCs w:val="24"/>
        </w:rPr>
        <w:instrText xml:space="preserve"> PAGEREF _Toc158043570 \h </w:instrText>
      </w:r>
      <w:r>
        <w:rPr>
          <w:rFonts w:ascii="Times New Roman" w:hAnsi="Times New Roman" w:eastAsia="方正黑体_GBK"/>
          <w:sz w:val="24"/>
          <w:szCs w:val="24"/>
        </w:rPr>
        <w:fldChar w:fldCharType="separate"/>
      </w:r>
      <w:r>
        <w:rPr>
          <w:rFonts w:ascii="Times New Roman" w:hAnsi="Times New Roman" w:eastAsia="方正黑体_GBK"/>
          <w:sz w:val="24"/>
          <w:szCs w:val="24"/>
        </w:rPr>
        <w:t>97</w:t>
      </w:r>
      <w:r>
        <w:rPr>
          <w:rFonts w:ascii="Times New Roman" w:hAnsi="Times New Roman" w:eastAsia="方正黑体_GBK"/>
          <w:sz w:val="24"/>
          <w:szCs w:val="24"/>
        </w:rPr>
        <w:fldChar w:fldCharType="end"/>
      </w:r>
      <w:r>
        <w:rPr>
          <w:rFonts w:ascii="Times New Roman" w:hAnsi="Times New Roman" w:eastAsia="方正黑体_GBK"/>
          <w:sz w:val="24"/>
          <w:szCs w:val="24"/>
        </w:rPr>
        <w:fldChar w:fldCharType="end"/>
      </w:r>
    </w:p>
    <w:p>
      <w:pPr>
        <w:pStyle w:val="12"/>
        <w:tabs>
          <w:tab w:val="right" w:leader="dot" w:pos="8380"/>
        </w:tabs>
        <w:spacing w:line="576" w:lineRule="exact"/>
        <w:ind w:left="320" w:leftChars="100" w:firstLine="0"/>
        <w:rPr>
          <w:rFonts w:ascii="Times New Roman" w:hAnsi="Times New Roman" w:eastAsia="方正黑体_GBK"/>
          <w:smallCaps w:val="0"/>
          <w:sz w:val="24"/>
          <w:szCs w:val="24"/>
        </w:rPr>
      </w:pPr>
      <w:r>
        <w:fldChar w:fldCharType="begin"/>
      </w:r>
      <w:r>
        <w:instrText xml:space="preserve"> HYPERLINK \l "_Toc158043571" </w:instrText>
      </w:r>
      <w:r>
        <w:fldChar w:fldCharType="separate"/>
      </w:r>
      <w:r>
        <w:rPr>
          <w:rStyle w:val="17"/>
          <w:rFonts w:ascii="Times New Roman" w:hAnsi="Times New Roman" w:eastAsia="方正黑体_GBK"/>
          <w:sz w:val="24"/>
          <w:szCs w:val="24"/>
          <w:lang w:bidi="ar"/>
        </w:rPr>
        <w:t>附表14綦江中心城区近期建筑加固改造策略一览表</w:t>
      </w:r>
      <w:r>
        <w:rPr>
          <w:rFonts w:ascii="Times New Roman" w:hAnsi="Times New Roman" w:eastAsia="方正黑体_GBK"/>
          <w:sz w:val="24"/>
          <w:szCs w:val="24"/>
        </w:rPr>
        <w:tab/>
      </w:r>
      <w:r>
        <w:rPr>
          <w:rFonts w:ascii="Times New Roman" w:hAnsi="Times New Roman" w:eastAsia="方正黑体_GBK"/>
          <w:sz w:val="24"/>
          <w:szCs w:val="24"/>
        </w:rPr>
        <w:fldChar w:fldCharType="begin"/>
      </w:r>
      <w:r>
        <w:rPr>
          <w:rFonts w:ascii="Times New Roman" w:hAnsi="Times New Roman" w:eastAsia="方正黑体_GBK"/>
          <w:sz w:val="24"/>
          <w:szCs w:val="24"/>
        </w:rPr>
        <w:instrText xml:space="preserve"> PAGEREF _Toc158043571 \h </w:instrText>
      </w:r>
      <w:r>
        <w:rPr>
          <w:rFonts w:ascii="Times New Roman" w:hAnsi="Times New Roman" w:eastAsia="方正黑体_GBK"/>
          <w:sz w:val="24"/>
          <w:szCs w:val="24"/>
        </w:rPr>
        <w:fldChar w:fldCharType="separate"/>
      </w:r>
      <w:r>
        <w:rPr>
          <w:rFonts w:ascii="Times New Roman" w:hAnsi="Times New Roman" w:eastAsia="方正黑体_GBK"/>
          <w:sz w:val="24"/>
          <w:szCs w:val="24"/>
        </w:rPr>
        <w:t>98</w:t>
      </w:r>
      <w:r>
        <w:rPr>
          <w:rFonts w:ascii="Times New Roman" w:hAnsi="Times New Roman" w:eastAsia="方正黑体_GBK"/>
          <w:sz w:val="24"/>
          <w:szCs w:val="24"/>
        </w:rPr>
        <w:fldChar w:fldCharType="end"/>
      </w:r>
      <w:r>
        <w:rPr>
          <w:rFonts w:ascii="Times New Roman" w:hAnsi="Times New Roman" w:eastAsia="方正黑体_GBK"/>
          <w:sz w:val="24"/>
          <w:szCs w:val="24"/>
        </w:rPr>
        <w:fldChar w:fldCharType="end"/>
      </w:r>
    </w:p>
    <w:p>
      <w:pPr>
        <w:pStyle w:val="12"/>
        <w:tabs>
          <w:tab w:val="right" w:leader="dot" w:pos="8380"/>
        </w:tabs>
        <w:spacing w:line="576" w:lineRule="exact"/>
        <w:ind w:left="320" w:leftChars="100" w:firstLine="0"/>
        <w:rPr>
          <w:rFonts w:ascii="Times New Roman" w:hAnsi="Times New Roman" w:eastAsia="方正黑体_GBK"/>
          <w:smallCaps w:val="0"/>
          <w:sz w:val="24"/>
          <w:szCs w:val="24"/>
        </w:rPr>
      </w:pPr>
      <w:r>
        <w:fldChar w:fldCharType="begin"/>
      </w:r>
      <w:r>
        <w:instrText xml:space="preserve"> HYPERLINK \l "_Toc158043572" </w:instrText>
      </w:r>
      <w:r>
        <w:fldChar w:fldCharType="separate"/>
      </w:r>
      <w:r>
        <w:rPr>
          <w:rStyle w:val="17"/>
          <w:rFonts w:ascii="Times New Roman" w:hAnsi="Times New Roman" w:eastAsia="方正黑体_GBK"/>
          <w:sz w:val="24"/>
          <w:szCs w:val="24"/>
          <w:lang w:bidi="ar"/>
        </w:rPr>
        <w:t>附表15綦江中心城区近期应急避难场所对口医院一览表</w:t>
      </w:r>
      <w:r>
        <w:rPr>
          <w:rFonts w:ascii="Times New Roman" w:hAnsi="Times New Roman" w:eastAsia="方正黑体_GBK"/>
          <w:sz w:val="24"/>
          <w:szCs w:val="24"/>
        </w:rPr>
        <w:tab/>
      </w:r>
      <w:r>
        <w:rPr>
          <w:rFonts w:ascii="Times New Roman" w:hAnsi="Times New Roman" w:eastAsia="方正黑体_GBK"/>
          <w:sz w:val="24"/>
          <w:szCs w:val="24"/>
        </w:rPr>
        <w:fldChar w:fldCharType="begin"/>
      </w:r>
      <w:r>
        <w:rPr>
          <w:rFonts w:ascii="Times New Roman" w:hAnsi="Times New Roman" w:eastAsia="方正黑体_GBK"/>
          <w:sz w:val="24"/>
          <w:szCs w:val="24"/>
        </w:rPr>
        <w:instrText xml:space="preserve"> PAGEREF _Toc158043572 \h </w:instrText>
      </w:r>
      <w:r>
        <w:rPr>
          <w:rFonts w:ascii="Times New Roman" w:hAnsi="Times New Roman" w:eastAsia="方正黑体_GBK"/>
          <w:sz w:val="24"/>
          <w:szCs w:val="24"/>
        </w:rPr>
        <w:fldChar w:fldCharType="separate"/>
      </w:r>
      <w:r>
        <w:rPr>
          <w:rFonts w:ascii="Times New Roman" w:hAnsi="Times New Roman" w:eastAsia="方正黑体_GBK"/>
          <w:sz w:val="24"/>
          <w:szCs w:val="24"/>
        </w:rPr>
        <w:t>99</w:t>
      </w:r>
      <w:r>
        <w:rPr>
          <w:rFonts w:ascii="Times New Roman" w:hAnsi="Times New Roman" w:eastAsia="方正黑体_GBK"/>
          <w:sz w:val="24"/>
          <w:szCs w:val="24"/>
        </w:rPr>
        <w:fldChar w:fldCharType="end"/>
      </w:r>
      <w:r>
        <w:rPr>
          <w:rFonts w:ascii="Times New Roman" w:hAnsi="Times New Roman" w:eastAsia="方正黑体_GBK"/>
          <w:sz w:val="24"/>
          <w:szCs w:val="24"/>
        </w:rPr>
        <w:fldChar w:fldCharType="end"/>
      </w:r>
    </w:p>
    <w:p>
      <w:pPr>
        <w:pStyle w:val="12"/>
        <w:tabs>
          <w:tab w:val="right" w:leader="dot" w:pos="8380"/>
        </w:tabs>
        <w:spacing w:line="576" w:lineRule="exact"/>
        <w:ind w:left="320" w:leftChars="100" w:firstLine="0"/>
        <w:rPr>
          <w:rFonts w:ascii="Times New Roman" w:hAnsi="Times New Roman" w:eastAsia="方正黑体_GBK"/>
          <w:smallCaps w:val="0"/>
          <w:sz w:val="24"/>
          <w:szCs w:val="24"/>
        </w:rPr>
      </w:pPr>
      <w:r>
        <w:fldChar w:fldCharType="begin"/>
      </w:r>
      <w:r>
        <w:instrText xml:space="preserve"> HYPERLINK \l "_Toc158043573" </w:instrText>
      </w:r>
      <w:r>
        <w:fldChar w:fldCharType="separate"/>
      </w:r>
      <w:r>
        <w:rPr>
          <w:rStyle w:val="17"/>
          <w:rFonts w:ascii="Times New Roman" w:hAnsi="Times New Roman" w:eastAsia="方正黑体_GBK"/>
          <w:sz w:val="24"/>
          <w:szCs w:val="24"/>
          <w:lang w:bidi="ar"/>
        </w:rPr>
        <w:t>附表16綦江中心城区近期给水设施规划一览表</w:t>
      </w:r>
      <w:r>
        <w:rPr>
          <w:rFonts w:ascii="Times New Roman" w:hAnsi="Times New Roman" w:eastAsia="方正黑体_GBK"/>
          <w:sz w:val="24"/>
          <w:szCs w:val="24"/>
        </w:rPr>
        <w:tab/>
      </w:r>
      <w:r>
        <w:rPr>
          <w:rFonts w:ascii="Times New Roman" w:hAnsi="Times New Roman" w:eastAsia="方正黑体_GBK"/>
          <w:sz w:val="24"/>
          <w:szCs w:val="24"/>
        </w:rPr>
        <w:fldChar w:fldCharType="begin"/>
      </w:r>
      <w:r>
        <w:rPr>
          <w:rFonts w:ascii="Times New Roman" w:hAnsi="Times New Roman" w:eastAsia="方正黑体_GBK"/>
          <w:sz w:val="24"/>
          <w:szCs w:val="24"/>
        </w:rPr>
        <w:instrText xml:space="preserve"> PAGEREF _Toc158043573 \h </w:instrText>
      </w:r>
      <w:r>
        <w:rPr>
          <w:rFonts w:ascii="Times New Roman" w:hAnsi="Times New Roman" w:eastAsia="方正黑体_GBK"/>
          <w:sz w:val="24"/>
          <w:szCs w:val="24"/>
        </w:rPr>
        <w:fldChar w:fldCharType="separate"/>
      </w:r>
      <w:r>
        <w:rPr>
          <w:rFonts w:ascii="Times New Roman" w:hAnsi="Times New Roman" w:eastAsia="方正黑体_GBK"/>
          <w:sz w:val="24"/>
          <w:szCs w:val="24"/>
        </w:rPr>
        <w:t>100</w:t>
      </w:r>
      <w:r>
        <w:rPr>
          <w:rFonts w:ascii="Times New Roman" w:hAnsi="Times New Roman" w:eastAsia="方正黑体_GBK"/>
          <w:sz w:val="24"/>
          <w:szCs w:val="24"/>
        </w:rPr>
        <w:fldChar w:fldCharType="end"/>
      </w:r>
      <w:r>
        <w:rPr>
          <w:rFonts w:ascii="Times New Roman" w:hAnsi="Times New Roman" w:eastAsia="方正黑体_GBK"/>
          <w:sz w:val="24"/>
          <w:szCs w:val="24"/>
        </w:rPr>
        <w:fldChar w:fldCharType="end"/>
      </w:r>
    </w:p>
    <w:p>
      <w:pPr>
        <w:pStyle w:val="12"/>
        <w:tabs>
          <w:tab w:val="right" w:leader="dot" w:pos="8380"/>
        </w:tabs>
        <w:spacing w:line="576" w:lineRule="exact"/>
        <w:ind w:left="320" w:leftChars="100" w:firstLine="0"/>
        <w:rPr>
          <w:rFonts w:ascii="Times New Roman" w:hAnsi="Times New Roman" w:eastAsia="方正黑体_GBK"/>
          <w:smallCaps w:val="0"/>
          <w:sz w:val="24"/>
          <w:szCs w:val="24"/>
        </w:rPr>
      </w:pPr>
      <w:r>
        <w:fldChar w:fldCharType="begin"/>
      </w:r>
      <w:r>
        <w:instrText xml:space="preserve"> HYPERLINK \l "_Toc158043574" </w:instrText>
      </w:r>
      <w:r>
        <w:fldChar w:fldCharType="separate"/>
      </w:r>
      <w:r>
        <w:rPr>
          <w:rStyle w:val="17"/>
          <w:rFonts w:ascii="Times New Roman" w:hAnsi="Times New Roman" w:eastAsia="方正黑体_GBK"/>
          <w:sz w:val="24"/>
          <w:szCs w:val="24"/>
          <w:lang w:bidi="ar"/>
        </w:rPr>
        <w:t>附表17綦江中心城区近期应急避难场所对口消防站一览表</w:t>
      </w:r>
      <w:r>
        <w:rPr>
          <w:rFonts w:ascii="Times New Roman" w:hAnsi="Times New Roman" w:eastAsia="方正黑体_GBK"/>
          <w:sz w:val="24"/>
          <w:szCs w:val="24"/>
        </w:rPr>
        <w:tab/>
      </w:r>
      <w:r>
        <w:rPr>
          <w:rFonts w:ascii="Times New Roman" w:hAnsi="Times New Roman" w:eastAsia="方正黑体_GBK"/>
          <w:sz w:val="24"/>
          <w:szCs w:val="24"/>
        </w:rPr>
        <w:fldChar w:fldCharType="begin"/>
      </w:r>
      <w:r>
        <w:rPr>
          <w:rFonts w:ascii="Times New Roman" w:hAnsi="Times New Roman" w:eastAsia="方正黑体_GBK"/>
          <w:sz w:val="24"/>
          <w:szCs w:val="24"/>
        </w:rPr>
        <w:instrText xml:space="preserve"> PAGEREF _Toc158043574 \h </w:instrText>
      </w:r>
      <w:r>
        <w:rPr>
          <w:rFonts w:ascii="Times New Roman" w:hAnsi="Times New Roman" w:eastAsia="方正黑体_GBK"/>
          <w:sz w:val="24"/>
          <w:szCs w:val="24"/>
        </w:rPr>
        <w:fldChar w:fldCharType="separate"/>
      </w:r>
      <w:r>
        <w:rPr>
          <w:rFonts w:ascii="Times New Roman" w:hAnsi="Times New Roman" w:eastAsia="方正黑体_GBK"/>
          <w:sz w:val="24"/>
          <w:szCs w:val="24"/>
        </w:rPr>
        <w:t>101</w:t>
      </w:r>
      <w:r>
        <w:rPr>
          <w:rFonts w:ascii="Times New Roman" w:hAnsi="Times New Roman" w:eastAsia="方正黑体_GBK"/>
          <w:sz w:val="24"/>
          <w:szCs w:val="24"/>
        </w:rPr>
        <w:fldChar w:fldCharType="end"/>
      </w:r>
      <w:r>
        <w:rPr>
          <w:rFonts w:ascii="Times New Roman" w:hAnsi="Times New Roman" w:eastAsia="方正黑体_GBK"/>
          <w:sz w:val="24"/>
          <w:szCs w:val="24"/>
        </w:rPr>
        <w:fldChar w:fldCharType="end"/>
      </w:r>
    </w:p>
    <w:p>
      <w:pPr>
        <w:pStyle w:val="12"/>
        <w:tabs>
          <w:tab w:val="right" w:leader="dot" w:pos="8380"/>
        </w:tabs>
        <w:spacing w:line="576" w:lineRule="exact"/>
        <w:ind w:left="320" w:leftChars="100" w:firstLine="0"/>
        <w:rPr>
          <w:rFonts w:ascii="Times New Roman" w:hAnsi="Times New Roman" w:eastAsiaTheme="minorEastAsia"/>
          <w:smallCaps w:val="0"/>
          <w:sz w:val="21"/>
          <w:szCs w:val="22"/>
        </w:rPr>
      </w:pPr>
      <w:r>
        <w:fldChar w:fldCharType="begin"/>
      </w:r>
      <w:r>
        <w:instrText xml:space="preserve"> HYPERLINK \l "_Toc158043575" </w:instrText>
      </w:r>
      <w:r>
        <w:fldChar w:fldCharType="separate"/>
      </w:r>
      <w:r>
        <w:rPr>
          <w:rStyle w:val="17"/>
          <w:rFonts w:ascii="Times New Roman" w:hAnsi="Times New Roman" w:eastAsia="方正黑体_GBK"/>
          <w:sz w:val="24"/>
          <w:szCs w:val="24"/>
          <w:lang w:bidi="ar"/>
        </w:rPr>
        <w:t>附表18綦江中心城区近期应急避难场所一览表</w:t>
      </w:r>
      <w:r>
        <w:rPr>
          <w:rFonts w:ascii="Times New Roman" w:hAnsi="Times New Roman" w:eastAsia="方正黑体_GBK"/>
          <w:sz w:val="24"/>
          <w:szCs w:val="24"/>
        </w:rPr>
        <w:tab/>
      </w:r>
      <w:r>
        <w:rPr>
          <w:rFonts w:ascii="Times New Roman" w:hAnsi="Times New Roman" w:eastAsia="方正黑体_GBK"/>
          <w:sz w:val="24"/>
          <w:szCs w:val="24"/>
        </w:rPr>
        <w:fldChar w:fldCharType="begin"/>
      </w:r>
      <w:r>
        <w:rPr>
          <w:rFonts w:ascii="Times New Roman" w:hAnsi="Times New Roman" w:eastAsia="方正黑体_GBK"/>
          <w:sz w:val="24"/>
          <w:szCs w:val="24"/>
        </w:rPr>
        <w:instrText xml:space="preserve"> PAGEREF _Toc158043575 \h </w:instrText>
      </w:r>
      <w:r>
        <w:rPr>
          <w:rFonts w:ascii="Times New Roman" w:hAnsi="Times New Roman" w:eastAsia="方正黑体_GBK"/>
          <w:sz w:val="24"/>
          <w:szCs w:val="24"/>
        </w:rPr>
        <w:fldChar w:fldCharType="separate"/>
      </w:r>
      <w:r>
        <w:rPr>
          <w:rFonts w:ascii="Times New Roman" w:hAnsi="Times New Roman" w:eastAsia="方正黑体_GBK"/>
          <w:sz w:val="24"/>
          <w:szCs w:val="24"/>
        </w:rPr>
        <w:t>102</w:t>
      </w:r>
      <w:r>
        <w:rPr>
          <w:rFonts w:ascii="Times New Roman" w:hAnsi="Times New Roman" w:eastAsia="方正黑体_GBK"/>
          <w:sz w:val="24"/>
          <w:szCs w:val="24"/>
        </w:rPr>
        <w:fldChar w:fldCharType="end"/>
      </w:r>
      <w:r>
        <w:rPr>
          <w:rFonts w:ascii="Times New Roman" w:hAnsi="Times New Roman" w:eastAsia="方正黑体_GBK"/>
          <w:sz w:val="24"/>
          <w:szCs w:val="24"/>
        </w:rPr>
        <w:fldChar w:fldCharType="end"/>
      </w:r>
    </w:p>
    <w:p>
      <w:pPr>
        <w:pStyle w:val="2"/>
        <w:ind w:left="320" w:leftChars="100"/>
      </w:pPr>
      <w:r>
        <w:fldChar w:fldCharType="end"/>
      </w:r>
      <w:r>
        <w:br w:type="page"/>
      </w:r>
    </w:p>
    <w:p>
      <w:pPr>
        <w:pStyle w:val="2"/>
        <w:ind w:firstLine="0" w:firstLineChars="0"/>
        <w:jc w:val="left"/>
        <w:rPr>
          <w:rFonts w:eastAsia="方正黑体_GBK"/>
        </w:rPr>
      </w:pPr>
      <w:r>
        <w:rPr>
          <w:rFonts w:eastAsia="方正黑体_GBK"/>
        </w:rPr>
        <w:t>附图</w:t>
      </w:r>
    </w:p>
    <w:p>
      <w:pPr>
        <w:pStyle w:val="12"/>
        <w:tabs>
          <w:tab w:val="right" w:leader="dot" w:pos="8380"/>
        </w:tabs>
        <w:spacing w:line="576" w:lineRule="exact"/>
        <w:ind w:left="320" w:leftChars="100" w:firstLine="0"/>
        <w:rPr>
          <w:rStyle w:val="17"/>
          <w:rFonts w:ascii="Times New Roman" w:hAnsi="Times New Roman" w:eastAsia="方正黑体_GBK"/>
          <w:sz w:val="24"/>
          <w:szCs w:val="24"/>
          <w:lang w:bidi="ar"/>
        </w:rPr>
      </w:pPr>
      <w:r>
        <w:rPr>
          <w:rFonts w:ascii="Times New Roman" w:hAnsi="Times New Roman"/>
        </w:rPr>
        <w:fldChar w:fldCharType="begin"/>
      </w:r>
      <w:r>
        <w:rPr>
          <w:rFonts w:ascii="Times New Roman" w:hAnsi="Times New Roman"/>
        </w:rPr>
        <w:instrText xml:space="preserve"> TOC \h \z \c "图" </w:instrText>
      </w:r>
      <w:r>
        <w:rPr>
          <w:rFonts w:ascii="Times New Roman" w:hAnsi="Times New Roman"/>
        </w:rPr>
        <w:fldChar w:fldCharType="separate"/>
      </w:r>
      <w:r>
        <w:fldChar w:fldCharType="begin"/>
      </w:r>
      <w:r>
        <w:instrText xml:space="preserve"> HYPERLINK \l "_Toc158044917" </w:instrText>
      </w:r>
      <w:r>
        <w:fldChar w:fldCharType="separate"/>
      </w:r>
      <w:r>
        <w:rPr>
          <w:rStyle w:val="17"/>
          <w:rFonts w:ascii="Times New Roman" w:hAnsi="Times New Roman" w:eastAsia="方正黑体_GBK"/>
          <w:sz w:val="24"/>
          <w:szCs w:val="24"/>
          <w:lang w:bidi="ar"/>
        </w:rPr>
        <w:t>附图 1城市区位关系图</w:t>
      </w:r>
      <w:r>
        <w:rPr>
          <w:rStyle w:val="17"/>
          <w:rFonts w:ascii="Times New Roman" w:hAnsi="Times New Roman" w:eastAsia="方正黑体_GBK"/>
          <w:sz w:val="24"/>
          <w:szCs w:val="24"/>
          <w:lang w:bidi="ar"/>
        </w:rPr>
        <w:tab/>
      </w:r>
      <w:r>
        <w:rPr>
          <w:rStyle w:val="17"/>
          <w:rFonts w:ascii="Times New Roman" w:hAnsi="Times New Roman" w:eastAsia="方正黑体_GBK"/>
          <w:sz w:val="24"/>
          <w:szCs w:val="24"/>
          <w:lang w:bidi="ar"/>
        </w:rPr>
        <w:fldChar w:fldCharType="begin"/>
      </w:r>
      <w:r>
        <w:rPr>
          <w:rStyle w:val="17"/>
          <w:rFonts w:ascii="Times New Roman" w:hAnsi="Times New Roman" w:eastAsia="方正黑体_GBK"/>
          <w:sz w:val="24"/>
          <w:szCs w:val="24"/>
          <w:lang w:bidi="ar"/>
        </w:rPr>
        <w:instrText xml:space="preserve"> PAGEREF _Toc158044917 \h </w:instrText>
      </w:r>
      <w:r>
        <w:rPr>
          <w:rStyle w:val="17"/>
          <w:rFonts w:ascii="Times New Roman" w:hAnsi="Times New Roman" w:eastAsia="方正黑体_GBK"/>
          <w:sz w:val="24"/>
          <w:szCs w:val="24"/>
          <w:lang w:bidi="ar"/>
        </w:rPr>
        <w:fldChar w:fldCharType="separate"/>
      </w:r>
      <w:r>
        <w:rPr>
          <w:rStyle w:val="17"/>
          <w:rFonts w:ascii="Times New Roman" w:hAnsi="Times New Roman" w:eastAsia="方正黑体_GBK"/>
          <w:sz w:val="24"/>
          <w:szCs w:val="24"/>
          <w:lang w:bidi="ar"/>
        </w:rPr>
        <w:t>103</w:t>
      </w:r>
      <w:r>
        <w:rPr>
          <w:rStyle w:val="17"/>
          <w:rFonts w:ascii="Times New Roman" w:hAnsi="Times New Roman" w:eastAsia="方正黑体_GBK"/>
          <w:sz w:val="24"/>
          <w:szCs w:val="24"/>
          <w:lang w:bidi="ar"/>
        </w:rPr>
        <w:fldChar w:fldCharType="end"/>
      </w:r>
      <w:r>
        <w:rPr>
          <w:rStyle w:val="17"/>
          <w:rFonts w:ascii="Times New Roman" w:hAnsi="Times New Roman" w:eastAsia="方正黑体_GBK"/>
          <w:sz w:val="24"/>
          <w:szCs w:val="24"/>
          <w:lang w:bidi="ar"/>
        </w:rPr>
        <w:fldChar w:fldCharType="end"/>
      </w:r>
    </w:p>
    <w:p>
      <w:pPr>
        <w:pStyle w:val="12"/>
        <w:tabs>
          <w:tab w:val="right" w:leader="dot" w:pos="8380"/>
        </w:tabs>
        <w:spacing w:line="576" w:lineRule="exact"/>
        <w:ind w:left="320" w:leftChars="100" w:firstLine="0"/>
        <w:rPr>
          <w:rStyle w:val="17"/>
          <w:rFonts w:ascii="Times New Roman" w:hAnsi="Times New Roman" w:eastAsia="方正黑体_GBK"/>
          <w:sz w:val="24"/>
          <w:szCs w:val="24"/>
          <w:lang w:bidi="ar"/>
        </w:rPr>
      </w:pPr>
      <w:r>
        <w:fldChar w:fldCharType="begin"/>
      </w:r>
      <w:r>
        <w:instrText xml:space="preserve"> HYPERLINK \l "_Toc158044918" </w:instrText>
      </w:r>
      <w:r>
        <w:fldChar w:fldCharType="separate"/>
      </w:r>
      <w:r>
        <w:rPr>
          <w:rStyle w:val="17"/>
          <w:rFonts w:ascii="Times New Roman" w:hAnsi="Times New Roman" w:eastAsia="方正黑体_GBK"/>
          <w:sz w:val="24"/>
          <w:szCs w:val="24"/>
          <w:lang w:bidi="ar"/>
        </w:rPr>
        <w:t>附图 2中心城区地震动参数区规划图</w:t>
      </w:r>
      <w:r>
        <w:rPr>
          <w:rStyle w:val="17"/>
          <w:rFonts w:ascii="Times New Roman" w:hAnsi="Times New Roman" w:eastAsia="方正黑体_GBK"/>
          <w:sz w:val="24"/>
          <w:szCs w:val="24"/>
          <w:lang w:bidi="ar"/>
        </w:rPr>
        <w:tab/>
      </w:r>
      <w:r>
        <w:rPr>
          <w:rStyle w:val="17"/>
          <w:rFonts w:ascii="Times New Roman" w:hAnsi="Times New Roman" w:eastAsia="方正黑体_GBK"/>
          <w:sz w:val="24"/>
          <w:szCs w:val="24"/>
          <w:lang w:bidi="ar"/>
        </w:rPr>
        <w:fldChar w:fldCharType="begin"/>
      </w:r>
      <w:r>
        <w:rPr>
          <w:rStyle w:val="17"/>
          <w:rFonts w:ascii="Times New Roman" w:hAnsi="Times New Roman" w:eastAsia="方正黑体_GBK"/>
          <w:sz w:val="24"/>
          <w:szCs w:val="24"/>
          <w:lang w:bidi="ar"/>
        </w:rPr>
        <w:instrText xml:space="preserve"> PAGEREF _Toc158044918 \h </w:instrText>
      </w:r>
      <w:r>
        <w:rPr>
          <w:rStyle w:val="17"/>
          <w:rFonts w:ascii="Times New Roman" w:hAnsi="Times New Roman" w:eastAsia="方正黑体_GBK"/>
          <w:sz w:val="24"/>
          <w:szCs w:val="24"/>
          <w:lang w:bidi="ar"/>
        </w:rPr>
        <w:fldChar w:fldCharType="separate"/>
      </w:r>
      <w:r>
        <w:rPr>
          <w:rStyle w:val="17"/>
          <w:rFonts w:ascii="Times New Roman" w:hAnsi="Times New Roman" w:eastAsia="方正黑体_GBK"/>
          <w:sz w:val="24"/>
          <w:szCs w:val="24"/>
          <w:lang w:bidi="ar"/>
        </w:rPr>
        <w:t>104</w:t>
      </w:r>
      <w:r>
        <w:rPr>
          <w:rStyle w:val="17"/>
          <w:rFonts w:ascii="Times New Roman" w:hAnsi="Times New Roman" w:eastAsia="方正黑体_GBK"/>
          <w:sz w:val="24"/>
          <w:szCs w:val="24"/>
          <w:lang w:bidi="ar"/>
        </w:rPr>
        <w:fldChar w:fldCharType="end"/>
      </w:r>
      <w:r>
        <w:rPr>
          <w:rStyle w:val="17"/>
          <w:rFonts w:ascii="Times New Roman" w:hAnsi="Times New Roman" w:eastAsia="方正黑体_GBK"/>
          <w:sz w:val="24"/>
          <w:szCs w:val="24"/>
          <w:lang w:bidi="ar"/>
        </w:rPr>
        <w:fldChar w:fldCharType="end"/>
      </w:r>
    </w:p>
    <w:p>
      <w:pPr>
        <w:pStyle w:val="12"/>
        <w:tabs>
          <w:tab w:val="right" w:leader="dot" w:pos="8380"/>
        </w:tabs>
        <w:spacing w:line="576" w:lineRule="exact"/>
        <w:ind w:left="320" w:leftChars="100" w:firstLine="0"/>
        <w:rPr>
          <w:rStyle w:val="17"/>
          <w:rFonts w:ascii="Times New Roman" w:hAnsi="Times New Roman" w:eastAsia="方正黑体_GBK"/>
          <w:sz w:val="24"/>
          <w:szCs w:val="24"/>
          <w:lang w:bidi="ar"/>
        </w:rPr>
      </w:pPr>
      <w:r>
        <w:fldChar w:fldCharType="begin"/>
      </w:r>
      <w:r>
        <w:instrText xml:space="preserve"> HYPERLINK \l "_Toc158044919" </w:instrText>
      </w:r>
      <w:r>
        <w:fldChar w:fldCharType="separate"/>
      </w:r>
      <w:r>
        <w:rPr>
          <w:rStyle w:val="17"/>
          <w:rFonts w:ascii="Times New Roman" w:hAnsi="Times New Roman" w:eastAsia="方正黑体_GBK"/>
          <w:sz w:val="24"/>
          <w:szCs w:val="24"/>
          <w:lang w:bidi="ar"/>
        </w:rPr>
        <w:t>附图 3中心城区场地类别划分图</w:t>
      </w:r>
      <w:r>
        <w:rPr>
          <w:rStyle w:val="17"/>
          <w:rFonts w:ascii="Times New Roman" w:hAnsi="Times New Roman" w:eastAsia="方正黑体_GBK"/>
          <w:sz w:val="24"/>
          <w:szCs w:val="24"/>
          <w:lang w:bidi="ar"/>
        </w:rPr>
        <w:tab/>
      </w:r>
      <w:r>
        <w:rPr>
          <w:rStyle w:val="17"/>
          <w:rFonts w:ascii="Times New Roman" w:hAnsi="Times New Roman" w:eastAsia="方正黑体_GBK"/>
          <w:sz w:val="24"/>
          <w:szCs w:val="24"/>
          <w:lang w:bidi="ar"/>
        </w:rPr>
        <w:fldChar w:fldCharType="begin"/>
      </w:r>
      <w:r>
        <w:rPr>
          <w:rStyle w:val="17"/>
          <w:rFonts w:ascii="Times New Roman" w:hAnsi="Times New Roman" w:eastAsia="方正黑体_GBK"/>
          <w:sz w:val="24"/>
          <w:szCs w:val="24"/>
          <w:lang w:bidi="ar"/>
        </w:rPr>
        <w:instrText xml:space="preserve"> PAGEREF _Toc158044919 \h </w:instrText>
      </w:r>
      <w:r>
        <w:rPr>
          <w:rStyle w:val="17"/>
          <w:rFonts w:ascii="Times New Roman" w:hAnsi="Times New Roman" w:eastAsia="方正黑体_GBK"/>
          <w:sz w:val="24"/>
          <w:szCs w:val="24"/>
          <w:lang w:bidi="ar"/>
        </w:rPr>
        <w:fldChar w:fldCharType="separate"/>
      </w:r>
      <w:r>
        <w:rPr>
          <w:rStyle w:val="17"/>
          <w:rFonts w:ascii="Times New Roman" w:hAnsi="Times New Roman" w:eastAsia="方正黑体_GBK"/>
          <w:sz w:val="24"/>
          <w:szCs w:val="24"/>
          <w:lang w:bidi="ar"/>
        </w:rPr>
        <w:t>105</w:t>
      </w:r>
      <w:r>
        <w:rPr>
          <w:rStyle w:val="17"/>
          <w:rFonts w:ascii="Times New Roman" w:hAnsi="Times New Roman" w:eastAsia="方正黑体_GBK"/>
          <w:sz w:val="24"/>
          <w:szCs w:val="24"/>
          <w:lang w:bidi="ar"/>
        </w:rPr>
        <w:fldChar w:fldCharType="end"/>
      </w:r>
      <w:r>
        <w:rPr>
          <w:rStyle w:val="17"/>
          <w:rFonts w:ascii="Times New Roman" w:hAnsi="Times New Roman" w:eastAsia="方正黑体_GBK"/>
          <w:sz w:val="24"/>
          <w:szCs w:val="24"/>
          <w:lang w:bidi="ar"/>
        </w:rPr>
        <w:fldChar w:fldCharType="end"/>
      </w:r>
    </w:p>
    <w:p>
      <w:pPr>
        <w:pStyle w:val="12"/>
        <w:tabs>
          <w:tab w:val="right" w:leader="dot" w:pos="8380"/>
        </w:tabs>
        <w:spacing w:line="576" w:lineRule="exact"/>
        <w:ind w:left="320" w:leftChars="100" w:firstLine="0"/>
        <w:rPr>
          <w:rStyle w:val="17"/>
          <w:rFonts w:ascii="Times New Roman" w:hAnsi="Times New Roman" w:eastAsia="方正黑体_GBK"/>
          <w:sz w:val="24"/>
          <w:szCs w:val="24"/>
          <w:lang w:bidi="ar"/>
        </w:rPr>
      </w:pPr>
      <w:r>
        <w:fldChar w:fldCharType="begin"/>
      </w:r>
      <w:r>
        <w:instrText xml:space="preserve"> HYPERLINK \l "_Toc158044920" </w:instrText>
      </w:r>
      <w:r>
        <w:fldChar w:fldCharType="separate"/>
      </w:r>
      <w:r>
        <w:rPr>
          <w:rStyle w:val="17"/>
          <w:rFonts w:ascii="Times New Roman" w:hAnsi="Times New Roman" w:eastAsia="方正黑体_GBK"/>
          <w:sz w:val="24"/>
          <w:szCs w:val="24"/>
          <w:lang w:bidi="ar"/>
        </w:rPr>
        <w:t>附图 4中心城区用地适宜性评价图</w:t>
      </w:r>
      <w:r>
        <w:rPr>
          <w:rStyle w:val="17"/>
          <w:rFonts w:ascii="Times New Roman" w:hAnsi="Times New Roman" w:eastAsia="方正黑体_GBK"/>
          <w:sz w:val="24"/>
          <w:szCs w:val="24"/>
          <w:lang w:bidi="ar"/>
        </w:rPr>
        <w:tab/>
      </w:r>
      <w:r>
        <w:rPr>
          <w:rStyle w:val="17"/>
          <w:rFonts w:ascii="Times New Roman" w:hAnsi="Times New Roman" w:eastAsia="方正黑体_GBK"/>
          <w:sz w:val="24"/>
          <w:szCs w:val="24"/>
          <w:lang w:bidi="ar"/>
        </w:rPr>
        <w:fldChar w:fldCharType="begin"/>
      </w:r>
      <w:r>
        <w:rPr>
          <w:rStyle w:val="17"/>
          <w:rFonts w:ascii="Times New Roman" w:hAnsi="Times New Roman" w:eastAsia="方正黑体_GBK"/>
          <w:sz w:val="24"/>
          <w:szCs w:val="24"/>
          <w:lang w:bidi="ar"/>
        </w:rPr>
        <w:instrText xml:space="preserve"> PAGEREF _Toc158044920 \h </w:instrText>
      </w:r>
      <w:r>
        <w:rPr>
          <w:rStyle w:val="17"/>
          <w:rFonts w:ascii="Times New Roman" w:hAnsi="Times New Roman" w:eastAsia="方正黑体_GBK"/>
          <w:sz w:val="24"/>
          <w:szCs w:val="24"/>
          <w:lang w:bidi="ar"/>
        </w:rPr>
        <w:fldChar w:fldCharType="separate"/>
      </w:r>
      <w:r>
        <w:rPr>
          <w:rStyle w:val="17"/>
          <w:rFonts w:ascii="Times New Roman" w:hAnsi="Times New Roman" w:eastAsia="方正黑体_GBK"/>
          <w:sz w:val="24"/>
          <w:szCs w:val="24"/>
          <w:lang w:bidi="ar"/>
        </w:rPr>
        <w:t>106</w:t>
      </w:r>
      <w:r>
        <w:rPr>
          <w:rStyle w:val="17"/>
          <w:rFonts w:ascii="Times New Roman" w:hAnsi="Times New Roman" w:eastAsia="方正黑体_GBK"/>
          <w:sz w:val="24"/>
          <w:szCs w:val="24"/>
          <w:lang w:bidi="ar"/>
        </w:rPr>
        <w:fldChar w:fldCharType="end"/>
      </w:r>
      <w:r>
        <w:rPr>
          <w:rStyle w:val="17"/>
          <w:rFonts w:ascii="Times New Roman" w:hAnsi="Times New Roman" w:eastAsia="方正黑体_GBK"/>
          <w:sz w:val="24"/>
          <w:szCs w:val="24"/>
          <w:lang w:bidi="ar"/>
        </w:rPr>
        <w:fldChar w:fldCharType="end"/>
      </w:r>
    </w:p>
    <w:p>
      <w:pPr>
        <w:pStyle w:val="12"/>
        <w:tabs>
          <w:tab w:val="right" w:leader="dot" w:pos="8380"/>
        </w:tabs>
        <w:spacing w:line="576" w:lineRule="exact"/>
        <w:ind w:left="320" w:leftChars="100" w:firstLine="0"/>
        <w:rPr>
          <w:rStyle w:val="17"/>
          <w:rFonts w:ascii="Times New Roman" w:hAnsi="Times New Roman" w:eastAsia="方正黑体_GBK"/>
          <w:sz w:val="24"/>
          <w:szCs w:val="24"/>
          <w:lang w:bidi="ar"/>
        </w:rPr>
      </w:pPr>
      <w:r>
        <w:fldChar w:fldCharType="begin"/>
      </w:r>
      <w:r>
        <w:instrText xml:space="preserve"> HYPERLINK \l "_Toc158044921" </w:instrText>
      </w:r>
      <w:r>
        <w:fldChar w:fldCharType="separate"/>
      </w:r>
      <w:r>
        <w:rPr>
          <w:rStyle w:val="17"/>
          <w:rFonts w:ascii="Times New Roman" w:hAnsi="Times New Roman" w:eastAsia="方正黑体_GBK"/>
          <w:sz w:val="24"/>
          <w:szCs w:val="24"/>
          <w:lang w:bidi="ar"/>
        </w:rPr>
        <w:t>附图 5中心城区用地规划图</w:t>
      </w:r>
      <w:r>
        <w:rPr>
          <w:rStyle w:val="17"/>
          <w:rFonts w:ascii="Times New Roman" w:hAnsi="Times New Roman" w:eastAsia="方正黑体_GBK"/>
          <w:sz w:val="24"/>
          <w:szCs w:val="24"/>
          <w:lang w:bidi="ar"/>
        </w:rPr>
        <w:tab/>
      </w:r>
      <w:r>
        <w:rPr>
          <w:rStyle w:val="17"/>
          <w:rFonts w:ascii="Times New Roman" w:hAnsi="Times New Roman" w:eastAsia="方正黑体_GBK"/>
          <w:sz w:val="24"/>
          <w:szCs w:val="24"/>
          <w:lang w:bidi="ar"/>
        </w:rPr>
        <w:fldChar w:fldCharType="begin"/>
      </w:r>
      <w:r>
        <w:rPr>
          <w:rStyle w:val="17"/>
          <w:rFonts w:ascii="Times New Roman" w:hAnsi="Times New Roman" w:eastAsia="方正黑体_GBK"/>
          <w:sz w:val="24"/>
          <w:szCs w:val="24"/>
          <w:lang w:bidi="ar"/>
        </w:rPr>
        <w:instrText xml:space="preserve"> PAGEREF _Toc158044921 \h </w:instrText>
      </w:r>
      <w:r>
        <w:rPr>
          <w:rStyle w:val="17"/>
          <w:rFonts w:ascii="Times New Roman" w:hAnsi="Times New Roman" w:eastAsia="方正黑体_GBK"/>
          <w:sz w:val="24"/>
          <w:szCs w:val="24"/>
          <w:lang w:bidi="ar"/>
        </w:rPr>
        <w:fldChar w:fldCharType="separate"/>
      </w:r>
      <w:r>
        <w:rPr>
          <w:rStyle w:val="17"/>
          <w:rFonts w:ascii="Times New Roman" w:hAnsi="Times New Roman" w:eastAsia="方正黑体_GBK"/>
          <w:sz w:val="24"/>
          <w:szCs w:val="24"/>
          <w:lang w:bidi="ar"/>
        </w:rPr>
        <w:t>107</w:t>
      </w:r>
      <w:r>
        <w:rPr>
          <w:rStyle w:val="17"/>
          <w:rFonts w:ascii="Times New Roman" w:hAnsi="Times New Roman" w:eastAsia="方正黑体_GBK"/>
          <w:sz w:val="24"/>
          <w:szCs w:val="24"/>
          <w:lang w:bidi="ar"/>
        </w:rPr>
        <w:fldChar w:fldCharType="end"/>
      </w:r>
      <w:r>
        <w:rPr>
          <w:rStyle w:val="17"/>
          <w:rFonts w:ascii="Times New Roman" w:hAnsi="Times New Roman" w:eastAsia="方正黑体_GBK"/>
          <w:sz w:val="24"/>
          <w:szCs w:val="24"/>
          <w:lang w:bidi="ar"/>
        </w:rPr>
        <w:fldChar w:fldCharType="end"/>
      </w:r>
    </w:p>
    <w:p>
      <w:pPr>
        <w:pStyle w:val="12"/>
        <w:tabs>
          <w:tab w:val="right" w:leader="dot" w:pos="8380"/>
        </w:tabs>
        <w:spacing w:line="576" w:lineRule="exact"/>
        <w:ind w:left="320" w:leftChars="100" w:firstLine="0"/>
        <w:rPr>
          <w:rStyle w:val="17"/>
          <w:rFonts w:ascii="Times New Roman" w:hAnsi="Times New Roman" w:eastAsia="方正黑体_GBK"/>
          <w:sz w:val="24"/>
          <w:szCs w:val="24"/>
          <w:lang w:bidi="ar"/>
        </w:rPr>
      </w:pPr>
      <w:r>
        <w:fldChar w:fldCharType="begin"/>
      </w:r>
      <w:r>
        <w:instrText xml:space="preserve"> HYPERLINK \l "_Toc158044922" </w:instrText>
      </w:r>
      <w:r>
        <w:fldChar w:fldCharType="separate"/>
      </w:r>
      <w:r>
        <w:rPr>
          <w:rStyle w:val="17"/>
          <w:rFonts w:ascii="Times New Roman" w:hAnsi="Times New Roman" w:eastAsia="方正黑体_GBK"/>
          <w:sz w:val="24"/>
          <w:szCs w:val="24"/>
          <w:lang w:bidi="ar"/>
        </w:rPr>
        <w:t>附图 6中心城区防灾空间分区图</w:t>
      </w:r>
      <w:r>
        <w:rPr>
          <w:rStyle w:val="17"/>
          <w:rFonts w:ascii="Times New Roman" w:hAnsi="Times New Roman" w:eastAsia="方正黑体_GBK"/>
          <w:sz w:val="24"/>
          <w:szCs w:val="24"/>
          <w:lang w:bidi="ar"/>
        </w:rPr>
        <w:tab/>
      </w:r>
      <w:r>
        <w:rPr>
          <w:rStyle w:val="17"/>
          <w:rFonts w:ascii="Times New Roman" w:hAnsi="Times New Roman" w:eastAsia="方正黑体_GBK"/>
          <w:sz w:val="24"/>
          <w:szCs w:val="24"/>
          <w:lang w:bidi="ar"/>
        </w:rPr>
        <w:fldChar w:fldCharType="begin"/>
      </w:r>
      <w:r>
        <w:rPr>
          <w:rStyle w:val="17"/>
          <w:rFonts w:ascii="Times New Roman" w:hAnsi="Times New Roman" w:eastAsia="方正黑体_GBK"/>
          <w:sz w:val="24"/>
          <w:szCs w:val="24"/>
          <w:lang w:bidi="ar"/>
        </w:rPr>
        <w:instrText xml:space="preserve"> PAGEREF _Toc158044922 \h </w:instrText>
      </w:r>
      <w:r>
        <w:rPr>
          <w:rStyle w:val="17"/>
          <w:rFonts w:ascii="Times New Roman" w:hAnsi="Times New Roman" w:eastAsia="方正黑体_GBK"/>
          <w:sz w:val="24"/>
          <w:szCs w:val="24"/>
          <w:lang w:bidi="ar"/>
        </w:rPr>
        <w:fldChar w:fldCharType="separate"/>
      </w:r>
      <w:r>
        <w:rPr>
          <w:rStyle w:val="17"/>
          <w:rFonts w:ascii="Times New Roman" w:hAnsi="Times New Roman" w:eastAsia="方正黑体_GBK"/>
          <w:sz w:val="24"/>
          <w:szCs w:val="24"/>
          <w:lang w:bidi="ar"/>
        </w:rPr>
        <w:t>108</w:t>
      </w:r>
      <w:r>
        <w:rPr>
          <w:rStyle w:val="17"/>
          <w:rFonts w:ascii="Times New Roman" w:hAnsi="Times New Roman" w:eastAsia="方正黑体_GBK"/>
          <w:sz w:val="24"/>
          <w:szCs w:val="24"/>
          <w:lang w:bidi="ar"/>
        </w:rPr>
        <w:fldChar w:fldCharType="end"/>
      </w:r>
      <w:r>
        <w:rPr>
          <w:rStyle w:val="17"/>
          <w:rFonts w:ascii="Times New Roman" w:hAnsi="Times New Roman" w:eastAsia="方正黑体_GBK"/>
          <w:sz w:val="24"/>
          <w:szCs w:val="24"/>
          <w:lang w:bidi="ar"/>
        </w:rPr>
        <w:fldChar w:fldCharType="end"/>
      </w:r>
    </w:p>
    <w:p>
      <w:pPr>
        <w:pStyle w:val="12"/>
        <w:tabs>
          <w:tab w:val="right" w:leader="dot" w:pos="8380"/>
        </w:tabs>
        <w:spacing w:line="576" w:lineRule="exact"/>
        <w:ind w:left="320" w:leftChars="100" w:firstLine="0"/>
        <w:rPr>
          <w:rStyle w:val="17"/>
          <w:rFonts w:ascii="Times New Roman" w:hAnsi="Times New Roman" w:eastAsia="方正黑体_GBK"/>
          <w:sz w:val="24"/>
          <w:szCs w:val="24"/>
          <w:lang w:bidi="ar"/>
        </w:rPr>
      </w:pPr>
      <w:r>
        <w:fldChar w:fldCharType="begin"/>
      </w:r>
      <w:r>
        <w:instrText xml:space="preserve"> HYPERLINK \l "_Toc158044923" </w:instrText>
      </w:r>
      <w:r>
        <w:fldChar w:fldCharType="separate"/>
      </w:r>
      <w:r>
        <w:rPr>
          <w:rStyle w:val="17"/>
          <w:rFonts w:ascii="Times New Roman" w:hAnsi="Times New Roman" w:eastAsia="方正黑体_GBK"/>
          <w:sz w:val="24"/>
          <w:szCs w:val="24"/>
          <w:lang w:bidi="ar"/>
        </w:rPr>
        <w:t>附图 7中心城区救灾指挥机构分布图</w:t>
      </w:r>
      <w:r>
        <w:rPr>
          <w:rStyle w:val="17"/>
          <w:rFonts w:ascii="Times New Roman" w:hAnsi="Times New Roman" w:eastAsia="方正黑体_GBK"/>
          <w:sz w:val="24"/>
          <w:szCs w:val="24"/>
          <w:lang w:bidi="ar"/>
        </w:rPr>
        <w:tab/>
      </w:r>
      <w:r>
        <w:rPr>
          <w:rStyle w:val="17"/>
          <w:rFonts w:ascii="Times New Roman" w:hAnsi="Times New Roman" w:eastAsia="方正黑体_GBK"/>
          <w:sz w:val="24"/>
          <w:szCs w:val="24"/>
          <w:lang w:bidi="ar"/>
        </w:rPr>
        <w:fldChar w:fldCharType="begin"/>
      </w:r>
      <w:r>
        <w:rPr>
          <w:rStyle w:val="17"/>
          <w:rFonts w:ascii="Times New Roman" w:hAnsi="Times New Roman" w:eastAsia="方正黑体_GBK"/>
          <w:sz w:val="24"/>
          <w:szCs w:val="24"/>
          <w:lang w:bidi="ar"/>
        </w:rPr>
        <w:instrText xml:space="preserve"> PAGEREF _Toc158044923 \h </w:instrText>
      </w:r>
      <w:r>
        <w:rPr>
          <w:rStyle w:val="17"/>
          <w:rFonts w:ascii="Times New Roman" w:hAnsi="Times New Roman" w:eastAsia="方正黑体_GBK"/>
          <w:sz w:val="24"/>
          <w:szCs w:val="24"/>
          <w:lang w:bidi="ar"/>
        </w:rPr>
        <w:fldChar w:fldCharType="separate"/>
      </w:r>
      <w:r>
        <w:rPr>
          <w:rStyle w:val="17"/>
          <w:rFonts w:ascii="Times New Roman" w:hAnsi="Times New Roman" w:eastAsia="方正黑体_GBK"/>
          <w:sz w:val="24"/>
          <w:szCs w:val="24"/>
          <w:lang w:bidi="ar"/>
        </w:rPr>
        <w:t>109</w:t>
      </w:r>
      <w:r>
        <w:rPr>
          <w:rStyle w:val="17"/>
          <w:rFonts w:ascii="Times New Roman" w:hAnsi="Times New Roman" w:eastAsia="方正黑体_GBK"/>
          <w:sz w:val="24"/>
          <w:szCs w:val="24"/>
          <w:lang w:bidi="ar"/>
        </w:rPr>
        <w:fldChar w:fldCharType="end"/>
      </w:r>
      <w:r>
        <w:rPr>
          <w:rStyle w:val="17"/>
          <w:rFonts w:ascii="Times New Roman" w:hAnsi="Times New Roman" w:eastAsia="方正黑体_GBK"/>
          <w:sz w:val="24"/>
          <w:szCs w:val="24"/>
          <w:lang w:bidi="ar"/>
        </w:rPr>
        <w:fldChar w:fldCharType="end"/>
      </w:r>
    </w:p>
    <w:p>
      <w:pPr>
        <w:pStyle w:val="12"/>
        <w:tabs>
          <w:tab w:val="right" w:leader="dot" w:pos="8380"/>
        </w:tabs>
        <w:spacing w:line="576" w:lineRule="exact"/>
        <w:ind w:left="320" w:leftChars="100" w:firstLine="0"/>
        <w:rPr>
          <w:rStyle w:val="17"/>
          <w:rFonts w:ascii="Times New Roman" w:hAnsi="Times New Roman" w:eastAsia="方正黑体_GBK"/>
          <w:sz w:val="24"/>
          <w:szCs w:val="24"/>
          <w:lang w:bidi="ar"/>
        </w:rPr>
      </w:pPr>
      <w:r>
        <w:fldChar w:fldCharType="begin"/>
      </w:r>
      <w:r>
        <w:instrText xml:space="preserve"> HYPERLINK \l "_Toc158044924" </w:instrText>
      </w:r>
      <w:r>
        <w:fldChar w:fldCharType="separate"/>
      </w:r>
      <w:r>
        <w:rPr>
          <w:rStyle w:val="17"/>
          <w:rFonts w:ascii="Times New Roman" w:hAnsi="Times New Roman" w:eastAsia="方正黑体_GBK"/>
          <w:sz w:val="24"/>
          <w:szCs w:val="24"/>
          <w:lang w:bidi="ar"/>
        </w:rPr>
        <w:t>附图 8重要单位及超高层建筑分布图</w:t>
      </w:r>
      <w:r>
        <w:rPr>
          <w:rStyle w:val="17"/>
          <w:rFonts w:ascii="Times New Roman" w:hAnsi="Times New Roman" w:eastAsia="方正黑体_GBK"/>
          <w:sz w:val="24"/>
          <w:szCs w:val="24"/>
          <w:lang w:bidi="ar"/>
        </w:rPr>
        <w:tab/>
      </w:r>
      <w:r>
        <w:rPr>
          <w:rStyle w:val="17"/>
          <w:rFonts w:ascii="Times New Roman" w:hAnsi="Times New Roman" w:eastAsia="方正黑体_GBK"/>
          <w:sz w:val="24"/>
          <w:szCs w:val="24"/>
          <w:lang w:bidi="ar"/>
        </w:rPr>
        <w:fldChar w:fldCharType="begin"/>
      </w:r>
      <w:r>
        <w:rPr>
          <w:rStyle w:val="17"/>
          <w:rFonts w:ascii="Times New Roman" w:hAnsi="Times New Roman" w:eastAsia="方正黑体_GBK"/>
          <w:sz w:val="24"/>
          <w:szCs w:val="24"/>
          <w:lang w:bidi="ar"/>
        </w:rPr>
        <w:instrText xml:space="preserve"> PAGEREF _Toc158044924 \h </w:instrText>
      </w:r>
      <w:r>
        <w:rPr>
          <w:rStyle w:val="17"/>
          <w:rFonts w:ascii="Times New Roman" w:hAnsi="Times New Roman" w:eastAsia="方正黑体_GBK"/>
          <w:sz w:val="24"/>
          <w:szCs w:val="24"/>
          <w:lang w:bidi="ar"/>
        </w:rPr>
        <w:fldChar w:fldCharType="separate"/>
      </w:r>
      <w:r>
        <w:rPr>
          <w:rStyle w:val="17"/>
          <w:rFonts w:ascii="Times New Roman" w:hAnsi="Times New Roman" w:eastAsia="方正黑体_GBK"/>
          <w:sz w:val="24"/>
          <w:szCs w:val="24"/>
          <w:lang w:bidi="ar"/>
        </w:rPr>
        <w:t>110</w:t>
      </w:r>
      <w:r>
        <w:rPr>
          <w:rStyle w:val="17"/>
          <w:rFonts w:ascii="Times New Roman" w:hAnsi="Times New Roman" w:eastAsia="方正黑体_GBK"/>
          <w:sz w:val="24"/>
          <w:szCs w:val="24"/>
          <w:lang w:bidi="ar"/>
        </w:rPr>
        <w:fldChar w:fldCharType="end"/>
      </w:r>
      <w:r>
        <w:rPr>
          <w:rStyle w:val="17"/>
          <w:rFonts w:ascii="Times New Roman" w:hAnsi="Times New Roman" w:eastAsia="方正黑体_GBK"/>
          <w:sz w:val="24"/>
          <w:szCs w:val="24"/>
          <w:lang w:bidi="ar"/>
        </w:rPr>
        <w:fldChar w:fldCharType="end"/>
      </w:r>
    </w:p>
    <w:p>
      <w:pPr>
        <w:pStyle w:val="12"/>
        <w:tabs>
          <w:tab w:val="right" w:leader="dot" w:pos="8380"/>
        </w:tabs>
        <w:spacing w:line="576" w:lineRule="exact"/>
        <w:ind w:left="320" w:leftChars="100" w:firstLine="0"/>
        <w:rPr>
          <w:rStyle w:val="17"/>
          <w:rFonts w:ascii="Times New Roman" w:hAnsi="Times New Roman" w:eastAsia="方正黑体_GBK"/>
          <w:sz w:val="24"/>
          <w:szCs w:val="24"/>
          <w:lang w:bidi="ar"/>
        </w:rPr>
      </w:pPr>
      <w:r>
        <w:fldChar w:fldCharType="begin"/>
      </w:r>
      <w:r>
        <w:instrText xml:space="preserve"> HYPERLINK \l "_Toc158044925" </w:instrText>
      </w:r>
      <w:r>
        <w:fldChar w:fldCharType="separate"/>
      </w:r>
      <w:r>
        <w:rPr>
          <w:rStyle w:val="17"/>
          <w:rFonts w:ascii="Times New Roman" w:hAnsi="Times New Roman" w:eastAsia="方正黑体_GBK"/>
          <w:sz w:val="24"/>
          <w:szCs w:val="24"/>
          <w:lang w:bidi="ar"/>
        </w:rPr>
        <w:t>附图 9中心城区房屋抗震薄弱区分布图</w:t>
      </w:r>
      <w:r>
        <w:rPr>
          <w:rStyle w:val="17"/>
          <w:rFonts w:ascii="Times New Roman" w:hAnsi="Times New Roman" w:eastAsia="方正黑体_GBK"/>
          <w:sz w:val="24"/>
          <w:szCs w:val="24"/>
          <w:lang w:bidi="ar"/>
        </w:rPr>
        <w:tab/>
      </w:r>
      <w:r>
        <w:rPr>
          <w:rStyle w:val="17"/>
          <w:rFonts w:ascii="Times New Roman" w:hAnsi="Times New Roman" w:eastAsia="方正黑体_GBK"/>
          <w:sz w:val="24"/>
          <w:szCs w:val="24"/>
          <w:lang w:bidi="ar"/>
        </w:rPr>
        <w:fldChar w:fldCharType="begin"/>
      </w:r>
      <w:r>
        <w:rPr>
          <w:rStyle w:val="17"/>
          <w:rFonts w:ascii="Times New Roman" w:hAnsi="Times New Roman" w:eastAsia="方正黑体_GBK"/>
          <w:sz w:val="24"/>
          <w:szCs w:val="24"/>
          <w:lang w:bidi="ar"/>
        </w:rPr>
        <w:instrText xml:space="preserve"> PAGEREF _Toc158044925 \h </w:instrText>
      </w:r>
      <w:r>
        <w:rPr>
          <w:rStyle w:val="17"/>
          <w:rFonts w:ascii="Times New Roman" w:hAnsi="Times New Roman" w:eastAsia="方正黑体_GBK"/>
          <w:sz w:val="24"/>
          <w:szCs w:val="24"/>
          <w:lang w:bidi="ar"/>
        </w:rPr>
        <w:fldChar w:fldCharType="separate"/>
      </w:r>
      <w:r>
        <w:rPr>
          <w:rStyle w:val="17"/>
          <w:rFonts w:ascii="Times New Roman" w:hAnsi="Times New Roman" w:eastAsia="方正黑体_GBK"/>
          <w:sz w:val="24"/>
          <w:szCs w:val="24"/>
          <w:lang w:bidi="ar"/>
        </w:rPr>
        <w:t>111</w:t>
      </w:r>
      <w:r>
        <w:rPr>
          <w:rStyle w:val="17"/>
          <w:rFonts w:ascii="Times New Roman" w:hAnsi="Times New Roman" w:eastAsia="方正黑体_GBK"/>
          <w:sz w:val="24"/>
          <w:szCs w:val="24"/>
          <w:lang w:bidi="ar"/>
        </w:rPr>
        <w:fldChar w:fldCharType="end"/>
      </w:r>
      <w:r>
        <w:rPr>
          <w:rStyle w:val="17"/>
          <w:rFonts w:ascii="Times New Roman" w:hAnsi="Times New Roman" w:eastAsia="方正黑体_GBK"/>
          <w:sz w:val="24"/>
          <w:szCs w:val="24"/>
          <w:lang w:bidi="ar"/>
        </w:rPr>
        <w:fldChar w:fldCharType="end"/>
      </w:r>
    </w:p>
    <w:p>
      <w:pPr>
        <w:pStyle w:val="12"/>
        <w:tabs>
          <w:tab w:val="right" w:leader="dot" w:pos="8380"/>
        </w:tabs>
        <w:spacing w:line="576" w:lineRule="exact"/>
        <w:ind w:left="320" w:leftChars="100" w:firstLine="0"/>
        <w:rPr>
          <w:rStyle w:val="17"/>
          <w:rFonts w:ascii="Times New Roman" w:hAnsi="Times New Roman" w:eastAsia="方正黑体_GBK"/>
          <w:sz w:val="24"/>
          <w:szCs w:val="24"/>
          <w:lang w:bidi="ar"/>
        </w:rPr>
      </w:pPr>
      <w:r>
        <w:fldChar w:fldCharType="begin"/>
      </w:r>
      <w:r>
        <w:instrText xml:space="preserve"> HYPERLINK \l "_Toc158044926" </w:instrText>
      </w:r>
      <w:r>
        <w:fldChar w:fldCharType="separate"/>
      </w:r>
      <w:r>
        <w:rPr>
          <w:rStyle w:val="17"/>
          <w:rFonts w:ascii="Times New Roman" w:hAnsi="Times New Roman" w:eastAsia="方正黑体_GBK"/>
          <w:sz w:val="24"/>
          <w:szCs w:val="24"/>
          <w:lang w:bidi="ar"/>
        </w:rPr>
        <w:t>附图 10中心城区次生灾害源分布图</w:t>
      </w:r>
      <w:r>
        <w:rPr>
          <w:rStyle w:val="17"/>
          <w:rFonts w:ascii="Times New Roman" w:hAnsi="Times New Roman" w:eastAsia="方正黑体_GBK"/>
          <w:sz w:val="24"/>
          <w:szCs w:val="24"/>
          <w:lang w:bidi="ar"/>
        </w:rPr>
        <w:tab/>
      </w:r>
      <w:r>
        <w:rPr>
          <w:rStyle w:val="17"/>
          <w:rFonts w:ascii="Times New Roman" w:hAnsi="Times New Roman" w:eastAsia="方正黑体_GBK"/>
          <w:sz w:val="24"/>
          <w:szCs w:val="24"/>
          <w:lang w:bidi="ar"/>
        </w:rPr>
        <w:fldChar w:fldCharType="begin"/>
      </w:r>
      <w:r>
        <w:rPr>
          <w:rStyle w:val="17"/>
          <w:rFonts w:ascii="Times New Roman" w:hAnsi="Times New Roman" w:eastAsia="方正黑体_GBK"/>
          <w:sz w:val="24"/>
          <w:szCs w:val="24"/>
          <w:lang w:bidi="ar"/>
        </w:rPr>
        <w:instrText xml:space="preserve"> PAGEREF _Toc158044926 \h </w:instrText>
      </w:r>
      <w:r>
        <w:rPr>
          <w:rStyle w:val="17"/>
          <w:rFonts w:ascii="Times New Roman" w:hAnsi="Times New Roman" w:eastAsia="方正黑体_GBK"/>
          <w:sz w:val="24"/>
          <w:szCs w:val="24"/>
          <w:lang w:bidi="ar"/>
        </w:rPr>
        <w:fldChar w:fldCharType="separate"/>
      </w:r>
      <w:r>
        <w:rPr>
          <w:rStyle w:val="17"/>
          <w:rFonts w:ascii="Times New Roman" w:hAnsi="Times New Roman" w:eastAsia="方正黑体_GBK"/>
          <w:sz w:val="24"/>
          <w:szCs w:val="24"/>
          <w:lang w:bidi="ar"/>
        </w:rPr>
        <w:t>112</w:t>
      </w:r>
      <w:r>
        <w:rPr>
          <w:rStyle w:val="17"/>
          <w:rFonts w:ascii="Times New Roman" w:hAnsi="Times New Roman" w:eastAsia="方正黑体_GBK"/>
          <w:sz w:val="24"/>
          <w:szCs w:val="24"/>
          <w:lang w:bidi="ar"/>
        </w:rPr>
        <w:fldChar w:fldCharType="end"/>
      </w:r>
      <w:r>
        <w:rPr>
          <w:rStyle w:val="17"/>
          <w:rFonts w:ascii="Times New Roman" w:hAnsi="Times New Roman" w:eastAsia="方正黑体_GBK"/>
          <w:sz w:val="24"/>
          <w:szCs w:val="24"/>
          <w:lang w:bidi="ar"/>
        </w:rPr>
        <w:fldChar w:fldCharType="end"/>
      </w:r>
    </w:p>
    <w:p>
      <w:pPr>
        <w:pStyle w:val="12"/>
        <w:tabs>
          <w:tab w:val="right" w:leader="dot" w:pos="8380"/>
        </w:tabs>
        <w:spacing w:line="576" w:lineRule="exact"/>
        <w:ind w:left="320" w:leftChars="100" w:firstLine="0"/>
        <w:rPr>
          <w:rStyle w:val="17"/>
          <w:rFonts w:ascii="Times New Roman" w:hAnsi="Times New Roman" w:eastAsia="方正黑体_GBK"/>
          <w:sz w:val="24"/>
          <w:szCs w:val="24"/>
          <w:lang w:bidi="ar"/>
        </w:rPr>
      </w:pPr>
      <w:r>
        <w:fldChar w:fldCharType="begin"/>
      </w:r>
      <w:r>
        <w:instrText xml:space="preserve"> HYPERLINK \l "_Toc158044927" </w:instrText>
      </w:r>
      <w:r>
        <w:fldChar w:fldCharType="separate"/>
      </w:r>
      <w:r>
        <w:rPr>
          <w:rStyle w:val="17"/>
          <w:rFonts w:ascii="Times New Roman" w:hAnsi="Times New Roman" w:eastAsia="方正黑体_GBK"/>
          <w:sz w:val="24"/>
          <w:szCs w:val="24"/>
          <w:lang w:bidi="ar"/>
        </w:rPr>
        <w:t>附图 11中心城区应急疏散通道规划图</w:t>
      </w:r>
      <w:r>
        <w:rPr>
          <w:rStyle w:val="17"/>
          <w:rFonts w:ascii="Times New Roman" w:hAnsi="Times New Roman" w:eastAsia="方正黑体_GBK"/>
          <w:sz w:val="24"/>
          <w:szCs w:val="24"/>
          <w:lang w:bidi="ar"/>
        </w:rPr>
        <w:tab/>
      </w:r>
      <w:r>
        <w:rPr>
          <w:rStyle w:val="17"/>
          <w:rFonts w:ascii="Times New Roman" w:hAnsi="Times New Roman" w:eastAsia="方正黑体_GBK"/>
          <w:sz w:val="24"/>
          <w:szCs w:val="24"/>
          <w:lang w:bidi="ar"/>
        </w:rPr>
        <w:fldChar w:fldCharType="begin"/>
      </w:r>
      <w:r>
        <w:rPr>
          <w:rStyle w:val="17"/>
          <w:rFonts w:ascii="Times New Roman" w:hAnsi="Times New Roman" w:eastAsia="方正黑体_GBK"/>
          <w:sz w:val="24"/>
          <w:szCs w:val="24"/>
          <w:lang w:bidi="ar"/>
        </w:rPr>
        <w:instrText xml:space="preserve"> PAGEREF _Toc158044927 \h </w:instrText>
      </w:r>
      <w:r>
        <w:rPr>
          <w:rStyle w:val="17"/>
          <w:rFonts w:ascii="Times New Roman" w:hAnsi="Times New Roman" w:eastAsia="方正黑体_GBK"/>
          <w:sz w:val="24"/>
          <w:szCs w:val="24"/>
          <w:lang w:bidi="ar"/>
        </w:rPr>
        <w:fldChar w:fldCharType="separate"/>
      </w:r>
      <w:r>
        <w:rPr>
          <w:rStyle w:val="17"/>
          <w:rFonts w:ascii="Times New Roman" w:hAnsi="Times New Roman" w:eastAsia="方正黑体_GBK"/>
          <w:sz w:val="24"/>
          <w:szCs w:val="24"/>
          <w:lang w:bidi="ar"/>
        </w:rPr>
        <w:t>113</w:t>
      </w:r>
      <w:r>
        <w:rPr>
          <w:rStyle w:val="17"/>
          <w:rFonts w:ascii="Times New Roman" w:hAnsi="Times New Roman" w:eastAsia="方正黑体_GBK"/>
          <w:sz w:val="24"/>
          <w:szCs w:val="24"/>
          <w:lang w:bidi="ar"/>
        </w:rPr>
        <w:fldChar w:fldCharType="end"/>
      </w:r>
      <w:r>
        <w:rPr>
          <w:rStyle w:val="17"/>
          <w:rFonts w:ascii="Times New Roman" w:hAnsi="Times New Roman" w:eastAsia="方正黑体_GBK"/>
          <w:sz w:val="24"/>
          <w:szCs w:val="24"/>
          <w:lang w:bidi="ar"/>
        </w:rPr>
        <w:fldChar w:fldCharType="end"/>
      </w:r>
    </w:p>
    <w:p>
      <w:pPr>
        <w:pStyle w:val="12"/>
        <w:tabs>
          <w:tab w:val="right" w:leader="dot" w:pos="8380"/>
        </w:tabs>
        <w:spacing w:line="576" w:lineRule="exact"/>
        <w:ind w:left="320" w:leftChars="100" w:firstLine="0"/>
        <w:rPr>
          <w:rStyle w:val="17"/>
          <w:rFonts w:ascii="Times New Roman" w:hAnsi="Times New Roman" w:eastAsia="方正黑体_GBK"/>
          <w:sz w:val="24"/>
          <w:szCs w:val="24"/>
          <w:lang w:bidi="ar"/>
        </w:rPr>
      </w:pPr>
      <w:r>
        <w:fldChar w:fldCharType="begin"/>
      </w:r>
      <w:r>
        <w:instrText xml:space="preserve"> HYPERLINK \l "_Toc158044928" </w:instrText>
      </w:r>
      <w:r>
        <w:fldChar w:fldCharType="separate"/>
      </w:r>
      <w:r>
        <w:rPr>
          <w:rStyle w:val="17"/>
          <w:rFonts w:ascii="Times New Roman" w:hAnsi="Times New Roman" w:eastAsia="方正黑体_GBK"/>
          <w:sz w:val="24"/>
          <w:szCs w:val="24"/>
          <w:lang w:bidi="ar"/>
        </w:rPr>
        <w:t>附图 12中心城区应急避难场所规划图</w:t>
      </w:r>
      <w:r>
        <w:rPr>
          <w:rStyle w:val="17"/>
          <w:rFonts w:ascii="Times New Roman" w:hAnsi="Times New Roman" w:eastAsia="方正黑体_GBK"/>
          <w:sz w:val="24"/>
          <w:szCs w:val="24"/>
          <w:lang w:bidi="ar"/>
        </w:rPr>
        <w:tab/>
      </w:r>
      <w:r>
        <w:rPr>
          <w:rStyle w:val="17"/>
          <w:rFonts w:ascii="Times New Roman" w:hAnsi="Times New Roman" w:eastAsia="方正黑体_GBK"/>
          <w:sz w:val="24"/>
          <w:szCs w:val="24"/>
          <w:lang w:bidi="ar"/>
        </w:rPr>
        <w:fldChar w:fldCharType="begin"/>
      </w:r>
      <w:r>
        <w:rPr>
          <w:rStyle w:val="17"/>
          <w:rFonts w:ascii="Times New Roman" w:hAnsi="Times New Roman" w:eastAsia="方正黑体_GBK"/>
          <w:sz w:val="24"/>
          <w:szCs w:val="24"/>
          <w:lang w:bidi="ar"/>
        </w:rPr>
        <w:instrText xml:space="preserve"> PAGEREF _Toc158044928 \h </w:instrText>
      </w:r>
      <w:r>
        <w:rPr>
          <w:rStyle w:val="17"/>
          <w:rFonts w:ascii="Times New Roman" w:hAnsi="Times New Roman" w:eastAsia="方正黑体_GBK"/>
          <w:sz w:val="24"/>
          <w:szCs w:val="24"/>
          <w:lang w:bidi="ar"/>
        </w:rPr>
        <w:fldChar w:fldCharType="separate"/>
      </w:r>
      <w:r>
        <w:rPr>
          <w:rStyle w:val="17"/>
          <w:rFonts w:ascii="Times New Roman" w:hAnsi="Times New Roman" w:eastAsia="方正黑体_GBK"/>
          <w:sz w:val="24"/>
          <w:szCs w:val="24"/>
          <w:lang w:bidi="ar"/>
        </w:rPr>
        <w:t>114</w:t>
      </w:r>
      <w:r>
        <w:rPr>
          <w:rStyle w:val="17"/>
          <w:rFonts w:ascii="Times New Roman" w:hAnsi="Times New Roman" w:eastAsia="方正黑体_GBK"/>
          <w:sz w:val="24"/>
          <w:szCs w:val="24"/>
          <w:lang w:bidi="ar"/>
        </w:rPr>
        <w:fldChar w:fldCharType="end"/>
      </w:r>
      <w:r>
        <w:rPr>
          <w:rStyle w:val="17"/>
          <w:rFonts w:ascii="Times New Roman" w:hAnsi="Times New Roman" w:eastAsia="方正黑体_GBK"/>
          <w:sz w:val="24"/>
          <w:szCs w:val="24"/>
          <w:lang w:bidi="ar"/>
        </w:rPr>
        <w:fldChar w:fldCharType="end"/>
      </w:r>
    </w:p>
    <w:p>
      <w:pPr>
        <w:pStyle w:val="12"/>
        <w:tabs>
          <w:tab w:val="right" w:leader="dot" w:pos="8380"/>
        </w:tabs>
        <w:spacing w:line="576" w:lineRule="exact"/>
        <w:ind w:left="320" w:leftChars="100" w:firstLine="0"/>
        <w:rPr>
          <w:rStyle w:val="17"/>
          <w:rFonts w:ascii="Times New Roman" w:hAnsi="Times New Roman" w:eastAsia="方正黑体_GBK"/>
          <w:sz w:val="24"/>
          <w:szCs w:val="24"/>
          <w:lang w:bidi="ar"/>
        </w:rPr>
      </w:pPr>
      <w:r>
        <w:fldChar w:fldCharType="begin"/>
      </w:r>
      <w:r>
        <w:instrText xml:space="preserve"> HYPERLINK \l "_Toc158044929" </w:instrText>
      </w:r>
      <w:r>
        <w:fldChar w:fldCharType="separate"/>
      </w:r>
      <w:r>
        <w:rPr>
          <w:rStyle w:val="17"/>
          <w:rFonts w:ascii="Times New Roman" w:hAnsi="Times New Roman" w:eastAsia="方正黑体_GBK"/>
          <w:sz w:val="24"/>
          <w:szCs w:val="24"/>
          <w:lang w:bidi="ar"/>
        </w:rPr>
        <w:t>附图 13中心城区应急医疗保障规划图</w:t>
      </w:r>
      <w:r>
        <w:rPr>
          <w:rStyle w:val="17"/>
          <w:rFonts w:ascii="Times New Roman" w:hAnsi="Times New Roman" w:eastAsia="方正黑体_GBK"/>
          <w:sz w:val="24"/>
          <w:szCs w:val="24"/>
          <w:lang w:bidi="ar"/>
        </w:rPr>
        <w:tab/>
      </w:r>
      <w:r>
        <w:rPr>
          <w:rStyle w:val="17"/>
          <w:rFonts w:ascii="Times New Roman" w:hAnsi="Times New Roman" w:eastAsia="方正黑体_GBK"/>
          <w:sz w:val="24"/>
          <w:szCs w:val="24"/>
          <w:lang w:bidi="ar"/>
        </w:rPr>
        <w:fldChar w:fldCharType="begin"/>
      </w:r>
      <w:r>
        <w:rPr>
          <w:rStyle w:val="17"/>
          <w:rFonts w:ascii="Times New Roman" w:hAnsi="Times New Roman" w:eastAsia="方正黑体_GBK"/>
          <w:sz w:val="24"/>
          <w:szCs w:val="24"/>
          <w:lang w:bidi="ar"/>
        </w:rPr>
        <w:instrText xml:space="preserve"> PAGEREF _Toc158044929 \h </w:instrText>
      </w:r>
      <w:r>
        <w:rPr>
          <w:rStyle w:val="17"/>
          <w:rFonts w:ascii="Times New Roman" w:hAnsi="Times New Roman" w:eastAsia="方正黑体_GBK"/>
          <w:sz w:val="24"/>
          <w:szCs w:val="24"/>
          <w:lang w:bidi="ar"/>
        </w:rPr>
        <w:fldChar w:fldCharType="separate"/>
      </w:r>
      <w:r>
        <w:rPr>
          <w:rStyle w:val="17"/>
          <w:rFonts w:ascii="Times New Roman" w:hAnsi="Times New Roman" w:eastAsia="方正黑体_GBK"/>
          <w:sz w:val="24"/>
          <w:szCs w:val="24"/>
          <w:lang w:bidi="ar"/>
        </w:rPr>
        <w:t>115</w:t>
      </w:r>
      <w:r>
        <w:rPr>
          <w:rStyle w:val="17"/>
          <w:rFonts w:ascii="Times New Roman" w:hAnsi="Times New Roman" w:eastAsia="方正黑体_GBK"/>
          <w:sz w:val="24"/>
          <w:szCs w:val="24"/>
          <w:lang w:bidi="ar"/>
        </w:rPr>
        <w:fldChar w:fldCharType="end"/>
      </w:r>
      <w:r>
        <w:rPr>
          <w:rStyle w:val="17"/>
          <w:rFonts w:ascii="Times New Roman" w:hAnsi="Times New Roman" w:eastAsia="方正黑体_GBK"/>
          <w:sz w:val="24"/>
          <w:szCs w:val="24"/>
          <w:lang w:bidi="ar"/>
        </w:rPr>
        <w:fldChar w:fldCharType="end"/>
      </w:r>
    </w:p>
    <w:p>
      <w:pPr>
        <w:pStyle w:val="12"/>
        <w:tabs>
          <w:tab w:val="right" w:leader="dot" w:pos="8380"/>
        </w:tabs>
        <w:spacing w:line="576" w:lineRule="exact"/>
        <w:ind w:left="320" w:leftChars="100" w:firstLine="0"/>
        <w:rPr>
          <w:rStyle w:val="17"/>
          <w:rFonts w:ascii="Times New Roman" w:hAnsi="Times New Roman" w:eastAsia="方正黑体_GBK"/>
          <w:sz w:val="24"/>
          <w:szCs w:val="24"/>
          <w:lang w:bidi="ar"/>
        </w:rPr>
      </w:pPr>
      <w:r>
        <w:fldChar w:fldCharType="begin"/>
      </w:r>
      <w:r>
        <w:instrText xml:space="preserve"> HYPERLINK \l "_Toc158044930" </w:instrText>
      </w:r>
      <w:r>
        <w:fldChar w:fldCharType="separate"/>
      </w:r>
      <w:r>
        <w:rPr>
          <w:rStyle w:val="17"/>
          <w:rFonts w:ascii="Times New Roman" w:hAnsi="Times New Roman" w:eastAsia="方正黑体_GBK"/>
          <w:sz w:val="24"/>
          <w:szCs w:val="24"/>
          <w:lang w:bidi="ar"/>
        </w:rPr>
        <w:t>附图 14中心城区应急供水保障规划图</w:t>
      </w:r>
      <w:r>
        <w:rPr>
          <w:rStyle w:val="17"/>
          <w:rFonts w:ascii="Times New Roman" w:hAnsi="Times New Roman" w:eastAsia="方正黑体_GBK"/>
          <w:sz w:val="24"/>
          <w:szCs w:val="24"/>
          <w:lang w:bidi="ar"/>
        </w:rPr>
        <w:tab/>
      </w:r>
      <w:r>
        <w:rPr>
          <w:rStyle w:val="17"/>
          <w:rFonts w:ascii="Times New Roman" w:hAnsi="Times New Roman" w:eastAsia="方正黑体_GBK"/>
          <w:sz w:val="24"/>
          <w:szCs w:val="24"/>
          <w:lang w:bidi="ar"/>
        </w:rPr>
        <w:fldChar w:fldCharType="begin"/>
      </w:r>
      <w:r>
        <w:rPr>
          <w:rStyle w:val="17"/>
          <w:rFonts w:ascii="Times New Roman" w:hAnsi="Times New Roman" w:eastAsia="方正黑体_GBK"/>
          <w:sz w:val="24"/>
          <w:szCs w:val="24"/>
          <w:lang w:bidi="ar"/>
        </w:rPr>
        <w:instrText xml:space="preserve"> PAGEREF _Toc158044930 \h </w:instrText>
      </w:r>
      <w:r>
        <w:rPr>
          <w:rStyle w:val="17"/>
          <w:rFonts w:ascii="Times New Roman" w:hAnsi="Times New Roman" w:eastAsia="方正黑体_GBK"/>
          <w:sz w:val="24"/>
          <w:szCs w:val="24"/>
          <w:lang w:bidi="ar"/>
        </w:rPr>
        <w:fldChar w:fldCharType="separate"/>
      </w:r>
      <w:r>
        <w:rPr>
          <w:rStyle w:val="17"/>
          <w:rFonts w:ascii="Times New Roman" w:hAnsi="Times New Roman" w:eastAsia="方正黑体_GBK"/>
          <w:sz w:val="24"/>
          <w:szCs w:val="24"/>
          <w:lang w:bidi="ar"/>
        </w:rPr>
        <w:t>116</w:t>
      </w:r>
      <w:r>
        <w:rPr>
          <w:rStyle w:val="17"/>
          <w:rFonts w:ascii="Times New Roman" w:hAnsi="Times New Roman" w:eastAsia="方正黑体_GBK"/>
          <w:sz w:val="24"/>
          <w:szCs w:val="24"/>
          <w:lang w:bidi="ar"/>
        </w:rPr>
        <w:fldChar w:fldCharType="end"/>
      </w:r>
      <w:r>
        <w:rPr>
          <w:rStyle w:val="17"/>
          <w:rFonts w:ascii="Times New Roman" w:hAnsi="Times New Roman" w:eastAsia="方正黑体_GBK"/>
          <w:sz w:val="24"/>
          <w:szCs w:val="24"/>
          <w:lang w:bidi="ar"/>
        </w:rPr>
        <w:fldChar w:fldCharType="end"/>
      </w:r>
    </w:p>
    <w:p>
      <w:pPr>
        <w:pStyle w:val="12"/>
        <w:tabs>
          <w:tab w:val="right" w:leader="dot" w:pos="8380"/>
        </w:tabs>
        <w:spacing w:line="576" w:lineRule="exact"/>
        <w:ind w:left="320" w:leftChars="100" w:firstLine="0"/>
        <w:rPr>
          <w:rStyle w:val="17"/>
          <w:rFonts w:ascii="Times New Roman" w:hAnsi="Times New Roman" w:eastAsia="方正黑体_GBK"/>
          <w:sz w:val="24"/>
          <w:szCs w:val="24"/>
          <w:lang w:bidi="ar"/>
        </w:rPr>
      </w:pPr>
      <w:r>
        <w:fldChar w:fldCharType="begin"/>
      </w:r>
      <w:r>
        <w:instrText xml:space="preserve"> HYPERLINK \l "_Toc158044931" </w:instrText>
      </w:r>
      <w:r>
        <w:fldChar w:fldCharType="separate"/>
      </w:r>
      <w:r>
        <w:rPr>
          <w:rStyle w:val="17"/>
          <w:rFonts w:ascii="Times New Roman" w:hAnsi="Times New Roman" w:eastAsia="方正黑体_GBK"/>
          <w:sz w:val="24"/>
          <w:szCs w:val="24"/>
          <w:lang w:bidi="ar"/>
        </w:rPr>
        <w:t>附图 15中心城区应急供电保障规划图</w:t>
      </w:r>
      <w:r>
        <w:rPr>
          <w:rStyle w:val="17"/>
          <w:rFonts w:ascii="Times New Roman" w:hAnsi="Times New Roman" w:eastAsia="方正黑体_GBK"/>
          <w:sz w:val="24"/>
          <w:szCs w:val="24"/>
          <w:lang w:bidi="ar"/>
        </w:rPr>
        <w:tab/>
      </w:r>
      <w:r>
        <w:rPr>
          <w:rStyle w:val="17"/>
          <w:rFonts w:ascii="Times New Roman" w:hAnsi="Times New Roman" w:eastAsia="方正黑体_GBK"/>
          <w:sz w:val="24"/>
          <w:szCs w:val="24"/>
          <w:lang w:bidi="ar"/>
        </w:rPr>
        <w:fldChar w:fldCharType="begin"/>
      </w:r>
      <w:r>
        <w:rPr>
          <w:rStyle w:val="17"/>
          <w:rFonts w:ascii="Times New Roman" w:hAnsi="Times New Roman" w:eastAsia="方正黑体_GBK"/>
          <w:sz w:val="24"/>
          <w:szCs w:val="24"/>
          <w:lang w:bidi="ar"/>
        </w:rPr>
        <w:instrText xml:space="preserve"> PAGEREF _Toc158044931 \h </w:instrText>
      </w:r>
      <w:r>
        <w:rPr>
          <w:rStyle w:val="17"/>
          <w:rFonts w:ascii="Times New Roman" w:hAnsi="Times New Roman" w:eastAsia="方正黑体_GBK"/>
          <w:sz w:val="24"/>
          <w:szCs w:val="24"/>
          <w:lang w:bidi="ar"/>
        </w:rPr>
        <w:fldChar w:fldCharType="separate"/>
      </w:r>
      <w:r>
        <w:rPr>
          <w:rStyle w:val="17"/>
          <w:rFonts w:ascii="Times New Roman" w:hAnsi="Times New Roman" w:eastAsia="方正黑体_GBK"/>
          <w:sz w:val="24"/>
          <w:szCs w:val="24"/>
          <w:lang w:bidi="ar"/>
        </w:rPr>
        <w:t>117</w:t>
      </w:r>
      <w:r>
        <w:rPr>
          <w:rStyle w:val="17"/>
          <w:rFonts w:ascii="Times New Roman" w:hAnsi="Times New Roman" w:eastAsia="方正黑体_GBK"/>
          <w:sz w:val="24"/>
          <w:szCs w:val="24"/>
          <w:lang w:bidi="ar"/>
        </w:rPr>
        <w:fldChar w:fldCharType="end"/>
      </w:r>
      <w:r>
        <w:rPr>
          <w:rStyle w:val="17"/>
          <w:rFonts w:ascii="Times New Roman" w:hAnsi="Times New Roman" w:eastAsia="方正黑体_GBK"/>
          <w:sz w:val="24"/>
          <w:szCs w:val="24"/>
          <w:lang w:bidi="ar"/>
        </w:rPr>
        <w:fldChar w:fldCharType="end"/>
      </w:r>
    </w:p>
    <w:p>
      <w:pPr>
        <w:pStyle w:val="12"/>
        <w:tabs>
          <w:tab w:val="right" w:leader="dot" w:pos="8380"/>
        </w:tabs>
        <w:spacing w:line="576" w:lineRule="exact"/>
        <w:ind w:left="320" w:leftChars="100" w:firstLine="0"/>
        <w:rPr>
          <w:rStyle w:val="17"/>
          <w:rFonts w:ascii="Times New Roman" w:hAnsi="Times New Roman" w:eastAsia="方正黑体_GBK"/>
          <w:sz w:val="24"/>
          <w:szCs w:val="24"/>
          <w:lang w:bidi="ar"/>
        </w:rPr>
      </w:pPr>
      <w:r>
        <w:fldChar w:fldCharType="begin"/>
      </w:r>
      <w:r>
        <w:instrText xml:space="preserve"> HYPERLINK \l "_Toc158044932" </w:instrText>
      </w:r>
      <w:r>
        <w:fldChar w:fldCharType="separate"/>
      </w:r>
      <w:r>
        <w:rPr>
          <w:rStyle w:val="17"/>
          <w:rFonts w:ascii="Times New Roman" w:hAnsi="Times New Roman" w:eastAsia="方正黑体_GBK"/>
          <w:sz w:val="24"/>
          <w:szCs w:val="24"/>
          <w:lang w:bidi="ar"/>
        </w:rPr>
        <w:t>附图 16中心城区应急通信保障规划图</w:t>
      </w:r>
      <w:r>
        <w:rPr>
          <w:rStyle w:val="17"/>
          <w:rFonts w:ascii="Times New Roman" w:hAnsi="Times New Roman" w:eastAsia="方正黑体_GBK"/>
          <w:sz w:val="24"/>
          <w:szCs w:val="24"/>
          <w:lang w:bidi="ar"/>
        </w:rPr>
        <w:tab/>
      </w:r>
      <w:r>
        <w:rPr>
          <w:rStyle w:val="17"/>
          <w:rFonts w:ascii="Times New Roman" w:hAnsi="Times New Roman" w:eastAsia="方正黑体_GBK"/>
          <w:sz w:val="24"/>
          <w:szCs w:val="24"/>
          <w:lang w:bidi="ar"/>
        </w:rPr>
        <w:fldChar w:fldCharType="begin"/>
      </w:r>
      <w:r>
        <w:rPr>
          <w:rStyle w:val="17"/>
          <w:rFonts w:ascii="Times New Roman" w:hAnsi="Times New Roman" w:eastAsia="方正黑体_GBK"/>
          <w:sz w:val="24"/>
          <w:szCs w:val="24"/>
          <w:lang w:bidi="ar"/>
        </w:rPr>
        <w:instrText xml:space="preserve"> PAGEREF _Toc158044932 \h </w:instrText>
      </w:r>
      <w:r>
        <w:rPr>
          <w:rStyle w:val="17"/>
          <w:rFonts w:ascii="Times New Roman" w:hAnsi="Times New Roman" w:eastAsia="方正黑体_GBK"/>
          <w:sz w:val="24"/>
          <w:szCs w:val="24"/>
          <w:lang w:bidi="ar"/>
        </w:rPr>
        <w:fldChar w:fldCharType="separate"/>
      </w:r>
      <w:r>
        <w:rPr>
          <w:rStyle w:val="17"/>
          <w:rFonts w:ascii="Times New Roman" w:hAnsi="Times New Roman" w:eastAsia="方正黑体_GBK"/>
          <w:sz w:val="24"/>
          <w:szCs w:val="24"/>
          <w:lang w:bidi="ar"/>
        </w:rPr>
        <w:t>118</w:t>
      </w:r>
      <w:r>
        <w:rPr>
          <w:rStyle w:val="17"/>
          <w:rFonts w:ascii="Times New Roman" w:hAnsi="Times New Roman" w:eastAsia="方正黑体_GBK"/>
          <w:sz w:val="24"/>
          <w:szCs w:val="24"/>
          <w:lang w:bidi="ar"/>
        </w:rPr>
        <w:fldChar w:fldCharType="end"/>
      </w:r>
      <w:r>
        <w:rPr>
          <w:rStyle w:val="17"/>
          <w:rFonts w:ascii="Times New Roman" w:hAnsi="Times New Roman" w:eastAsia="方正黑体_GBK"/>
          <w:sz w:val="24"/>
          <w:szCs w:val="24"/>
          <w:lang w:bidi="ar"/>
        </w:rPr>
        <w:fldChar w:fldCharType="end"/>
      </w:r>
    </w:p>
    <w:p>
      <w:pPr>
        <w:pStyle w:val="12"/>
        <w:tabs>
          <w:tab w:val="right" w:leader="dot" w:pos="8380"/>
        </w:tabs>
        <w:spacing w:line="576" w:lineRule="exact"/>
        <w:ind w:left="320" w:leftChars="100" w:firstLine="0"/>
        <w:rPr>
          <w:rStyle w:val="17"/>
          <w:rFonts w:ascii="Times New Roman" w:hAnsi="Times New Roman" w:eastAsia="方正黑体_GBK"/>
          <w:sz w:val="24"/>
          <w:szCs w:val="24"/>
          <w:lang w:bidi="ar"/>
        </w:rPr>
      </w:pPr>
      <w:r>
        <w:fldChar w:fldCharType="begin"/>
      </w:r>
      <w:r>
        <w:instrText xml:space="preserve"> HYPERLINK \l "_Toc158044933" </w:instrText>
      </w:r>
      <w:r>
        <w:fldChar w:fldCharType="separate"/>
      </w:r>
      <w:r>
        <w:rPr>
          <w:rStyle w:val="17"/>
          <w:rFonts w:ascii="Times New Roman" w:hAnsi="Times New Roman" w:eastAsia="方正黑体_GBK"/>
          <w:sz w:val="24"/>
          <w:szCs w:val="24"/>
          <w:lang w:bidi="ar"/>
        </w:rPr>
        <w:t>附图 17中心城区抗震救灾物资保障图</w:t>
      </w:r>
      <w:r>
        <w:rPr>
          <w:rStyle w:val="17"/>
          <w:rFonts w:ascii="Times New Roman" w:hAnsi="Times New Roman" w:eastAsia="方正黑体_GBK"/>
          <w:sz w:val="24"/>
          <w:szCs w:val="24"/>
          <w:lang w:bidi="ar"/>
        </w:rPr>
        <w:tab/>
      </w:r>
      <w:r>
        <w:rPr>
          <w:rStyle w:val="17"/>
          <w:rFonts w:ascii="Times New Roman" w:hAnsi="Times New Roman" w:eastAsia="方正黑体_GBK"/>
          <w:sz w:val="24"/>
          <w:szCs w:val="24"/>
          <w:lang w:bidi="ar"/>
        </w:rPr>
        <w:fldChar w:fldCharType="begin"/>
      </w:r>
      <w:r>
        <w:rPr>
          <w:rStyle w:val="17"/>
          <w:rFonts w:ascii="Times New Roman" w:hAnsi="Times New Roman" w:eastAsia="方正黑体_GBK"/>
          <w:sz w:val="24"/>
          <w:szCs w:val="24"/>
          <w:lang w:bidi="ar"/>
        </w:rPr>
        <w:instrText xml:space="preserve"> PAGEREF _Toc158044933 \h </w:instrText>
      </w:r>
      <w:r>
        <w:rPr>
          <w:rStyle w:val="17"/>
          <w:rFonts w:ascii="Times New Roman" w:hAnsi="Times New Roman" w:eastAsia="方正黑体_GBK"/>
          <w:sz w:val="24"/>
          <w:szCs w:val="24"/>
          <w:lang w:bidi="ar"/>
        </w:rPr>
        <w:fldChar w:fldCharType="separate"/>
      </w:r>
      <w:r>
        <w:rPr>
          <w:rStyle w:val="17"/>
          <w:rFonts w:ascii="Times New Roman" w:hAnsi="Times New Roman" w:eastAsia="方正黑体_GBK"/>
          <w:sz w:val="24"/>
          <w:szCs w:val="24"/>
          <w:lang w:bidi="ar"/>
        </w:rPr>
        <w:t>119</w:t>
      </w:r>
      <w:r>
        <w:rPr>
          <w:rStyle w:val="17"/>
          <w:rFonts w:ascii="Times New Roman" w:hAnsi="Times New Roman" w:eastAsia="方正黑体_GBK"/>
          <w:sz w:val="24"/>
          <w:szCs w:val="24"/>
          <w:lang w:bidi="ar"/>
        </w:rPr>
        <w:fldChar w:fldCharType="end"/>
      </w:r>
      <w:r>
        <w:rPr>
          <w:rStyle w:val="17"/>
          <w:rFonts w:ascii="Times New Roman" w:hAnsi="Times New Roman" w:eastAsia="方正黑体_GBK"/>
          <w:sz w:val="24"/>
          <w:szCs w:val="24"/>
          <w:lang w:bidi="ar"/>
        </w:rPr>
        <w:fldChar w:fldCharType="end"/>
      </w:r>
    </w:p>
    <w:p>
      <w:pPr>
        <w:pStyle w:val="12"/>
        <w:tabs>
          <w:tab w:val="right" w:leader="dot" w:pos="8380"/>
        </w:tabs>
        <w:spacing w:line="576" w:lineRule="exact"/>
        <w:ind w:left="320" w:leftChars="100" w:firstLine="0"/>
        <w:rPr>
          <w:rFonts w:ascii="Times New Roman" w:hAnsi="Times New Roman" w:eastAsiaTheme="minorEastAsia"/>
          <w:smallCaps w:val="0"/>
          <w:sz w:val="21"/>
          <w:szCs w:val="22"/>
        </w:rPr>
      </w:pPr>
      <w:r>
        <w:fldChar w:fldCharType="begin"/>
      </w:r>
      <w:r>
        <w:instrText xml:space="preserve"> HYPERLINK \l "_Toc158044934" </w:instrText>
      </w:r>
      <w:r>
        <w:fldChar w:fldCharType="separate"/>
      </w:r>
      <w:r>
        <w:rPr>
          <w:rStyle w:val="17"/>
          <w:rFonts w:ascii="Times New Roman" w:hAnsi="Times New Roman" w:eastAsia="方正黑体_GBK"/>
          <w:sz w:val="24"/>
          <w:szCs w:val="24"/>
          <w:lang w:bidi="ar"/>
        </w:rPr>
        <w:t>附图 18中心城区消防救援保障规划图</w:t>
      </w:r>
      <w:r>
        <w:rPr>
          <w:rStyle w:val="17"/>
          <w:rFonts w:ascii="Times New Roman" w:hAnsi="Times New Roman" w:eastAsia="方正黑体_GBK"/>
          <w:sz w:val="24"/>
          <w:szCs w:val="24"/>
          <w:lang w:bidi="ar"/>
        </w:rPr>
        <w:tab/>
      </w:r>
      <w:r>
        <w:rPr>
          <w:rStyle w:val="17"/>
          <w:rFonts w:ascii="Times New Roman" w:hAnsi="Times New Roman" w:eastAsia="方正黑体_GBK"/>
          <w:sz w:val="24"/>
          <w:szCs w:val="24"/>
          <w:lang w:bidi="ar"/>
        </w:rPr>
        <w:fldChar w:fldCharType="begin"/>
      </w:r>
      <w:r>
        <w:rPr>
          <w:rStyle w:val="17"/>
          <w:rFonts w:ascii="Times New Roman" w:hAnsi="Times New Roman" w:eastAsia="方正黑体_GBK"/>
          <w:sz w:val="24"/>
          <w:szCs w:val="24"/>
          <w:lang w:bidi="ar"/>
        </w:rPr>
        <w:instrText xml:space="preserve"> PAGEREF _Toc158044934 \h </w:instrText>
      </w:r>
      <w:r>
        <w:rPr>
          <w:rStyle w:val="17"/>
          <w:rFonts w:ascii="Times New Roman" w:hAnsi="Times New Roman" w:eastAsia="方正黑体_GBK"/>
          <w:sz w:val="24"/>
          <w:szCs w:val="24"/>
          <w:lang w:bidi="ar"/>
        </w:rPr>
        <w:fldChar w:fldCharType="separate"/>
      </w:r>
      <w:r>
        <w:rPr>
          <w:rStyle w:val="17"/>
          <w:rFonts w:ascii="Times New Roman" w:hAnsi="Times New Roman" w:eastAsia="方正黑体_GBK"/>
          <w:sz w:val="24"/>
          <w:szCs w:val="24"/>
          <w:lang w:bidi="ar"/>
        </w:rPr>
        <w:t>120</w:t>
      </w:r>
      <w:r>
        <w:rPr>
          <w:rStyle w:val="17"/>
          <w:rFonts w:ascii="Times New Roman" w:hAnsi="Times New Roman" w:eastAsia="方正黑体_GBK"/>
          <w:sz w:val="24"/>
          <w:szCs w:val="24"/>
          <w:lang w:bidi="ar"/>
        </w:rPr>
        <w:fldChar w:fldCharType="end"/>
      </w:r>
      <w:r>
        <w:rPr>
          <w:rStyle w:val="17"/>
          <w:rFonts w:ascii="Times New Roman" w:hAnsi="Times New Roman" w:eastAsia="方正黑体_GBK"/>
          <w:sz w:val="24"/>
          <w:szCs w:val="24"/>
          <w:lang w:bidi="ar"/>
        </w:rPr>
        <w:fldChar w:fldCharType="end"/>
      </w:r>
    </w:p>
    <w:p>
      <w:pPr>
        <w:pStyle w:val="2"/>
        <w:ind w:left="320" w:leftChars="100"/>
        <w:sectPr>
          <w:footerReference r:id="rId9" w:type="first"/>
          <w:headerReference r:id="rId6" w:type="default"/>
          <w:footerReference r:id="rId7" w:type="default"/>
          <w:footerReference r:id="rId8" w:type="even"/>
          <w:pgSz w:w="11906" w:h="16838"/>
          <w:pgMar w:top="2155" w:right="1474" w:bottom="2098" w:left="1588" w:header="720" w:footer="680" w:gutter="0"/>
          <w:pgNumType w:fmt="decimal" w:start="3"/>
          <w:cols w:space="1638" w:num="1"/>
          <w:docGrid w:linePitch="435" w:charSpace="10759"/>
        </w:sectPr>
      </w:pPr>
      <w:r>
        <w:fldChar w:fldCharType="end"/>
      </w:r>
    </w:p>
    <w:p>
      <w:pPr>
        <w:pStyle w:val="4"/>
        <w:numPr>
          <w:ilvl w:val="0"/>
          <w:numId w:val="0"/>
        </w:numPr>
        <w:spacing w:line="576" w:lineRule="exact"/>
        <w:ind w:left="0" w:leftChars="0" w:firstLine="643" w:firstLineChars="0"/>
        <w:jc w:val="center"/>
        <w:rPr>
          <w:rFonts w:hint="eastAsia" w:ascii="方正黑体_GBK" w:hAnsi="Times New Roman" w:eastAsia="方正黑体_GBK" w:cstheme="minorBidi"/>
          <w:bCs/>
          <w:kern w:val="0"/>
          <w:sz w:val="32"/>
          <w:szCs w:val="32"/>
          <w:lang w:val="en-US" w:eastAsia="zh-CN" w:bidi="ar-SA"/>
        </w:rPr>
      </w:pPr>
    </w:p>
    <w:p>
      <w:pPr>
        <w:pStyle w:val="4"/>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ascii="方正黑体_GBK"/>
          <w:bCs/>
        </w:rPr>
      </w:pPr>
      <w:r>
        <w:rPr>
          <w:rFonts w:hint="eastAsia" w:ascii="方正黑体_GBK" w:hAnsi="Times New Roman" w:eastAsia="方正黑体_GBK" w:cstheme="minorBidi"/>
          <w:bCs/>
          <w:kern w:val="0"/>
          <w:sz w:val="32"/>
          <w:szCs w:val="32"/>
          <w:lang w:val="en-US" w:eastAsia="zh-CN" w:bidi="ar-SA"/>
        </w:rPr>
        <w:t>第一章</w:t>
      </w:r>
      <w:r>
        <w:rPr>
          <w:rFonts w:hint="eastAsia" w:ascii="方正黑体_GBK"/>
          <w:bCs/>
        </w:rPr>
        <w:t xml:space="preserve">  </w:t>
      </w:r>
      <w:bookmarkStart w:id="30" w:name="_Toc12299"/>
      <w:bookmarkStart w:id="31" w:name="_Toc156306974"/>
      <w:bookmarkStart w:id="32" w:name="_Toc158038193"/>
      <w:bookmarkStart w:id="33" w:name="_Toc26044"/>
      <w:bookmarkStart w:id="34" w:name="_Toc158038097"/>
      <w:bookmarkStart w:id="35" w:name="_Toc518563071"/>
      <w:bookmarkStart w:id="36" w:name="_Toc839"/>
      <w:r>
        <w:rPr>
          <w:rFonts w:hint="eastAsia" w:ascii="方正黑体_GBK"/>
          <w:bCs/>
        </w:rPr>
        <w:t>总  则</w:t>
      </w:r>
      <w:bookmarkEnd w:id="30"/>
      <w:bookmarkEnd w:id="31"/>
      <w:bookmarkEnd w:id="32"/>
      <w:bookmarkEnd w:id="33"/>
      <w:bookmarkEnd w:id="34"/>
      <w:bookmarkEnd w:id="35"/>
      <w:bookmarkEnd w:id="36"/>
    </w:p>
    <w:p>
      <w:pPr>
        <w:keepNext/>
        <w:spacing w:line="576" w:lineRule="exact"/>
        <w:ind w:firstLine="640" w:firstLineChars="200"/>
        <w:rPr>
          <w:szCs w:val="32"/>
        </w:rPr>
      </w:pP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ascii="方正黑体_GBK" w:eastAsia="方正黑体_GBK"/>
        </w:rPr>
      </w:pPr>
      <w:r>
        <w:rPr>
          <w:rFonts w:hint="eastAsia" w:ascii="方正黑体_GBK" w:hAnsi="Times New Roman" w:eastAsia="方正黑体_GBK" w:cstheme="minorBidi"/>
          <w:b w:val="0"/>
          <w:bCs/>
          <w:kern w:val="0"/>
          <w:sz w:val="32"/>
          <w:szCs w:val="32"/>
          <w:lang w:val="en-US" w:eastAsia="zh-CN" w:bidi="ar-SA"/>
        </w:rPr>
        <w:t>第一条</w:t>
      </w:r>
      <w:r>
        <w:rPr>
          <w:rFonts w:hint="eastAsia" w:ascii="方正黑体_GBK" w:eastAsia="方正黑体_GBK"/>
        </w:rPr>
        <w:t xml:space="preserve">  </w:t>
      </w:r>
      <w:bookmarkStart w:id="37" w:name="_Toc158038098"/>
      <w:bookmarkStart w:id="38" w:name="_Toc156306975"/>
      <w:bookmarkStart w:id="39" w:name="_Toc158038194"/>
      <w:bookmarkStart w:id="40" w:name="_Toc7138"/>
      <w:r>
        <w:rPr>
          <w:rFonts w:hint="eastAsia" w:ascii="方正黑体_GBK" w:eastAsia="方正黑体_GBK"/>
        </w:rPr>
        <w:t>规划目的</w:t>
      </w:r>
      <w:bookmarkEnd w:id="37"/>
      <w:bookmarkEnd w:id="38"/>
      <w:bookmarkEnd w:id="39"/>
      <w:bookmarkEnd w:id="40"/>
    </w:p>
    <w:p>
      <w:pPr>
        <w:pageBreakBefore w:val="0"/>
        <w:widowControl w:val="0"/>
        <w:kinsoku/>
        <w:wordWrap/>
        <w:overflowPunct/>
        <w:topLinePunct w:val="0"/>
        <w:autoSpaceDE/>
        <w:autoSpaceDN/>
        <w:bidi w:val="0"/>
        <w:adjustRightInd/>
        <w:snapToGrid/>
        <w:spacing w:line="576" w:lineRule="exact"/>
        <w:ind w:left="0" w:leftChars="0" w:right="0" w:rightChars="0" w:firstLine="640" w:firstLineChars="200"/>
        <w:jc w:val="both"/>
        <w:textAlignment w:val="auto"/>
        <w:rPr>
          <w:szCs w:val="32"/>
        </w:rPr>
      </w:pPr>
      <w:r>
        <w:rPr>
          <w:szCs w:val="32"/>
        </w:rPr>
        <w:t>为提高綦江区中心城区城市建设抗震防灾能力，逐步提高城市的防灾应急能力，最大限度减轻地震灾害造成的影响，保障城市安全可持续发展，构建一个和谐、健康、安全型的城市，特编制《綦江中心城区抗震防灾专项规划（2022</w:t>
      </w:r>
      <w:r>
        <w:rPr>
          <w:rFonts w:hint="eastAsia"/>
          <w:szCs w:val="32"/>
        </w:rPr>
        <w:t>—</w:t>
      </w:r>
      <w:r>
        <w:rPr>
          <w:rFonts w:hint="eastAsia"/>
          <w:szCs w:val="32"/>
          <w:lang w:val="en-US" w:eastAsia="zh-CN"/>
        </w:rPr>
        <w:t>2</w:t>
      </w:r>
      <w:r>
        <w:rPr>
          <w:szCs w:val="32"/>
        </w:rPr>
        <w:t>035年）》。</w:t>
      </w:r>
    </w:p>
    <w:p>
      <w:pPr>
        <w:pageBreakBefore w:val="0"/>
        <w:widowControl w:val="0"/>
        <w:numPr>
          <w:ilvl w:val="0"/>
          <w:numId w:val="0"/>
        </w:numPr>
        <w:tabs>
          <w:tab w:val="left" w:pos="312"/>
        </w:tabs>
        <w:kinsoku/>
        <w:wordWrap/>
        <w:overflowPunct/>
        <w:topLinePunct w:val="0"/>
        <w:autoSpaceDE/>
        <w:autoSpaceDN/>
        <w:bidi w:val="0"/>
        <w:adjustRightInd/>
        <w:snapToGrid/>
        <w:spacing w:line="576" w:lineRule="exact"/>
        <w:ind w:left="0" w:leftChars="0" w:right="0" w:rightChars="0" w:firstLine="640" w:firstLineChars="200"/>
        <w:jc w:val="both"/>
        <w:textAlignment w:val="auto"/>
        <w:rPr>
          <w:szCs w:val="32"/>
        </w:rPr>
      </w:pPr>
      <w:r>
        <w:rPr>
          <w:rFonts w:hint="default" w:ascii="Times New Roman" w:hAnsi="Times New Roman" w:cs="Times New Roman"/>
          <w:b w:val="0"/>
          <w:bCs w:val="0"/>
          <w:szCs w:val="32"/>
          <w:lang w:val="en-US" w:eastAsia="zh-CN"/>
        </w:rPr>
        <w:t>1</w:t>
      </w:r>
      <w:r>
        <w:rPr>
          <w:rFonts w:hint="default" w:ascii="Times New Roman" w:hAnsi="Times New Roman" w:eastAsia="方正仿宋_GBK" w:cs="Times New Roman"/>
          <w:b w:val="0"/>
          <w:bCs w:val="0"/>
          <w:sz w:val="32"/>
          <w:szCs w:val="32"/>
          <w:lang w:val="en-US" w:eastAsia="zh-CN"/>
        </w:rPr>
        <w:t>．</w:t>
      </w:r>
      <w:r>
        <w:rPr>
          <w:szCs w:val="32"/>
        </w:rPr>
        <w:t>摸清綦江区地震背景和抗震防灾能力底数，合理确定城市用地、基础设施、城区建筑、次生灾害等承灾体的新建工程设防与在役工程抗震加固改造对策及防灾措施，保障人民生命财产安全；</w:t>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576" w:lineRule="exact"/>
        <w:ind w:left="0" w:leftChars="0" w:right="0" w:rightChars="0" w:firstLine="640" w:firstLineChars="200"/>
        <w:jc w:val="both"/>
        <w:textAlignment w:val="auto"/>
        <w:rPr>
          <w:szCs w:val="32"/>
        </w:rPr>
      </w:pPr>
      <w:r>
        <w:rPr>
          <w:rFonts w:hint="eastAsia"/>
          <w:szCs w:val="32"/>
          <w:lang w:val="en-US" w:eastAsia="zh-CN"/>
        </w:rPr>
        <w:t>2</w:t>
      </w:r>
      <w:r>
        <w:rPr>
          <w:rFonts w:hint="default" w:ascii="Times New Roman" w:hAnsi="Times New Roman" w:eastAsia="方正仿宋_GBK" w:cs="Times New Roman"/>
          <w:b w:val="0"/>
          <w:bCs w:val="0"/>
          <w:sz w:val="32"/>
          <w:szCs w:val="32"/>
          <w:lang w:val="en-US" w:eastAsia="zh-CN"/>
        </w:rPr>
        <w:t>．</w:t>
      </w:r>
      <w:r>
        <w:rPr>
          <w:szCs w:val="32"/>
        </w:rPr>
        <w:t>依据綦江区国土空间分区规划，优化完善城市防灾空间布局，构建城市应急保障基础设施和避震疏散体系，确保震后救灾的恢复重建工作和经济建设</w:t>
      </w:r>
      <w:r>
        <w:rPr>
          <w:rFonts w:hint="eastAsia"/>
          <w:szCs w:val="32"/>
          <w:lang w:eastAsia="zh-CN"/>
        </w:rPr>
        <w:t>能</w:t>
      </w:r>
      <w:r>
        <w:rPr>
          <w:szCs w:val="32"/>
        </w:rPr>
        <w:t>顺利进行；</w:t>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576" w:lineRule="exact"/>
        <w:ind w:firstLine="640" w:firstLineChars="200"/>
        <w:textAlignment w:val="auto"/>
        <w:rPr>
          <w:szCs w:val="32"/>
        </w:rPr>
      </w:pPr>
      <w:r>
        <w:rPr>
          <w:rFonts w:hint="eastAsia"/>
          <w:szCs w:val="32"/>
          <w:lang w:val="en-US" w:eastAsia="zh-CN"/>
        </w:rPr>
        <w:t>3</w:t>
      </w:r>
      <w:r>
        <w:rPr>
          <w:rFonts w:hint="default" w:ascii="Times New Roman" w:hAnsi="Times New Roman" w:eastAsia="方正仿宋_GBK" w:cs="Times New Roman"/>
          <w:b w:val="0"/>
          <w:bCs w:val="0"/>
          <w:sz w:val="32"/>
          <w:szCs w:val="32"/>
          <w:lang w:val="en-US" w:eastAsia="zh-CN"/>
        </w:rPr>
        <w:t>．</w:t>
      </w:r>
      <w:r>
        <w:rPr>
          <w:szCs w:val="32"/>
        </w:rPr>
        <w:t>提出规划实施安排和保障措施，切实保障抗震防灾工作的有序推进。</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ascii="方正黑体_GBK" w:eastAsia="方正黑体_GBK"/>
        </w:rPr>
      </w:pPr>
      <w:r>
        <w:rPr>
          <w:rFonts w:hint="eastAsia" w:ascii="方正黑体_GBK" w:hAnsi="Times New Roman" w:eastAsia="方正黑体_GBK" w:cstheme="minorBidi"/>
          <w:b w:val="0"/>
          <w:bCs/>
          <w:kern w:val="0"/>
          <w:sz w:val="32"/>
          <w:szCs w:val="32"/>
          <w:lang w:val="en-US" w:eastAsia="zh-CN" w:bidi="ar-SA"/>
        </w:rPr>
        <w:t>第二条</w:t>
      </w:r>
      <w:r>
        <w:rPr>
          <w:rFonts w:ascii="方正黑体_GBK" w:eastAsia="方正黑体_GBK"/>
        </w:rPr>
        <w:t xml:space="preserve">  </w:t>
      </w:r>
      <w:bookmarkStart w:id="41" w:name="_Toc158038099"/>
      <w:bookmarkStart w:id="42" w:name="_Toc158038195"/>
      <w:bookmarkStart w:id="43" w:name="_Toc26802"/>
      <w:bookmarkStart w:id="44" w:name="_Toc156306976"/>
      <w:r>
        <w:rPr>
          <w:rFonts w:ascii="方正黑体_GBK" w:eastAsia="方正黑体_GBK"/>
        </w:rPr>
        <w:t>指导思想</w:t>
      </w:r>
      <w:bookmarkEnd w:id="41"/>
      <w:bookmarkEnd w:id="42"/>
      <w:bookmarkEnd w:id="43"/>
      <w:bookmarkEnd w:id="44"/>
    </w:p>
    <w:p>
      <w:pPr>
        <w:spacing w:line="576" w:lineRule="exact"/>
        <w:ind w:firstLine="640" w:firstLineChars="200"/>
        <w:rPr>
          <w:rFonts w:hint="eastAsia" w:ascii="方正仿宋_GBK" w:hAnsi="方正仿宋_GBK" w:eastAsia="方正仿宋_GBK" w:cs="方正仿宋_GBK"/>
          <w:szCs w:val="32"/>
        </w:rPr>
      </w:pPr>
      <w:r>
        <w:rPr>
          <w:szCs w:val="32"/>
        </w:rPr>
        <w:t>以习近平新时代中国特色社会主义思想为指导，全面贯彻习近平总书记关于防灾减灾救灾的重要论述和抗震减灾工作重要批示指示精神，全面落实习近平总书记对重庆提出的营造良好政</w:t>
      </w:r>
      <w:r>
        <w:rPr>
          <w:rFonts w:hint="eastAsia" w:ascii="方正仿宋_GBK" w:hAnsi="方正仿宋_GBK" w:eastAsia="方正仿宋_GBK" w:cs="方正仿宋_GBK"/>
          <w:szCs w:val="32"/>
        </w:rPr>
        <w:t>治生态，坚持“两点”定位、“两地”“两高”目标，发挥“三个作用”和推动成渝地区双城经济圈建设等重要指示要求，坚持以人民为中心的发展思想，坚持统筹发展和安全，坚持以防为主、防抗救相结合，坚持常态减灾和非常态救灾相统一。以打造重庆主城都市区南部重要战略支点城市为牵引，以保障城市安全发展为目标，以抗震防灾规划为龙头，以工程抗震设防为重点，推动抗震风险管控，推进抗震设施建设，加强制度建设和管理创新，全面推进綦江区新时代防震减灾事业现代化建设，提高“防大震、救大灾”的能力，着力防范和化解重大地震灾害风险，努力把地震灾害损失降至最低，为綦江区经济行稳致远、社会安定和谐，确保社会主义现代化建设新征程开好局、起好步提供坚实的地震安全保障服务。</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ascii="方正黑体_GBK" w:eastAsia="方正黑体_GBK"/>
        </w:rPr>
      </w:pPr>
      <w:r>
        <w:rPr>
          <w:rFonts w:hint="eastAsia" w:ascii="方正黑体_GBK" w:hAnsi="Times New Roman" w:eastAsia="方正黑体_GBK" w:cstheme="minorBidi"/>
          <w:b w:val="0"/>
          <w:bCs/>
          <w:kern w:val="0"/>
          <w:sz w:val="32"/>
          <w:szCs w:val="32"/>
          <w:lang w:val="en-US" w:eastAsia="zh-CN" w:bidi="ar-SA"/>
        </w:rPr>
        <w:t>第三条</w:t>
      </w:r>
      <w:r>
        <w:rPr>
          <w:rFonts w:ascii="方正黑体_GBK" w:eastAsia="方正黑体_GBK"/>
        </w:rPr>
        <w:t xml:space="preserve">  </w:t>
      </w:r>
      <w:bookmarkStart w:id="45" w:name="_Toc11982"/>
      <w:bookmarkStart w:id="46" w:name="_Toc28570"/>
      <w:bookmarkStart w:id="47" w:name="_Toc156306977"/>
      <w:bookmarkStart w:id="48" w:name="_Toc158038196"/>
      <w:bookmarkStart w:id="49" w:name="_Toc158038100"/>
      <w:r>
        <w:rPr>
          <w:rFonts w:ascii="方正黑体_GBK" w:eastAsia="方正黑体_GBK"/>
        </w:rPr>
        <w:t>规划原则</w:t>
      </w:r>
      <w:bookmarkEnd w:id="45"/>
      <w:bookmarkEnd w:id="46"/>
      <w:bookmarkEnd w:id="47"/>
      <w:bookmarkEnd w:id="48"/>
      <w:bookmarkEnd w:id="49"/>
    </w:p>
    <w:p>
      <w:pPr>
        <w:pStyle w:val="20"/>
        <w:spacing w:line="576" w:lineRule="exact"/>
        <w:ind w:firstLine="640"/>
        <w:rPr>
          <w:rFonts w:ascii="Times New Roman" w:hAnsi="Times New Roman" w:eastAsia="方正仿宋_GBK"/>
          <w:sz w:val="32"/>
          <w:szCs w:val="32"/>
        </w:rPr>
      </w:pPr>
      <w:bookmarkStart w:id="50" w:name="OLE_LINK6"/>
      <w:bookmarkStart w:id="51" w:name="OLE_LINK5"/>
      <w:r>
        <w:rPr>
          <w:rFonts w:hint="eastAsia" w:ascii="方正仿宋_GBK" w:hAnsi="方正仿宋_GBK" w:eastAsia="方正仿宋_GBK" w:cs="方正仿宋_GBK"/>
          <w:sz w:val="32"/>
          <w:szCs w:val="32"/>
        </w:rPr>
        <w:t>城市抗震防灾规划应贯彻“预防为主，防、抗、避、救相结合”的方</w:t>
      </w:r>
      <w:r>
        <w:rPr>
          <w:rFonts w:ascii="Times New Roman" w:hAnsi="Times New Roman" w:eastAsia="方正仿宋_GBK"/>
          <w:sz w:val="32"/>
          <w:szCs w:val="32"/>
        </w:rPr>
        <w:t>针，根据城市的抗震防灾需要，以人为本，平灾结合、因地制宜、突出重点、统筹规划。</w:t>
      </w:r>
    </w:p>
    <w:p>
      <w:pPr>
        <w:pStyle w:val="20"/>
        <w:spacing w:line="576" w:lineRule="exact"/>
        <w:ind w:firstLine="643"/>
        <w:rPr>
          <w:rFonts w:hint="eastAsia" w:ascii="方正仿宋_GBK" w:hAnsi="方正仿宋_GBK" w:eastAsia="方正仿宋_GBK" w:cs="方正仿宋_GBK"/>
          <w:sz w:val="32"/>
          <w:szCs w:val="32"/>
        </w:rPr>
      </w:pPr>
      <w:r>
        <w:rPr>
          <w:rFonts w:hint="eastAsia" w:ascii="方正仿宋_GBK" w:hAnsi="方正仿宋_GBK" w:eastAsia="方正仿宋_GBK" w:cs="方正仿宋_GBK"/>
          <w:b w:val="0"/>
          <w:bCs/>
          <w:sz w:val="32"/>
          <w:szCs w:val="32"/>
        </w:rPr>
        <w:t>预防为主，综合施策。</w:t>
      </w:r>
      <w:r>
        <w:rPr>
          <w:rFonts w:hint="eastAsia" w:ascii="方正仿宋_GBK" w:hAnsi="方正仿宋_GBK" w:eastAsia="方正仿宋_GBK" w:cs="方正仿宋_GBK"/>
          <w:sz w:val="32"/>
          <w:szCs w:val="32"/>
        </w:rPr>
        <w:t>坚持以防为主、防抗救相结合，坚持常态抗震防灾与非常态抗震救灾相统一，坚持抗震防灾规划与工程抗震设防协调发展，</w:t>
      </w:r>
      <w:bookmarkStart w:id="52" w:name="OLE_LINK9"/>
      <w:bookmarkStart w:id="53" w:name="OLE_LINK10"/>
      <w:r>
        <w:rPr>
          <w:rFonts w:hint="eastAsia" w:ascii="方正仿宋_GBK" w:hAnsi="方正仿宋_GBK" w:eastAsia="方正仿宋_GBK" w:cs="方正仿宋_GBK"/>
          <w:sz w:val="32"/>
          <w:szCs w:val="32"/>
        </w:rPr>
        <w:t>重视既有建筑抗震鉴定加固，</w:t>
      </w:r>
      <w:bookmarkEnd w:id="52"/>
      <w:bookmarkEnd w:id="53"/>
      <w:r>
        <w:rPr>
          <w:rFonts w:hint="eastAsia" w:ascii="方正仿宋_GBK" w:hAnsi="方正仿宋_GBK" w:eastAsia="方正仿宋_GBK" w:cs="方正仿宋_GBK"/>
          <w:sz w:val="32"/>
          <w:szCs w:val="32"/>
        </w:rPr>
        <w:t>强化震后应急处置能力建设。</w:t>
      </w:r>
    </w:p>
    <w:p>
      <w:pPr>
        <w:pStyle w:val="20"/>
        <w:spacing w:line="576" w:lineRule="exact"/>
        <w:ind w:firstLine="643"/>
        <w:rPr>
          <w:rFonts w:eastAsia="方正仿宋_GBK"/>
          <w:sz w:val="32"/>
          <w:szCs w:val="32"/>
        </w:rPr>
      </w:pPr>
      <w:r>
        <w:rPr>
          <w:rFonts w:hint="eastAsia" w:ascii="方正仿宋_GBK" w:hAnsi="方正仿宋_GBK" w:eastAsia="方正仿宋_GBK" w:cs="方正仿宋_GBK"/>
          <w:b w:val="0"/>
          <w:bCs/>
          <w:sz w:val="32"/>
          <w:szCs w:val="32"/>
        </w:rPr>
        <w:t>问题导向，补齐短板。</w:t>
      </w:r>
      <w:r>
        <w:rPr>
          <w:rFonts w:hint="eastAsia" w:ascii="方正仿宋_GBK" w:hAnsi="方正仿宋_GBK" w:eastAsia="方正仿宋_GBK" w:cs="方正仿宋_GBK"/>
          <w:sz w:val="32"/>
          <w:szCs w:val="32"/>
        </w:rPr>
        <w:t>提高建设工</w:t>
      </w:r>
      <w:r>
        <w:rPr>
          <w:rFonts w:eastAsia="方正仿宋_GBK"/>
          <w:sz w:val="32"/>
          <w:szCs w:val="32"/>
        </w:rPr>
        <w:t>程抗震设防标准，加强抗震设施建设管理，加强房屋建筑风险监控，实施点、线、面结合，突出重点，筑牢抗震防灾安全底线。</w:t>
      </w:r>
    </w:p>
    <w:p>
      <w:pPr>
        <w:pStyle w:val="20"/>
        <w:spacing w:line="576" w:lineRule="exact"/>
        <w:ind w:firstLine="643"/>
        <w:rPr>
          <w:rFonts w:hint="eastAsia" w:ascii="方正仿宋_GBK" w:hAnsi="方正仿宋_GBK" w:eastAsia="方正仿宋_GBK" w:cs="方正仿宋_GBK"/>
          <w:sz w:val="32"/>
          <w:szCs w:val="32"/>
        </w:rPr>
      </w:pPr>
      <w:r>
        <w:rPr>
          <w:rFonts w:hint="eastAsia" w:ascii="方正仿宋_GBK" w:hAnsi="方正仿宋_GBK" w:eastAsia="方正仿宋_GBK" w:cs="方正仿宋_GBK"/>
          <w:b w:val="0"/>
          <w:bCs/>
          <w:sz w:val="32"/>
          <w:szCs w:val="32"/>
        </w:rPr>
        <w:t>管理规范，科学防灾。</w:t>
      </w:r>
      <w:r>
        <w:rPr>
          <w:rFonts w:hint="eastAsia" w:ascii="方正仿宋_GBK" w:hAnsi="方正仿宋_GBK" w:eastAsia="方正仿宋_GBK" w:cs="方正仿宋_GBK"/>
          <w:sz w:val="32"/>
          <w:szCs w:val="32"/>
        </w:rPr>
        <w:t>健全城市抗震防灾体系，坚持法治思维，依法行政，统筹近期安排与长远谋划，强化科技创新与监督管理，提高抗震防灾科技支撑能力，提升抗震防灾工作规范化、制度化和法制化水平。</w:t>
      </w:r>
    </w:p>
    <w:p>
      <w:pPr>
        <w:pStyle w:val="20"/>
        <w:spacing w:line="576" w:lineRule="exact"/>
        <w:ind w:firstLine="643"/>
        <w:rPr>
          <w:rFonts w:eastAsia="方正仿宋_GBK"/>
          <w:sz w:val="32"/>
          <w:szCs w:val="32"/>
        </w:rPr>
      </w:pPr>
      <w:r>
        <w:rPr>
          <w:rFonts w:hint="eastAsia" w:ascii="方正仿宋_GBK" w:hAnsi="方正仿宋_GBK" w:eastAsia="方正仿宋_GBK" w:cs="方正仿宋_GBK"/>
          <w:b w:val="0"/>
          <w:bCs/>
          <w:sz w:val="32"/>
          <w:szCs w:val="32"/>
        </w:rPr>
        <w:t>综合兼顾，适度超前。</w:t>
      </w:r>
      <w:r>
        <w:rPr>
          <w:rFonts w:hint="eastAsia" w:ascii="方正仿宋_GBK" w:hAnsi="方正仿宋_GBK" w:eastAsia="方正仿宋_GBK" w:cs="方正仿宋_GBK"/>
          <w:sz w:val="32"/>
          <w:szCs w:val="32"/>
        </w:rPr>
        <w:t>要满足新时期城市</w:t>
      </w:r>
      <w:r>
        <w:rPr>
          <w:rFonts w:eastAsia="方正仿宋_GBK"/>
          <w:sz w:val="32"/>
          <w:szCs w:val="32"/>
        </w:rPr>
        <w:t>建设的相关要求，实用性、可操作性和适度的超前性兼顾，以适应城市不同发展阶段综合防灾管理及建设需求。</w:t>
      </w:r>
    </w:p>
    <w:bookmarkEnd w:id="50"/>
    <w:bookmarkEnd w:id="51"/>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ascii="方正黑体_GBK" w:eastAsia="方正黑体_GBK"/>
        </w:rPr>
      </w:pPr>
      <w:r>
        <w:rPr>
          <w:rFonts w:hint="eastAsia" w:ascii="方正黑体_GBK" w:hAnsi="Times New Roman" w:eastAsia="方正黑体_GBK" w:cstheme="minorBidi"/>
          <w:b w:val="0"/>
          <w:bCs/>
          <w:kern w:val="0"/>
          <w:sz w:val="32"/>
          <w:szCs w:val="32"/>
          <w:lang w:val="en-US" w:eastAsia="zh-CN" w:bidi="ar-SA"/>
        </w:rPr>
        <w:t>第四条</w:t>
      </w:r>
      <w:r>
        <w:rPr>
          <w:rFonts w:ascii="方正黑体_GBK" w:eastAsia="方正黑体_GBK"/>
        </w:rPr>
        <w:t xml:space="preserve">  </w:t>
      </w:r>
      <w:bookmarkStart w:id="54" w:name="_Toc156306978"/>
      <w:bookmarkStart w:id="55" w:name="_Toc7859"/>
      <w:bookmarkStart w:id="56" w:name="_Toc158038101"/>
      <w:bookmarkStart w:id="57" w:name="_Toc17798"/>
      <w:bookmarkStart w:id="58" w:name="_Toc158038197"/>
      <w:r>
        <w:rPr>
          <w:rFonts w:ascii="方正黑体_GBK" w:eastAsia="方正黑体_GBK"/>
        </w:rPr>
        <w:t>规划依据</w:t>
      </w:r>
      <w:bookmarkEnd w:id="54"/>
      <w:bookmarkEnd w:id="55"/>
      <w:bookmarkEnd w:id="56"/>
      <w:bookmarkEnd w:id="57"/>
      <w:bookmarkEnd w:id="58"/>
    </w:p>
    <w:p>
      <w:pPr>
        <w:numPr>
          <w:ilvl w:val="0"/>
          <w:numId w:val="0"/>
        </w:numPr>
        <w:spacing w:line="576" w:lineRule="exact"/>
        <w:ind w:left="0" w:leftChars="0" w:firstLine="640" w:firstLineChars="200"/>
        <w:rPr>
          <w:szCs w:val="32"/>
        </w:rPr>
      </w:pPr>
      <w:r>
        <w:rPr>
          <w:rFonts w:ascii="Times New Roman" w:hAnsi="Times New Roman" w:eastAsia="方正仿宋_GBK" w:cs="Times New Roman"/>
          <w:kern w:val="2"/>
          <w:sz w:val="32"/>
          <w:szCs w:val="32"/>
          <w:lang w:val="en-US" w:eastAsia="zh-CN" w:bidi="ar-SA"/>
        </w:rPr>
        <w:t>1</w:t>
      </w:r>
      <w:r>
        <w:rPr>
          <w:rFonts w:hint="default" w:ascii="Times New Roman" w:hAnsi="Times New Roman" w:eastAsia="方正仿宋_GBK" w:cs="Times New Roman"/>
          <w:b w:val="0"/>
          <w:bCs w:val="0"/>
          <w:sz w:val="32"/>
          <w:szCs w:val="32"/>
          <w:lang w:val="en-US" w:eastAsia="zh-CN"/>
        </w:rPr>
        <w:t>．</w:t>
      </w:r>
      <w:r>
        <w:rPr>
          <w:szCs w:val="32"/>
        </w:rPr>
        <w:t>《中华人民共和国城乡规划法》（2019年修正）；</w:t>
      </w:r>
    </w:p>
    <w:p>
      <w:pPr>
        <w:numPr>
          <w:ilvl w:val="0"/>
          <w:numId w:val="0"/>
        </w:numPr>
        <w:spacing w:line="576" w:lineRule="exact"/>
        <w:ind w:left="0" w:leftChars="0" w:firstLine="640" w:firstLineChars="200"/>
        <w:rPr>
          <w:szCs w:val="32"/>
        </w:rPr>
      </w:pPr>
      <w:r>
        <w:rPr>
          <w:rFonts w:ascii="Times New Roman" w:hAnsi="Times New Roman" w:eastAsia="方正仿宋_GBK" w:cs="Times New Roman"/>
          <w:kern w:val="2"/>
          <w:sz w:val="32"/>
          <w:szCs w:val="32"/>
          <w:lang w:val="en-US" w:eastAsia="zh-CN" w:bidi="ar-SA"/>
        </w:rPr>
        <w:t>2</w:t>
      </w:r>
      <w:r>
        <w:rPr>
          <w:rFonts w:hint="default" w:ascii="Times New Roman" w:hAnsi="Times New Roman" w:eastAsia="方正仿宋_GBK" w:cs="Times New Roman"/>
          <w:b w:val="0"/>
          <w:bCs w:val="0"/>
          <w:sz w:val="32"/>
          <w:szCs w:val="32"/>
          <w:lang w:val="en-US" w:eastAsia="zh-CN"/>
        </w:rPr>
        <w:t>．</w:t>
      </w:r>
      <w:r>
        <w:rPr>
          <w:szCs w:val="32"/>
        </w:rPr>
        <w:t>《中华人民共和国防震减灾法》（2009年）；</w:t>
      </w:r>
    </w:p>
    <w:p>
      <w:pPr>
        <w:numPr>
          <w:ilvl w:val="0"/>
          <w:numId w:val="0"/>
        </w:numPr>
        <w:spacing w:line="576" w:lineRule="exact"/>
        <w:ind w:left="0" w:leftChars="0" w:firstLine="640" w:firstLineChars="200"/>
        <w:rPr>
          <w:szCs w:val="32"/>
        </w:rPr>
      </w:pPr>
      <w:r>
        <w:rPr>
          <w:rFonts w:ascii="Times New Roman" w:hAnsi="Times New Roman" w:eastAsia="方正仿宋_GBK" w:cs="Times New Roman"/>
          <w:kern w:val="2"/>
          <w:sz w:val="32"/>
          <w:szCs w:val="32"/>
          <w:lang w:val="en-US" w:eastAsia="zh-CN" w:bidi="ar-SA"/>
        </w:rPr>
        <w:t>3</w:t>
      </w:r>
      <w:r>
        <w:rPr>
          <w:rFonts w:hint="default" w:ascii="Times New Roman" w:hAnsi="Times New Roman" w:eastAsia="方正仿宋_GBK" w:cs="Times New Roman"/>
          <w:b w:val="0"/>
          <w:bCs w:val="0"/>
          <w:sz w:val="32"/>
          <w:szCs w:val="32"/>
          <w:lang w:val="en-US" w:eastAsia="zh-CN"/>
        </w:rPr>
        <w:t>．</w:t>
      </w:r>
      <w:r>
        <w:rPr>
          <w:szCs w:val="32"/>
        </w:rPr>
        <w:t>《中华人民共和国突发事件应对法》（2007年11月1日起施行）；</w:t>
      </w:r>
    </w:p>
    <w:p>
      <w:pPr>
        <w:numPr>
          <w:ilvl w:val="0"/>
          <w:numId w:val="0"/>
        </w:numPr>
        <w:spacing w:line="576" w:lineRule="exact"/>
        <w:ind w:left="0" w:leftChars="0" w:firstLine="640" w:firstLineChars="200"/>
        <w:rPr>
          <w:szCs w:val="32"/>
        </w:rPr>
      </w:pPr>
      <w:r>
        <w:rPr>
          <w:rFonts w:ascii="Times New Roman" w:hAnsi="Times New Roman" w:eastAsia="方正仿宋_GBK" w:cs="Times New Roman"/>
          <w:kern w:val="2"/>
          <w:sz w:val="32"/>
          <w:szCs w:val="32"/>
          <w:lang w:val="en-US" w:eastAsia="zh-CN" w:bidi="ar-SA"/>
        </w:rPr>
        <w:t>4</w:t>
      </w:r>
      <w:r>
        <w:rPr>
          <w:rFonts w:hint="default" w:ascii="Times New Roman" w:hAnsi="Times New Roman" w:eastAsia="方正仿宋_GBK" w:cs="Times New Roman"/>
          <w:b w:val="0"/>
          <w:bCs w:val="0"/>
          <w:sz w:val="32"/>
          <w:szCs w:val="32"/>
          <w:lang w:val="en-US" w:eastAsia="zh-CN"/>
        </w:rPr>
        <w:t>．</w:t>
      </w:r>
      <w:r>
        <w:rPr>
          <w:szCs w:val="32"/>
        </w:rPr>
        <w:t>《城市抗震防灾规划管理规定》（建设部令第117号，2003年11月1日起施行）；</w:t>
      </w:r>
    </w:p>
    <w:p>
      <w:pPr>
        <w:numPr>
          <w:ilvl w:val="0"/>
          <w:numId w:val="0"/>
        </w:numPr>
        <w:spacing w:line="576" w:lineRule="exact"/>
        <w:ind w:left="0" w:leftChars="0" w:firstLine="640" w:firstLineChars="200"/>
        <w:rPr>
          <w:szCs w:val="32"/>
        </w:rPr>
      </w:pPr>
      <w:r>
        <w:rPr>
          <w:rFonts w:ascii="Times New Roman" w:hAnsi="Times New Roman" w:eastAsia="方正仿宋_GBK" w:cs="Times New Roman"/>
          <w:kern w:val="2"/>
          <w:sz w:val="32"/>
          <w:szCs w:val="32"/>
          <w:lang w:val="en-US" w:eastAsia="zh-CN" w:bidi="ar-SA"/>
        </w:rPr>
        <w:t>5</w:t>
      </w:r>
      <w:r>
        <w:rPr>
          <w:rFonts w:hint="default" w:ascii="Times New Roman" w:hAnsi="Times New Roman" w:eastAsia="方正仿宋_GBK" w:cs="Times New Roman"/>
          <w:b w:val="0"/>
          <w:bCs w:val="0"/>
          <w:sz w:val="32"/>
          <w:szCs w:val="32"/>
          <w:lang w:val="en-US" w:eastAsia="zh-CN"/>
        </w:rPr>
        <w:t>．</w:t>
      </w:r>
      <w:r>
        <w:rPr>
          <w:szCs w:val="32"/>
        </w:rPr>
        <w:t>《市政公用设施抗灾设防管理规定》（住建部令第1号，20</w:t>
      </w:r>
      <w:r>
        <w:rPr>
          <w:rFonts w:hint="eastAsia"/>
          <w:szCs w:val="32"/>
          <w:lang w:val="en-US" w:eastAsia="zh-CN"/>
        </w:rPr>
        <w:t>15</w:t>
      </w:r>
      <w:r>
        <w:rPr>
          <w:szCs w:val="32"/>
        </w:rPr>
        <w:t>年</w:t>
      </w:r>
      <w:r>
        <w:rPr>
          <w:rFonts w:hint="eastAsia"/>
          <w:szCs w:val="32"/>
          <w:lang w:eastAsia="zh-CN"/>
        </w:rPr>
        <w:t>修正</w:t>
      </w:r>
      <w:r>
        <w:rPr>
          <w:szCs w:val="32"/>
        </w:rPr>
        <w:t>）；</w:t>
      </w:r>
    </w:p>
    <w:p>
      <w:pPr>
        <w:numPr>
          <w:ilvl w:val="0"/>
          <w:numId w:val="0"/>
        </w:numPr>
        <w:spacing w:line="576" w:lineRule="exact"/>
        <w:ind w:left="0" w:leftChars="0" w:firstLine="640" w:firstLineChars="200"/>
        <w:rPr>
          <w:szCs w:val="32"/>
        </w:rPr>
      </w:pPr>
      <w:r>
        <w:rPr>
          <w:rFonts w:ascii="Times New Roman" w:hAnsi="Times New Roman" w:eastAsia="方正仿宋_GBK" w:cs="Times New Roman"/>
          <w:kern w:val="2"/>
          <w:sz w:val="32"/>
          <w:szCs w:val="32"/>
          <w:lang w:val="en-US" w:eastAsia="zh-CN" w:bidi="ar-SA"/>
        </w:rPr>
        <w:t>6</w:t>
      </w:r>
      <w:r>
        <w:rPr>
          <w:rFonts w:hint="default" w:ascii="Times New Roman" w:hAnsi="Times New Roman" w:eastAsia="方正仿宋_GBK" w:cs="Times New Roman"/>
          <w:b w:val="0"/>
          <w:bCs w:val="0"/>
          <w:sz w:val="32"/>
          <w:szCs w:val="32"/>
          <w:lang w:val="en-US" w:eastAsia="zh-CN"/>
        </w:rPr>
        <w:t>．</w:t>
      </w:r>
      <w:r>
        <w:rPr>
          <w:szCs w:val="32"/>
        </w:rPr>
        <w:t>《房屋建筑工程抗震设防管理规定》（建设部令148号，2006年4月1日起施行）；</w:t>
      </w:r>
    </w:p>
    <w:p>
      <w:pPr>
        <w:numPr>
          <w:ilvl w:val="0"/>
          <w:numId w:val="0"/>
        </w:numPr>
        <w:spacing w:line="576" w:lineRule="exact"/>
        <w:ind w:left="0" w:leftChars="0" w:firstLine="640" w:firstLineChars="200"/>
        <w:rPr>
          <w:szCs w:val="32"/>
        </w:rPr>
      </w:pPr>
      <w:r>
        <w:rPr>
          <w:rFonts w:ascii="Times New Roman" w:hAnsi="Times New Roman" w:eastAsia="方正仿宋_GBK" w:cs="Times New Roman"/>
          <w:kern w:val="2"/>
          <w:sz w:val="32"/>
          <w:szCs w:val="32"/>
          <w:lang w:val="en-US" w:eastAsia="zh-CN" w:bidi="ar-SA"/>
        </w:rPr>
        <w:t>7</w:t>
      </w:r>
      <w:r>
        <w:rPr>
          <w:rFonts w:hint="eastAsia" w:cs="Times New Roman"/>
          <w:b w:val="0"/>
          <w:bCs w:val="0"/>
          <w:sz w:val="32"/>
          <w:szCs w:val="32"/>
          <w:lang w:val="en-US" w:eastAsia="zh-CN"/>
        </w:rPr>
        <w:t>．</w:t>
      </w:r>
      <w:r>
        <w:rPr>
          <w:szCs w:val="32"/>
        </w:rPr>
        <w:t>《中华人民共和国地震动参数区划图》（GB 18306</w:t>
      </w:r>
      <w:r>
        <w:rPr>
          <w:rFonts w:hint="eastAsia" w:ascii="方正仿宋_GBK" w:hAnsi="方正仿宋_GBK" w:eastAsia="方正仿宋_GBK" w:cs="方正仿宋_GBK"/>
          <w:szCs w:val="32"/>
        </w:rPr>
        <w:t>-</w:t>
      </w:r>
      <w:r>
        <w:rPr>
          <w:szCs w:val="32"/>
        </w:rPr>
        <w:t>2015）；</w:t>
      </w:r>
    </w:p>
    <w:p>
      <w:pPr>
        <w:numPr>
          <w:ilvl w:val="0"/>
          <w:numId w:val="0"/>
        </w:numPr>
        <w:spacing w:line="576" w:lineRule="exact"/>
        <w:ind w:left="0" w:leftChars="0" w:firstLine="640" w:firstLineChars="200"/>
        <w:rPr>
          <w:szCs w:val="32"/>
        </w:rPr>
      </w:pPr>
      <w:r>
        <w:rPr>
          <w:rFonts w:ascii="Times New Roman" w:hAnsi="Times New Roman" w:eastAsia="方正仿宋_GBK" w:cs="Times New Roman"/>
          <w:kern w:val="2"/>
          <w:sz w:val="32"/>
          <w:szCs w:val="32"/>
          <w:lang w:val="en-US" w:eastAsia="zh-CN" w:bidi="ar-SA"/>
        </w:rPr>
        <w:t>8</w:t>
      </w:r>
      <w:r>
        <w:rPr>
          <w:rFonts w:hint="default" w:ascii="Times New Roman" w:hAnsi="Times New Roman" w:eastAsia="方正仿宋_GBK" w:cs="Times New Roman"/>
          <w:b w:val="0"/>
          <w:bCs w:val="0"/>
          <w:sz w:val="32"/>
          <w:szCs w:val="32"/>
          <w:lang w:val="en-US" w:eastAsia="zh-CN"/>
        </w:rPr>
        <w:t>．</w:t>
      </w:r>
      <w:r>
        <w:rPr>
          <w:szCs w:val="32"/>
        </w:rPr>
        <w:t>《城市抗震防灾规划标准》（GB 50413</w:t>
      </w:r>
      <w:r>
        <w:rPr>
          <w:rFonts w:hint="eastAsia" w:ascii="方正仿宋_GBK" w:hAnsi="方正仿宋_GBK" w:eastAsia="方正仿宋_GBK" w:cs="方正仿宋_GBK"/>
          <w:szCs w:val="32"/>
        </w:rPr>
        <w:t>-</w:t>
      </w:r>
      <w:r>
        <w:rPr>
          <w:szCs w:val="32"/>
        </w:rPr>
        <w:t>2007）；</w:t>
      </w:r>
    </w:p>
    <w:p>
      <w:pPr>
        <w:numPr>
          <w:ilvl w:val="0"/>
          <w:numId w:val="0"/>
        </w:numPr>
        <w:spacing w:line="576" w:lineRule="exact"/>
        <w:ind w:left="0" w:leftChars="0" w:firstLine="640" w:firstLineChars="200"/>
        <w:rPr>
          <w:szCs w:val="32"/>
        </w:rPr>
      </w:pPr>
      <w:r>
        <w:rPr>
          <w:rFonts w:ascii="Times New Roman" w:hAnsi="Times New Roman" w:eastAsia="方正仿宋_GBK" w:cs="Times New Roman"/>
          <w:kern w:val="2"/>
          <w:sz w:val="32"/>
          <w:szCs w:val="32"/>
          <w:lang w:val="en-US" w:eastAsia="zh-CN" w:bidi="ar-SA"/>
        </w:rPr>
        <w:t>9</w:t>
      </w:r>
      <w:r>
        <w:rPr>
          <w:rFonts w:hint="default" w:ascii="Times New Roman" w:hAnsi="Times New Roman" w:eastAsia="方正仿宋_GBK" w:cs="Times New Roman"/>
          <w:b w:val="0"/>
          <w:bCs w:val="0"/>
          <w:sz w:val="32"/>
          <w:szCs w:val="32"/>
          <w:lang w:val="en-US" w:eastAsia="zh-CN"/>
        </w:rPr>
        <w:t>．</w:t>
      </w:r>
      <w:r>
        <w:rPr>
          <w:szCs w:val="32"/>
        </w:rPr>
        <w:t>《建设工程抗震管理条例》（中华人民共和国国务院令第744号，2021年9月1日起施行）；</w:t>
      </w:r>
    </w:p>
    <w:p>
      <w:pPr>
        <w:numPr>
          <w:ilvl w:val="0"/>
          <w:numId w:val="0"/>
        </w:numPr>
        <w:spacing w:line="576" w:lineRule="exact"/>
        <w:ind w:left="0" w:leftChars="0" w:firstLine="640" w:firstLineChars="200"/>
        <w:rPr>
          <w:szCs w:val="32"/>
        </w:rPr>
      </w:pPr>
      <w:r>
        <w:rPr>
          <w:rFonts w:ascii="Times New Roman" w:hAnsi="Times New Roman" w:eastAsia="方正仿宋_GBK" w:cs="Times New Roman"/>
          <w:kern w:val="2"/>
          <w:sz w:val="32"/>
          <w:szCs w:val="32"/>
          <w:lang w:val="en-US" w:eastAsia="zh-CN" w:bidi="ar-SA"/>
        </w:rPr>
        <w:t>10</w:t>
      </w:r>
      <w:r>
        <w:rPr>
          <w:rFonts w:hint="default" w:ascii="Times New Roman" w:hAnsi="Times New Roman" w:eastAsia="方正仿宋_GBK" w:cs="Times New Roman"/>
          <w:b w:val="0"/>
          <w:bCs w:val="0"/>
          <w:sz w:val="32"/>
          <w:szCs w:val="32"/>
          <w:lang w:val="en-US" w:eastAsia="zh-CN"/>
        </w:rPr>
        <w:t>．</w:t>
      </w:r>
      <w:r>
        <w:rPr>
          <w:szCs w:val="32"/>
        </w:rPr>
        <w:t>《建筑工程抗震设防分类标准》（GB 50223</w:t>
      </w:r>
      <w:r>
        <w:rPr>
          <w:rFonts w:hint="eastAsia" w:ascii="方正仿宋_GBK" w:hAnsi="方正仿宋_GBK" w:eastAsia="方正仿宋_GBK" w:cs="方正仿宋_GBK"/>
          <w:szCs w:val="32"/>
        </w:rPr>
        <w:t>-</w:t>
      </w:r>
      <w:r>
        <w:rPr>
          <w:szCs w:val="32"/>
        </w:rPr>
        <w:t>2008）；</w:t>
      </w:r>
    </w:p>
    <w:p>
      <w:pPr>
        <w:numPr>
          <w:ilvl w:val="0"/>
          <w:numId w:val="0"/>
        </w:numPr>
        <w:spacing w:line="576" w:lineRule="exact"/>
        <w:ind w:left="0" w:leftChars="0" w:firstLine="640" w:firstLineChars="200"/>
        <w:rPr>
          <w:szCs w:val="32"/>
        </w:rPr>
      </w:pPr>
      <w:r>
        <w:rPr>
          <w:rFonts w:ascii="Times New Roman" w:hAnsi="Times New Roman" w:eastAsia="方正仿宋_GBK" w:cs="Times New Roman"/>
          <w:kern w:val="2"/>
          <w:sz w:val="32"/>
          <w:szCs w:val="32"/>
          <w:lang w:val="en-US" w:eastAsia="zh-CN" w:bidi="ar-SA"/>
        </w:rPr>
        <w:t>11</w:t>
      </w:r>
      <w:r>
        <w:rPr>
          <w:rFonts w:hint="default" w:ascii="Times New Roman" w:hAnsi="Times New Roman" w:eastAsia="方正仿宋_GBK" w:cs="Times New Roman"/>
          <w:b w:val="0"/>
          <w:bCs w:val="0"/>
          <w:sz w:val="32"/>
          <w:szCs w:val="32"/>
          <w:lang w:val="en-US" w:eastAsia="zh-CN"/>
        </w:rPr>
        <w:t>．</w:t>
      </w:r>
      <w:r>
        <w:rPr>
          <w:szCs w:val="32"/>
        </w:rPr>
        <w:t>《防灾避难场所设计规范（GB 51143</w:t>
      </w:r>
      <w:r>
        <w:rPr>
          <w:rFonts w:hint="eastAsia" w:ascii="方正仿宋_GBK" w:hAnsi="方正仿宋_GBK" w:eastAsia="方正仿宋_GBK" w:cs="方正仿宋_GBK"/>
          <w:szCs w:val="32"/>
        </w:rPr>
        <w:t>-</w:t>
      </w:r>
      <w:r>
        <w:rPr>
          <w:szCs w:val="32"/>
        </w:rPr>
        <w:t>2015）》（2021年版）；</w:t>
      </w:r>
    </w:p>
    <w:p>
      <w:pPr>
        <w:numPr>
          <w:ilvl w:val="0"/>
          <w:numId w:val="0"/>
        </w:numPr>
        <w:spacing w:line="576" w:lineRule="exact"/>
        <w:ind w:left="0" w:leftChars="0" w:firstLine="640" w:firstLineChars="200"/>
        <w:rPr>
          <w:szCs w:val="32"/>
        </w:rPr>
      </w:pPr>
      <w:r>
        <w:rPr>
          <w:rFonts w:ascii="Times New Roman" w:hAnsi="Times New Roman" w:eastAsia="方正仿宋_GBK" w:cs="Times New Roman"/>
          <w:kern w:val="2"/>
          <w:sz w:val="32"/>
          <w:szCs w:val="32"/>
          <w:lang w:val="en-US" w:eastAsia="zh-CN" w:bidi="ar-SA"/>
        </w:rPr>
        <w:t>12</w:t>
      </w:r>
      <w:r>
        <w:rPr>
          <w:rFonts w:hint="default" w:ascii="Times New Roman" w:hAnsi="Times New Roman" w:eastAsia="方正仿宋_GBK" w:cs="Times New Roman"/>
          <w:b w:val="0"/>
          <w:bCs w:val="0"/>
          <w:sz w:val="32"/>
          <w:szCs w:val="32"/>
          <w:lang w:val="en-US" w:eastAsia="zh-CN"/>
        </w:rPr>
        <w:t>．</w:t>
      </w:r>
      <w:r>
        <w:rPr>
          <w:szCs w:val="32"/>
        </w:rPr>
        <w:t>《建筑抗震设计规范（GB 50011</w:t>
      </w:r>
      <w:r>
        <w:rPr>
          <w:rFonts w:hint="eastAsia" w:ascii="方正仿宋_GBK" w:hAnsi="方正仿宋_GBK" w:eastAsia="方正仿宋_GBK" w:cs="方正仿宋_GBK"/>
          <w:szCs w:val="32"/>
        </w:rPr>
        <w:t>-</w:t>
      </w:r>
      <w:r>
        <w:rPr>
          <w:szCs w:val="32"/>
        </w:rPr>
        <w:t>2010）》（2016年版）；</w:t>
      </w:r>
    </w:p>
    <w:p>
      <w:pPr>
        <w:numPr>
          <w:ilvl w:val="0"/>
          <w:numId w:val="0"/>
        </w:numPr>
        <w:spacing w:line="576" w:lineRule="exact"/>
        <w:ind w:left="0" w:leftChars="0" w:firstLine="640" w:firstLineChars="200"/>
        <w:rPr>
          <w:szCs w:val="32"/>
        </w:rPr>
      </w:pPr>
      <w:r>
        <w:rPr>
          <w:rFonts w:ascii="Times New Roman" w:hAnsi="Times New Roman" w:eastAsia="方正仿宋_GBK" w:cs="Times New Roman"/>
          <w:kern w:val="2"/>
          <w:sz w:val="32"/>
          <w:szCs w:val="32"/>
          <w:lang w:val="en-US" w:eastAsia="zh-CN" w:bidi="ar-SA"/>
        </w:rPr>
        <w:t>13</w:t>
      </w:r>
      <w:r>
        <w:rPr>
          <w:rFonts w:hint="default" w:ascii="Times New Roman" w:hAnsi="Times New Roman" w:eastAsia="方正仿宋_GBK" w:cs="Times New Roman"/>
          <w:b w:val="0"/>
          <w:bCs w:val="0"/>
          <w:sz w:val="32"/>
          <w:szCs w:val="32"/>
          <w:lang w:val="en-US" w:eastAsia="zh-CN"/>
        </w:rPr>
        <w:t>．</w:t>
      </w:r>
      <w:r>
        <w:rPr>
          <w:szCs w:val="32"/>
        </w:rPr>
        <w:t>《工程结构通用规范》（GB 55001</w:t>
      </w:r>
      <w:r>
        <w:rPr>
          <w:rFonts w:hint="eastAsia" w:ascii="方正仿宋_GBK" w:hAnsi="方正仿宋_GBK" w:eastAsia="方正仿宋_GBK" w:cs="方正仿宋_GBK"/>
          <w:szCs w:val="32"/>
        </w:rPr>
        <w:t>-</w:t>
      </w:r>
      <w:r>
        <w:rPr>
          <w:szCs w:val="32"/>
        </w:rPr>
        <w:t>2021）；</w:t>
      </w:r>
    </w:p>
    <w:p>
      <w:pPr>
        <w:numPr>
          <w:ilvl w:val="0"/>
          <w:numId w:val="0"/>
        </w:numPr>
        <w:spacing w:line="576" w:lineRule="exact"/>
        <w:ind w:left="0" w:leftChars="0" w:firstLine="640" w:firstLineChars="200"/>
        <w:rPr>
          <w:szCs w:val="32"/>
        </w:rPr>
      </w:pPr>
      <w:r>
        <w:rPr>
          <w:rFonts w:ascii="Times New Roman" w:hAnsi="Times New Roman" w:eastAsia="方正仿宋_GBK" w:cs="Times New Roman"/>
          <w:kern w:val="2"/>
          <w:sz w:val="32"/>
          <w:szCs w:val="32"/>
          <w:lang w:val="en-US" w:eastAsia="zh-CN" w:bidi="ar-SA"/>
        </w:rPr>
        <w:t>14</w:t>
      </w:r>
      <w:r>
        <w:rPr>
          <w:rFonts w:hint="default" w:ascii="Times New Roman" w:hAnsi="Times New Roman" w:eastAsia="方正仿宋_GBK" w:cs="Times New Roman"/>
          <w:b w:val="0"/>
          <w:bCs w:val="0"/>
          <w:sz w:val="32"/>
          <w:szCs w:val="32"/>
          <w:lang w:val="en-US" w:eastAsia="zh-CN"/>
        </w:rPr>
        <w:t>．</w:t>
      </w:r>
      <w:r>
        <w:rPr>
          <w:szCs w:val="32"/>
        </w:rPr>
        <w:t>《构筑物抗震设计规范》（GB 50191</w:t>
      </w:r>
      <w:r>
        <w:rPr>
          <w:rFonts w:hint="eastAsia" w:ascii="方正仿宋_GBK" w:hAnsi="方正仿宋_GBK" w:eastAsia="方正仿宋_GBK" w:cs="方正仿宋_GBK"/>
          <w:szCs w:val="32"/>
        </w:rPr>
        <w:t>-</w:t>
      </w:r>
      <w:r>
        <w:rPr>
          <w:szCs w:val="32"/>
        </w:rPr>
        <w:t>2012）；</w:t>
      </w:r>
    </w:p>
    <w:p>
      <w:pPr>
        <w:numPr>
          <w:ilvl w:val="0"/>
          <w:numId w:val="0"/>
        </w:numPr>
        <w:spacing w:line="576" w:lineRule="exact"/>
        <w:ind w:left="0" w:leftChars="0" w:firstLine="640" w:firstLineChars="200"/>
        <w:rPr>
          <w:szCs w:val="32"/>
        </w:rPr>
      </w:pPr>
      <w:r>
        <w:rPr>
          <w:rFonts w:ascii="Times New Roman" w:hAnsi="Times New Roman" w:eastAsia="方正仿宋_GBK" w:cs="Times New Roman"/>
          <w:kern w:val="2"/>
          <w:sz w:val="32"/>
          <w:szCs w:val="32"/>
          <w:lang w:val="en-US" w:eastAsia="zh-CN" w:bidi="ar-SA"/>
        </w:rPr>
        <w:t>15</w:t>
      </w:r>
      <w:r>
        <w:rPr>
          <w:rFonts w:hint="default" w:ascii="Times New Roman" w:hAnsi="Times New Roman" w:eastAsia="方正仿宋_GBK" w:cs="Times New Roman"/>
          <w:b w:val="0"/>
          <w:bCs w:val="0"/>
          <w:sz w:val="32"/>
          <w:szCs w:val="32"/>
          <w:lang w:val="en-US" w:eastAsia="zh-CN"/>
        </w:rPr>
        <w:t>．</w:t>
      </w:r>
      <w:r>
        <w:rPr>
          <w:szCs w:val="32"/>
        </w:rPr>
        <w:t>《建筑与市政工程抗震通用规范》（GB 55002</w:t>
      </w:r>
      <w:r>
        <w:rPr>
          <w:rFonts w:hint="eastAsia" w:ascii="方正仿宋_GBK" w:hAnsi="方正仿宋_GBK" w:eastAsia="方正仿宋_GBK" w:cs="方正仿宋_GBK"/>
          <w:szCs w:val="32"/>
        </w:rPr>
        <w:t>-</w:t>
      </w:r>
      <w:r>
        <w:rPr>
          <w:szCs w:val="32"/>
        </w:rPr>
        <w:t>2021）；</w:t>
      </w:r>
    </w:p>
    <w:p>
      <w:pPr>
        <w:numPr>
          <w:ilvl w:val="0"/>
          <w:numId w:val="0"/>
        </w:numPr>
        <w:spacing w:line="576" w:lineRule="exact"/>
        <w:ind w:left="0" w:leftChars="0" w:firstLine="640" w:firstLineChars="200"/>
        <w:rPr>
          <w:szCs w:val="32"/>
        </w:rPr>
      </w:pPr>
      <w:r>
        <w:rPr>
          <w:rFonts w:ascii="Times New Roman" w:hAnsi="Times New Roman" w:eastAsia="方正仿宋_GBK" w:cs="Times New Roman"/>
          <w:kern w:val="2"/>
          <w:sz w:val="32"/>
          <w:szCs w:val="32"/>
          <w:lang w:val="en-US" w:eastAsia="zh-CN" w:bidi="ar-SA"/>
        </w:rPr>
        <w:t>16</w:t>
      </w:r>
      <w:r>
        <w:rPr>
          <w:rFonts w:hint="default" w:ascii="Times New Roman" w:hAnsi="Times New Roman" w:eastAsia="方正仿宋_GBK" w:cs="Times New Roman"/>
          <w:b w:val="0"/>
          <w:bCs w:val="0"/>
          <w:sz w:val="32"/>
          <w:szCs w:val="32"/>
          <w:lang w:val="en-US" w:eastAsia="zh-CN"/>
        </w:rPr>
        <w:t>．</w:t>
      </w:r>
      <w:r>
        <w:rPr>
          <w:szCs w:val="32"/>
        </w:rPr>
        <w:t>《建筑抗震鉴定标准》（GB 50023</w:t>
      </w:r>
      <w:r>
        <w:rPr>
          <w:rFonts w:hint="eastAsia" w:ascii="方正仿宋_GBK" w:hAnsi="方正仿宋_GBK" w:eastAsia="方正仿宋_GBK" w:cs="方正仿宋_GBK"/>
          <w:szCs w:val="32"/>
        </w:rPr>
        <w:t>-</w:t>
      </w:r>
      <w:r>
        <w:rPr>
          <w:szCs w:val="32"/>
        </w:rPr>
        <w:t>2009）；</w:t>
      </w:r>
    </w:p>
    <w:p>
      <w:pPr>
        <w:numPr>
          <w:ilvl w:val="0"/>
          <w:numId w:val="0"/>
        </w:numPr>
        <w:spacing w:line="576" w:lineRule="exact"/>
        <w:ind w:left="0" w:leftChars="0" w:firstLine="640" w:firstLineChars="200"/>
        <w:rPr>
          <w:szCs w:val="32"/>
        </w:rPr>
      </w:pPr>
      <w:r>
        <w:rPr>
          <w:rFonts w:ascii="Times New Roman" w:hAnsi="Times New Roman" w:eastAsia="方正仿宋_GBK" w:cs="Times New Roman"/>
          <w:kern w:val="2"/>
          <w:sz w:val="32"/>
          <w:szCs w:val="32"/>
          <w:lang w:val="en-US" w:eastAsia="zh-CN" w:bidi="ar-SA"/>
        </w:rPr>
        <w:t>17</w:t>
      </w:r>
      <w:r>
        <w:rPr>
          <w:rFonts w:hint="default" w:ascii="Times New Roman" w:hAnsi="Times New Roman" w:eastAsia="方正仿宋_GBK" w:cs="Times New Roman"/>
          <w:b w:val="0"/>
          <w:bCs w:val="0"/>
          <w:sz w:val="32"/>
          <w:szCs w:val="32"/>
          <w:lang w:val="en-US" w:eastAsia="zh-CN"/>
        </w:rPr>
        <w:t>．</w:t>
      </w:r>
      <w:r>
        <w:rPr>
          <w:szCs w:val="32"/>
        </w:rPr>
        <w:t>《构筑物抗震鉴定标准》（GB 50117</w:t>
      </w:r>
      <w:r>
        <w:rPr>
          <w:rFonts w:hint="eastAsia" w:ascii="方正仿宋_GBK" w:hAnsi="方正仿宋_GBK" w:eastAsia="方正仿宋_GBK" w:cs="方正仿宋_GBK"/>
          <w:szCs w:val="32"/>
        </w:rPr>
        <w:t>-</w:t>
      </w:r>
      <w:r>
        <w:rPr>
          <w:szCs w:val="32"/>
        </w:rPr>
        <w:t>2014）；</w:t>
      </w:r>
    </w:p>
    <w:p>
      <w:pPr>
        <w:numPr>
          <w:ilvl w:val="0"/>
          <w:numId w:val="0"/>
        </w:numPr>
        <w:spacing w:line="576" w:lineRule="exact"/>
        <w:ind w:left="0" w:leftChars="0" w:firstLine="640" w:firstLineChars="200"/>
        <w:rPr>
          <w:szCs w:val="32"/>
        </w:rPr>
      </w:pPr>
      <w:r>
        <w:rPr>
          <w:rFonts w:ascii="Times New Roman" w:hAnsi="Times New Roman" w:eastAsia="方正仿宋_GBK" w:cs="Times New Roman"/>
          <w:kern w:val="2"/>
          <w:sz w:val="32"/>
          <w:szCs w:val="32"/>
          <w:lang w:val="en-US" w:eastAsia="zh-CN" w:bidi="ar-SA"/>
        </w:rPr>
        <w:t>18</w:t>
      </w:r>
      <w:r>
        <w:rPr>
          <w:rFonts w:hint="default" w:ascii="Times New Roman" w:hAnsi="Times New Roman" w:eastAsia="方正仿宋_GBK" w:cs="Times New Roman"/>
          <w:b w:val="0"/>
          <w:bCs w:val="0"/>
          <w:sz w:val="32"/>
          <w:szCs w:val="32"/>
          <w:lang w:val="en-US" w:eastAsia="zh-CN"/>
        </w:rPr>
        <w:t>．</w:t>
      </w:r>
      <w:r>
        <w:rPr>
          <w:szCs w:val="32"/>
        </w:rPr>
        <w:t>《地震应急避难场所场址及配套设施》（GB 21734</w:t>
      </w:r>
      <w:r>
        <w:rPr>
          <w:rFonts w:hint="eastAsia" w:ascii="方正仿宋_GBK" w:hAnsi="方正仿宋_GBK" w:eastAsia="方正仿宋_GBK" w:cs="方正仿宋_GBK"/>
          <w:szCs w:val="32"/>
        </w:rPr>
        <w:t>-</w:t>
      </w:r>
      <w:r>
        <w:rPr>
          <w:szCs w:val="32"/>
        </w:rPr>
        <w:t>2008）；</w:t>
      </w:r>
    </w:p>
    <w:p>
      <w:pPr>
        <w:numPr>
          <w:ilvl w:val="0"/>
          <w:numId w:val="0"/>
        </w:numPr>
        <w:spacing w:line="576" w:lineRule="exact"/>
        <w:ind w:left="0" w:leftChars="0" w:firstLine="640" w:firstLineChars="200"/>
        <w:rPr>
          <w:szCs w:val="32"/>
        </w:rPr>
      </w:pPr>
      <w:r>
        <w:rPr>
          <w:rFonts w:ascii="Times New Roman" w:hAnsi="Times New Roman" w:eastAsia="方正仿宋_GBK" w:cs="Times New Roman"/>
          <w:kern w:val="2"/>
          <w:sz w:val="32"/>
          <w:szCs w:val="32"/>
          <w:lang w:val="en-US" w:eastAsia="zh-CN" w:bidi="ar-SA"/>
        </w:rPr>
        <w:t>19</w:t>
      </w:r>
      <w:r>
        <w:rPr>
          <w:rFonts w:hint="default" w:ascii="Times New Roman" w:hAnsi="Times New Roman" w:eastAsia="方正仿宋_GBK" w:cs="Times New Roman"/>
          <w:b w:val="0"/>
          <w:bCs w:val="0"/>
          <w:sz w:val="32"/>
          <w:szCs w:val="32"/>
          <w:lang w:val="en-US" w:eastAsia="zh-CN"/>
        </w:rPr>
        <w:t>．</w:t>
      </w:r>
      <w:r>
        <w:rPr>
          <w:szCs w:val="32"/>
        </w:rPr>
        <w:t>《新时代防震减灾事业现代化纲要（2019—2035年）》；</w:t>
      </w:r>
    </w:p>
    <w:p>
      <w:pPr>
        <w:numPr>
          <w:ilvl w:val="0"/>
          <w:numId w:val="0"/>
        </w:numPr>
        <w:spacing w:line="576" w:lineRule="exact"/>
        <w:ind w:left="0" w:leftChars="0" w:firstLine="640" w:firstLineChars="200"/>
        <w:rPr>
          <w:szCs w:val="32"/>
        </w:rPr>
      </w:pPr>
      <w:r>
        <w:rPr>
          <w:rFonts w:ascii="Times New Roman" w:hAnsi="Times New Roman" w:eastAsia="方正仿宋_GBK" w:cs="Times New Roman"/>
          <w:kern w:val="2"/>
          <w:sz w:val="32"/>
          <w:szCs w:val="32"/>
          <w:lang w:val="en-US" w:eastAsia="zh-CN" w:bidi="ar-SA"/>
        </w:rPr>
        <w:t>20</w:t>
      </w:r>
      <w:r>
        <w:rPr>
          <w:rFonts w:hint="default" w:ascii="Times New Roman" w:hAnsi="Times New Roman" w:eastAsia="方正仿宋_GBK" w:cs="Times New Roman"/>
          <w:b w:val="0"/>
          <w:bCs w:val="0"/>
          <w:sz w:val="32"/>
          <w:szCs w:val="32"/>
          <w:lang w:val="en-US" w:eastAsia="zh-CN"/>
        </w:rPr>
        <w:t>．</w:t>
      </w:r>
      <w:r>
        <w:rPr>
          <w:szCs w:val="32"/>
        </w:rPr>
        <w:t>《重庆市</w:t>
      </w:r>
      <w:r>
        <w:rPr>
          <w:rFonts w:hint="eastAsia"/>
          <w:szCs w:val="32"/>
          <w:lang w:eastAsia="zh-CN"/>
        </w:rPr>
        <w:t>防</w:t>
      </w:r>
      <w:r>
        <w:rPr>
          <w:szCs w:val="32"/>
        </w:rPr>
        <w:t>震减灾条例》（2010年修订）；</w:t>
      </w:r>
    </w:p>
    <w:p>
      <w:pPr>
        <w:numPr>
          <w:ilvl w:val="0"/>
          <w:numId w:val="0"/>
        </w:numPr>
        <w:spacing w:line="576" w:lineRule="exact"/>
        <w:ind w:left="0" w:leftChars="0" w:firstLine="640" w:firstLineChars="200"/>
        <w:rPr>
          <w:szCs w:val="32"/>
        </w:rPr>
      </w:pPr>
      <w:r>
        <w:rPr>
          <w:rFonts w:ascii="Times New Roman" w:hAnsi="Times New Roman" w:eastAsia="方正仿宋_GBK" w:cs="Times New Roman"/>
          <w:kern w:val="2"/>
          <w:sz w:val="32"/>
          <w:szCs w:val="32"/>
          <w:lang w:val="en-US" w:eastAsia="zh-CN" w:bidi="ar-SA"/>
        </w:rPr>
        <w:t>21</w:t>
      </w:r>
      <w:r>
        <w:rPr>
          <w:rFonts w:hint="default" w:ascii="Times New Roman" w:hAnsi="Times New Roman" w:eastAsia="方正仿宋_GBK" w:cs="Times New Roman"/>
          <w:b w:val="0"/>
          <w:bCs w:val="0"/>
          <w:sz w:val="32"/>
          <w:szCs w:val="32"/>
          <w:lang w:val="en-US" w:eastAsia="zh-CN"/>
        </w:rPr>
        <w:t>．</w:t>
      </w:r>
      <w:r>
        <w:rPr>
          <w:szCs w:val="32"/>
        </w:rPr>
        <w:t>《綦江区国土空间分区规划（2021</w:t>
      </w:r>
      <w:r>
        <w:rPr>
          <w:rFonts w:hint="eastAsia"/>
          <w:szCs w:val="32"/>
        </w:rPr>
        <w:t>—</w:t>
      </w:r>
      <w:r>
        <w:rPr>
          <w:szCs w:val="32"/>
        </w:rPr>
        <w:t>2035年）》（在编）；</w:t>
      </w:r>
    </w:p>
    <w:p>
      <w:pPr>
        <w:numPr>
          <w:ilvl w:val="0"/>
          <w:numId w:val="0"/>
        </w:numPr>
        <w:spacing w:line="576" w:lineRule="exact"/>
        <w:ind w:left="0" w:leftChars="0" w:firstLine="640" w:firstLineChars="200"/>
        <w:rPr>
          <w:szCs w:val="32"/>
        </w:rPr>
      </w:pPr>
      <w:r>
        <w:rPr>
          <w:rFonts w:ascii="Times New Roman" w:hAnsi="Times New Roman" w:eastAsia="方正仿宋_GBK" w:cs="Times New Roman"/>
          <w:kern w:val="2"/>
          <w:sz w:val="32"/>
          <w:szCs w:val="32"/>
          <w:lang w:val="en-US" w:eastAsia="zh-CN" w:bidi="ar-SA"/>
        </w:rPr>
        <w:t>22</w:t>
      </w:r>
      <w:r>
        <w:rPr>
          <w:rFonts w:hint="default" w:ascii="Times New Roman" w:hAnsi="Times New Roman" w:eastAsia="方正仿宋_GBK" w:cs="Times New Roman"/>
          <w:b w:val="0"/>
          <w:bCs w:val="0"/>
          <w:sz w:val="32"/>
          <w:szCs w:val="32"/>
          <w:lang w:val="en-US" w:eastAsia="zh-CN"/>
        </w:rPr>
        <w:t>．</w:t>
      </w:r>
      <w:r>
        <w:rPr>
          <w:szCs w:val="32"/>
        </w:rPr>
        <w:t>《重庆市</w:t>
      </w:r>
      <w:r>
        <w:rPr>
          <w:rFonts w:hint="eastAsia"/>
          <w:szCs w:val="32"/>
          <w:lang w:eastAsia="zh-CN"/>
        </w:rPr>
        <w:t>防</w:t>
      </w:r>
      <w:r>
        <w:rPr>
          <w:szCs w:val="32"/>
        </w:rPr>
        <w:t>震减</w:t>
      </w:r>
      <w:r>
        <w:rPr>
          <w:rFonts w:hint="eastAsia" w:ascii="方正仿宋_GBK" w:hAnsi="方正仿宋_GBK" w:eastAsia="方正仿宋_GBK" w:cs="方正仿宋_GBK"/>
          <w:szCs w:val="32"/>
        </w:rPr>
        <w:t>灾“十四五”</w:t>
      </w:r>
      <w:r>
        <w:rPr>
          <w:szCs w:val="32"/>
        </w:rPr>
        <w:t>规划》（2021</w:t>
      </w:r>
      <w:r>
        <w:rPr>
          <w:rFonts w:hint="eastAsia"/>
          <w:szCs w:val="32"/>
        </w:rPr>
        <w:t>—</w:t>
      </w:r>
      <w:r>
        <w:rPr>
          <w:szCs w:val="32"/>
        </w:rPr>
        <w:t>2025年）；</w:t>
      </w:r>
    </w:p>
    <w:p>
      <w:pPr>
        <w:numPr>
          <w:ilvl w:val="0"/>
          <w:numId w:val="0"/>
        </w:numPr>
        <w:spacing w:line="576" w:lineRule="exact"/>
        <w:ind w:left="0" w:leftChars="0" w:firstLine="640" w:firstLineChars="200"/>
        <w:rPr>
          <w:szCs w:val="32"/>
        </w:rPr>
      </w:pPr>
      <w:r>
        <w:rPr>
          <w:rFonts w:ascii="Times New Roman" w:hAnsi="Times New Roman" w:eastAsia="方正仿宋_GBK" w:cs="Times New Roman"/>
          <w:kern w:val="2"/>
          <w:sz w:val="32"/>
          <w:szCs w:val="32"/>
          <w:lang w:val="en-US" w:eastAsia="zh-CN" w:bidi="ar-SA"/>
        </w:rPr>
        <w:t>23</w:t>
      </w:r>
      <w:r>
        <w:rPr>
          <w:rFonts w:hint="default" w:ascii="Times New Roman" w:hAnsi="Times New Roman" w:eastAsia="方正仿宋_GBK" w:cs="Times New Roman"/>
          <w:b w:val="0"/>
          <w:bCs w:val="0"/>
          <w:sz w:val="32"/>
          <w:szCs w:val="32"/>
          <w:lang w:val="en-US" w:eastAsia="zh-CN"/>
        </w:rPr>
        <w:t>．</w:t>
      </w:r>
      <w:r>
        <w:rPr>
          <w:szCs w:val="32"/>
        </w:rPr>
        <w:t>国家、重庆市相关技术标准及文件、各类规划。</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ascii="方正黑体_GBK" w:eastAsia="方正黑体_GBK"/>
        </w:rPr>
      </w:pPr>
      <w:r>
        <w:rPr>
          <w:rFonts w:hint="eastAsia" w:ascii="方正黑体_GBK" w:hAnsi="Times New Roman" w:eastAsia="方正黑体_GBK" w:cstheme="minorBidi"/>
          <w:b w:val="0"/>
          <w:bCs/>
          <w:kern w:val="0"/>
          <w:sz w:val="32"/>
          <w:szCs w:val="32"/>
          <w:lang w:val="en-US" w:eastAsia="zh-CN" w:bidi="ar-SA"/>
        </w:rPr>
        <w:t>第五条</w:t>
      </w:r>
      <w:r>
        <w:rPr>
          <w:rFonts w:ascii="方正黑体_GBK" w:eastAsia="方正黑体_GBK"/>
        </w:rPr>
        <w:t xml:space="preserve">  </w:t>
      </w:r>
      <w:bookmarkStart w:id="59" w:name="_Toc158038102"/>
      <w:bookmarkStart w:id="60" w:name="_Toc156306979"/>
      <w:bookmarkStart w:id="61" w:name="_Toc158038198"/>
      <w:bookmarkStart w:id="62" w:name="_Toc14888"/>
      <w:bookmarkStart w:id="63" w:name="_Toc15239"/>
      <w:r>
        <w:rPr>
          <w:rFonts w:ascii="方正黑体_GBK" w:eastAsia="方正黑体_GBK"/>
        </w:rPr>
        <w:t>规划范围与期限</w:t>
      </w:r>
      <w:bookmarkEnd w:id="59"/>
      <w:bookmarkEnd w:id="60"/>
      <w:bookmarkEnd w:id="61"/>
      <w:bookmarkEnd w:id="62"/>
      <w:bookmarkEnd w:id="63"/>
    </w:p>
    <w:p>
      <w:pPr>
        <w:numPr>
          <w:ilvl w:val="0"/>
          <w:numId w:val="0"/>
        </w:numPr>
        <w:tabs>
          <w:tab w:val="left" w:pos="312"/>
        </w:tabs>
        <w:spacing w:line="576" w:lineRule="exact"/>
        <w:ind w:firstLine="640" w:firstLineChars="200"/>
        <w:rPr>
          <w:rFonts w:hint="default" w:ascii="Times New Roman" w:hAnsi="Times New Roman" w:eastAsia="方正仿宋_GBK" w:cs="Times New Roman"/>
          <w:szCs w:val="32"/>
          <w:lang w:val="en-US" w:eastAsia="zh-CN"/>
        </w:rPr>
      </w:pPr>
      <w:r>
        <w:rPr>
          <w:rFonts w:hint="default" w:ascii="Times New Roman" w:hAnsi="Times New Roman" w:eastAsia="方正仿宋_GBK" w:cs="Times New Roman"/>
          <w:kern w:val="2"/>
          <w:sz w:val="32"/>
          <w:szCs w:val="32"/>
          <w:lang w:val="en-US" w:eastAsia="zh-CN" w:bidi="ar-SA"/>
        </w:rPr>
        <w:t>1</w:t>
      </w:r>
      <w:r>
        <w:rPr>
          <w:rFonts w:hint="default" w:ascii="Times New Roman" w:hAnsi="Times New Roman" w:eastAsia="方正仿宋_GBK" w:cs="Times New Roman"/>
          <w:b w:val="0"/>
          <w:bCs w:val="0"/>
          <w:sz w:val="32"/>
          <w:szCs w:val="32"/>
          <w:lang w:val="en-US" w:eastAsia="zh-CN"/>
        </w:rPr>
        <w:t>．</w:t>
      </w:r>
      <w:r>
        <w:rPr>
          <w:rFonts w:hint="default" w:ascii="Times New Roman" w:hAnsi="Times New Roman" w:eastAsia="方正仿宋_GBK" w:cs="Times New Roman"/>
          <w:szCs w:val="32"/>
        </w:rPr>
        <w:t>规划范围</w:t>
      </w:r>
      <w:r>
        <w:rPr>
          <w:rFonts w:hint="default" w:ascii="Times New Roman" w:hAnsi="Times New Roman" w:eastAsia="方正仿宋_GBK" w:cs="Times New Roman"/>
          <w:szCs w:val="32"/>
          <w:lang w:eastAsia="zh-CN"/>
        </w:rPr>
        <w:t>。</w:t>
      </w:r>
    </w:p>
    <w:p>
      <w:pPr>
        <w:spacing w:line="576" w:lineRule="exact"/>
        <w:ind w:firstLine="640" w:firstLineChars="200"/>
        <w:rPr>
          <w:szCs w:val="32"/>
        </w:rPr>
      </w:pPr>
      <w:r>
        <w:rPr>
          <w:szCs w:val="32"/>
        </w:rPr>
        <w:t>规划范围与綦江中心城区（城市集中建设区）范围相一致，包括北部智慧新城、九龙片区、沙溪片区、共同片区、高速路口至孟家院片区、龙脊山片区、枣园至桥河片区、桥河组团、北渡铝产业园、东部新城、食品园区、三江片区、永桐新城（永城组团、庆江组团），面积约为100平方公里。</w:t>
      </w:r>
    </w:p>
    <w:p>
      <w:pPr>
        <w:numPr>
          <w:ilvl w:val="0"/>
          <w:numId w:val="0"/>
        </w:numPr>
        <w:tabs>
          <w:tab w:val="left" w:pos="312"/>
        </w:tabs>
        <w:spacing w:line="576" w:lineRule="exact"/>
        <w:ind w:firstLine="640" w:firstLineChars="200"/>
        <w:rPr>
          <w:rFonts w:hint="default" w:ascii="Times New Roman" w:hAnsi="Times New Roman" w:eastAsia="方正仿宋_GBK" w:cs="Times New Roman"/>
          <w:szCs w:val="32"/>
          <w:lang w:eastAsia="zh-CN"/>
        </w:rPr>
      </w:pPr>
      <w:r>
        <w:rPr>
          <w:rFonts w:hint="default" w:ascii="Times New Roman" w:hAnsi="Times New Roman" w:eastAsia="方正仿宋_GBK" w:cs="Times New Roman"/>
          <w:kern w:val="2"/>
          <w:sz w:val="32"/>
          <w:szCs w:val="32"/>
          <w:lang w:val="en-US" w:eastAsia="zh-CN" w:bidi="ar-SA"/>
        </w:rPr>
        <w:t>2</w:t>
      </w:r>
      <w:r>
        <w:rPr>
          <w:rFonts w:hint="default" w:ascii="Times New Roman" w:hAnsi="Times New Roman" w:eastAsia="方正仿宋_GBK" w:cs="Times New Roman"/>
          <w:b w:val="0"/>
          <w:bCs w:val="0"/>
          <w:sz w:val="32"/>
          <w:szCs w:val="32"/>
          <w:lang w:val="en-US" w:eastAsia="zh-CN"/>
        </w:rPr>
        <w:t>．</w:t>
      </w:r>
      <w:r>
        <w:rPr>
          <w:rFonts w:hint="default" w:ascii="Times New Roman" w:hAnsi="Times New Roman" w:eastAsia="方正仿宋_GBK" w:cs="Times New Roman"/>
          <w:szCs w:val="32"/>
        </w:rPr>
        <w:t>规划期限</w:t>
      </w:r>
      <w:r>
        <w:rPr>
          <w:rFonts w:hint="default" w:ascii="Times New Roman" w:hAnsi="Times New Roman" w:eastAsia="方正仿宋_GBK" w:cs="Times New Roman"/>
          <w:szCs w:val="32"/>
          <w:lang w:eastAsia="zh-CN"/>
        </w:rPr>
        <w:t>。</w:t>
      </w:r>
    </w:p>
    <w:p>
      <w:pPr>
        <w:spacing w:line="576" w:lineRule="exact"/>
        <w:ind w:firstLine="640" w:firstLineChars="200"/>
        <w:rPr>
          <w:szCs w:val="32"/>
        </w:rPr>
      </w:pPr>
      <w:r>
        <w:rPr>
          <w:szCs w:val="32"/>
        </w:rPr>
        <w:t>当前綦江区国土空间分区规划处于编制中，本次规划目标年与《綦江区国土空间分区规划（2021</w:t>
      </w:r>
      <w:r>
        <w:rPr>
          <w:rFonts w:hint="eastAsia"/>
          <w:szCs w:val="32"/>
        </w:rPr>
        <w:t>—</w:t>
      </w:r>
      <w:r>
        <w:rPr>
          <w:szCs w:val="32"/>
        </w:rPr>
        <w:t>2035年）》保持一致。</w:t>
      </w:r>
    </w:p>
    <w:p>
      <w:pPr>
        <w:spacing w:line="576" w:lineRule="exact"/>
        <w:ind w:firstLine="640" w:firstLineChars="200"/>
        <w:rPr>
          <w:szCs w:val="32"/>
        </w:rPr>
      </w:pPr>
      <w:r>
        <w:rPr>
          <w:szCs w:val="32"/>
        </w:rPr>
        <w:t>近期：2022</w:t>
      </w:r>
      <w:r>
        <w:rPr>
          <w:rFonts w:hint="eastAsia"/>
          <w:szCs w:val="32"/>
        </w:rPr>
        <w:t>—</w:t>
      </w:r>
      <w:r>
        <w:rPr>
          <w:szCs w:val="32"/>
        </w:rPr>
        <w:t>2025年</w:t>
      </w:r>
    </w:p>
    <w:p>
      <w:pPr>
        <w:spacing w:line="576" w:lineRule="exact"/>
        <w:ind w:firstLine="640" w:firstLineChars="200"/>
        <w:rPr>
          <w:szCs w:val="32"/>
        </w:rPr>
      </w:pPr>
      <w:r>
        <w:rPr>
          <w:szCs w:val="32"/>
        </w:rPr>
        <w:t>远期：2026</w:t>
      </w:r>
      <w:r>
        <w:rPr>
          <w:rFonts w:hint="eastAsia"/>
          <w:szCs w:val="32"/>
        </w:rPr>
        <w:t>—</w:t>
      </w:r>
      <w:r>
        <w:rPr>
          <w:szCs w:val="32"/>
        </w:rPr>
        <w:t>2035年</w:t>
      </w:r>
    </w:p>
    <w:p>
      <w:pPr>
        <w:spacing w:line="576" w:lineRule="exact"/>
        <w:ind w:firstLine="640" w:firstLineChars="200"/>
        <w:rPr>
          <w:szCs w:val="32"/>
        </w:rPr>
      </w:pPr>
    </w:p>
    <w:p>
      <w:pPr>
        <w:pStyle w:val="4"/>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ascii="方正黑体_GBK"/>
          <w:bCs/>
        </w:rPr>
      </w:pPr>
      <w:r>
        <w:rPr>
          <w:rFonts w:hint="eastAsia" w:ascii="方正黑体_GBK" w:hAnsi="Times New Roman" w:eastAsia="方正黑体_GBK" w:cstheme="minorBidi"/>
          <w:bCs/>
          <w:kern w:val="0"/>
          <w:sz w:val="32"/>
          <w:szCs w:val="32"/>
          <w:lang w:val="en-US" w:eastAsia="zh-CN" w:bidi="ar-SA"/>
        </w:rPr>
        <w:t>第二章</w:t>
      </w:r>
      <w:r>
        <w:rPr>
          <w:rFonts w:ascii="方正黑体_GBK"/>
          <w:bCs/>
        </w:rPr>
        <w:t xml:space="preserve">  </w:t>
      </w:r>
      <w:bookmarkStart w:id="64" w:name="_Toc158038103"/>
      <w:bookmarkStart w:id="65" w:name="_Toc158038199"/>
      <w:bookmarkStart w:id="66" w:name="_Toc156306980"/>
      <w:bookmarkStart w:id="67" w:name="_Toc29369"/>
      <w:bookmarkStart w:id="68" w:name="_Toc26721"/>
      <w:r>
        <w:rPr>
          <w:rFonts w:ascii="方正黑体_GBK"/>
          <w:bCs/>
        </w:rPr>
        <w:t>规划性质与防御目标</w:t>
      </w:r>
      <w:bookmarkEnd w:id="64"/>
      <w:bookmarkEnd w:id="65"/>
      <w:bookmarkEnd w:id="66"/>
      <w:bookmarkEnd w:id="67"/>
      <w:bookmarkEnd w:id="68"/>
      <w:r>
        <w:rPr>
          <w:rFonts w:ascii="方正黑体_GBK"/>
          <w:bCs/>
        </w:rPr>
        <w:t xml:space="preserve"> </w:t>
      </w:r>
    </w:p>
    <w:p>
      <w:pPr>
        <w:keepNext/>
        <w:spacing w:line="576" w:lineRule="exact"/>
        <w:ind w:firstLine="640" w:firstLineChars="200"/>
        <w:rPr>
          <w:szCs w:val="32"/>
        </w:rPr>
      </w:pP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ascii="方正黑体_GBK" w:eastAsia="方正黑体_GBK"/>
        </w:rPr>
      </w:pPr>
      <w:r>
        <w:rPr>
          <w:rFonts w:hint="eastAsia" w:ascii="方正黑体_GBK" w:hAnsi="Times New Roman" w:eastAsia="方正黑体_GBK" w:cstheme="minorBidi"/>
          <w:b w:val="0"/>
          <w:bCs/>
          <w:kern w:val="0"/>
          <w:sz w:val="32"/>
          <w:szCs w:val="32"/>
          <w:lang w:val="en-US" w:eastAsia="zh-CN" w:bidi="ar-SA"/>
        </w:rPr>
        <w:t>第六条</w:t>
      </w:r>
      <w:r>
        <w:rPr>
          <w:rFonts w:ascii="方正黑体_GBK" w:eastAsia="方正黑体_GBK"/>
        </w:rPr>
        <w:t xml:space="preserve">  </w:t>
      </w:r>
      <w:bookmarkStart w:id="69" w:name="_Toc156306981"/>
      <w:bookmarkStart w:id="70" w:name="_Toc158038104"/>
      <w:bookmarkStart w:id="71" w:name="_Toc158038200"/>
      <w:bookmarkStart w:id="72" w:name="_Toc5647"/>
      <w:bookmarkStart w:id="73" w:name="_Toc19555"/>
      <w:r>
        <w:rPr>
          <w:rFonts w:ascii="方正黑体_GBK" w:eastAsia="方正黑体_GBK"/>
        </w:rPr>
        <w:t>规划性质</w:t>
      </w:r>
      <w:bookmarkEnd w:id="69"/>
      <w:bookmarkEnd w:id="70"/>
      <w:bookmarkEnd w:id="71"/>
      <w:bookmarkEnd w:id="72"/>
      <w:bookmarkEnd w:id="73"/>
    </w:p>
    <w:p>
      <w:pPr>
        <w:spacing w:line="576" w:lineRule="exact"/>
        <w:ind w:firstLine="640" w:firstLineChars="200"/>
        <w:rPr>
          <w:szCs w:val="32"/>
        </w:rPr>
      </w:pPr>
      <w:r>
        <w:rPr>
          <w:szCs w:val="32"/>
        </w:rPr>
        <w:t>本规划是綦江区国土空间规划下有关城市抗震防灾要求的专业规划，是在国土空间规划和相关专项规划的基础上制定的，凡在有关规划中已有的内容不再纳入本规划。</w:t>
      </w:r>
    </w:p>
    <w:p>
      <w:pPr>
        <w:spacing w:line="576" w:lineRule="exact"/>
        <w:ind w:firstLine="640" w:firstLineChars="200"/>
        <w:rPr>
          <w:szCs w:val="32"/>
        </w:rPr>
      </w:pPr>
      <w:r>
        <w:rPr>
          <w:szCs w:val="32"/>
        </w:rPr>
        <w:t>本规划是綦江区中心城区抗震防灾指导性文件。</w:t>
      </w:r>
      <w:bookmarkStart w:id="74" w:name="_Toc25378"/>
      <w:bookmarkStart w:id="75" w:name="_Toc13572"/>
      <w:r>
        <w:rPr>
          <w:szCs w:val="32"/>
        </w:rPr>
        <w:t>因城市规划、建设、管理与抗震防灾工作需要，在进行与城市建设抗震防灾有关的土地利用、建筑及基础设施建设与改造、次生灾害防御、避震疏散、灾后恢复重建等工作时，均应符合本规划的总体安排和要求。</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ascii="方正黑体_GBK" w:eastAsia="方正黑体_GBK"/>
        </w:rPr>
      </w:pPr>
      <w:r>
        <w:rPr>
          <w:rFonts w:hint="eastAsia" w:ascii="方正黑体_GBK" w:hAnsi="Times New Roman" w:eastAsia="方正黑体_GBK" w:cstheme="minorBidi"/>
          <w:b w:val="0"/>
          <w:bCs/>
          <w:kern w:val="0"/>
          <w:sz w:val="32"/>
          <w:szCs w:val="32"/>
          <w:lang w:val="en-US" w:eastAsia="zh-CN" w:bidi="ar-SA"/>
        </w:rPr>
        <w:t>第七条</w:t>
      </w:r>
      <w:r>
        <w:rPr>
          <w:rFonts w:ascii="方正黑体_GBK" w:eastAsia="方正黑体_GBK"/>
        </w:rPr>
        <w:t xml:space="preserve">  </w:t>
      </w:r>
      <w:bookmarkStart w:id="76" w:name="_Toc158038201"/>
      <w:bookmarkStart w:id="77" w:name="_Toc158038105"/>
      <w:bookmarkStart w:id="78" w:name="_Toc156306982"/>
      <w:r>
        <w:rPr>
          <w:rFonts w:ascii="方正黑体_GBK" w:eastAsia="方正黑体_GBK"/>
        </w:rPr>
        <w:t>防御目标</w:t>
      </w:r>
      <w:bookmarkEnd w:id="74"/>
      <w:bookmarkEnd w:id="75"/>
      <w:bookmarkEnd w:id="76"/>
      <w:bookmarkEnd w:id="77"/>
      <w:bookmarkEnd w:id="78"/>
    </w:p>
    <w:p>
      <w:pPr>
        <w:spacing w:line="576" w:lineRule="exact"/>
        <w:ind w:firstLine="640" w:firstLineChars="200"/>
        <w:rPr>
          <w:szCs w:val="32"/>
          <w:u w:val="none"/>
        </w:rPr>
      </w:pPr>
      <w:r>
        <w:rPr>
          <w:szCs w:val="32"/>
          <w:u w:val="none"/>
        </w:rPr>
        <w:t>1</w:t>
      </w:r>
      <w:r>
        <w:rPr>
          <w:rFonts w:hint="default" w:ascii="Times New Roman" w:hAnsi="Times New Roman" w:eastAsia="方正仿宋_GBK" w:cs="Times New Roman"/>
          <w:b w:val="0"/>
          <w:bCs w:val="0"/>
          <w:sz w:val="32"/>
          <w:szCs w:val="32"/>
          <w:lang w:val="en-US" w:eastAsia="zh-CN"/>
        </w:rPr>
        <w:t>．</w:t>
      </w:r>
      <w:r>
        <w:rPr>
          <w:szCs w:val="32"/>
          <w:u w:val="none"/>
        </w:rPr>
        <w:t>当遭受多遇地震影响时，城市功能正常，建设工程一般不发生破坏；</w:t>
      </w:r>
    </w:p>
    <w:p>
      <w:pPr>
        <w:spacing w:line="576" w:lineRule="exact"/>
        <w:ind w:firstLine="640" w:firstLineChars="200"/>
        <w:rPr>
          <w:szCs w:val="32"/>
          <w:u w:val="none"/>
        </w:rPr>
      </w:pPr>
      <w:r>
        <w:rPr>
          <w:szCs w:val="32"/>
          <w:u w:val="none"/>
        </w:rPr>
        <w:t>2</w:t>
      </w:r>
      <w:r>
        <w:rPr>
          <w:rFonts w:hint="default" w:ascii="Times New Roman" w:hAnsi="Times New Roman" w:eastAsia="方正仿宋_GBK" w:cs="Times New Roman"/>
          <w:b w:val="0"/>
          <w:bCs w:val="0"/>
          <w:sz w:val="32"/>
          <w:szCs w:val="32"/>
          <w:lang w:val="en-US" w:eastAsia="zh-CN"/>
        </w:rPr>
        <w:t>．</w:t>
      </w:r>
      <w:r>
        <w:rPr>
          <w:szCs w:val="32"/>
          <w:u w:val="none"/>
        </w:rPr>
        <w:t>当遭受相当于地震基本烈度6度的地震影响时，城市生命线系统和重要设施基本正常，一般建设工程可能发生破坏但基本不影响城市整体功能，重要工矿企业能很快恢复生产或运营；</w:t>
      </w: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9"/>
        <w:rPr>
          <w:bCs/>
          <w:szCs w:val="32"/>
          <w:u w:val="none"/>
        </w:rPr>
      </w:pPr>
      <w:r>
        <w:rPr>
          <w:szCs w:val="32"/>
          <w:u w:val="none"/>
        </w:rPr>
        <w:t>3</w:t>
      </w:r>
      <w:r>
        <w:rPr>
          <w:rFonts w:hint="default" w:ascii="Times New Roman" w:hAnsi="Times New Roman" w:eastAsia="方正仿宋_GBK" w:cs="Times New Roman"/>
          <w:b w:val="0"/>
          <w:bCs w:val="0"/>
          <w:sz w:val="32"/>
          <w:szCs w:val="32"/>
          <w:lang w:val="en-US" w:eastAsia="zh-CN"/>
        </w:rPr>
        <w:t>．</w:t>
      </w:r>
      <w:r>
        <w:rPr>
          <w:szCs w:val="32"/>
          <w:u w:val="none"/>
        </w:rPr>
        <w:t>当遭受罕遇地震影响时，城市功能基本不瘫痪，要害系统、生命线系统和重要工程设施不遭受严重破坏，无重大人员伤亡，不发生严重的次生灾害。</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第八条  </w:t>
      </w:r>
      <w:bookmarkStart w:id="79" w:name="_Toc2085"/>
      <w:bookmarkStart w:id="80" w:name="_Toc17674"/>
      <w:bookmarkStart w:id="81" w:name="_Toc158038202"/>
      <w:bookmarkStart w:id="82" w:name="_Toc156306983"/>
      <w:bookmarkStart w:id="83" w:name="_Toc158038106"/>
      <w:r>
        <w:rPr>
          <w:rFonts w:hint="eastAsia" w:ascii="方正黑体_GBK" w:hAnsi="Times New Roman" w:eastAsia="方正黑体_GBK" w:cstheme="minorBidi"/>
          <w:b w:val="0"/>
          <w:bCs/>
          <w:kern w:val="0"/>
          <w:sz w:val="32"/>
          <w:szCs w:val="32"/>
          <w:lang w:val="en-US" w:eastAsia="zh-CN" w:bidi="ar-SA"/>
        </w:rPr>
        <w:t>规划编制模式</w:t>
      </w:r>
      <w:bookmarkEnd w:id="79"/>
      <w:bookmarkEnd w:id="80"/>
      <w:r>
        <w:rPr>
          <w:rFonts w:hint="eastAsia" w:ascii="方正黑体_GBK" w:hAnsi="Times New Roman" w:eastAsia="方正黑体_GBK" w:cstheme="minorBidi"/>
          <w:b w:val="0"/>
          <w:bCs/>
          <w:kern w:val="0"/>
          <w:sz w:val="32"/>
          <w:szCs w:val="32"/>
          <w:lang w:val="en-US" w:eastAsia="zh-CN" w:bidi="ar-SA"/>
        </w:rPr>
        <w:t>与工作区划分</w:t>
      </w:r>
      <w:bookmarkEnd w:id="81"/>
      <w:bookmarkEnd w:id="82"/>
      <w:bookmarkEnd w:id="83"/>
    </w:p>
    <w:p>
      <w:pPr>
        <w:spacing w:line="576" w:lineRule="exact"/>
        <w:ind w:firstLine="640" w:firstLineChars="200"/>
        <w:rPr>
          <w:rFonts w:hint="default" w:ascii="Times New Roman" w:hAnsi="Times New Roman" w:eastAsia="方正仿宋_GBK" w:cs="Times New Roman"/>
          <w:b w:val="0"/>
          <w:bCs w:val="0"/>
          <w:szCs w:val="32"/>
          <w:lang w:eastAsia="zh-CN"/>
        </w:rPr>
      </w:pPr>
      <w:r>
        <w:rPr>
          <w:rFonts w:hint="default" w:ascii="Times New Roman" w:hAnsi="Times New Roman" w:eastAsia="方正仿宋_GBK" w:cs="Times New Roman"/>
          <w:b w:val="0"/>
          <w:bCs w:val="0"/>
          <w:szCs w:val="32"/>
        </w:rPr>
        <w:t>1</w:t>
      </w:r>
      <w:r>
        <w:rPr>
          <w:rFonts w:hint="default" w:ascii="Times New Roman" w:hAnsi="Times New Roman" w:eastAsia="方正仿宋_GBK" w:cs="Times New Roman"/>
          <w:b w:val="0"/>
          <w:bCs w:val="0"/>
          <w:sz w:val="32"/>
          <w:szCs w:val="32"/>
          <w:lang w:val="en-US" w:eastAsia="zh-CN"/>
        </w:rPr>
        <w:t>．</w:t>
      </w:r>
      <w:r>
        <w:rPr>
          <w:rFonts w:hint="default" w:ascii="Times New Roman" w:hAnsi="Times New Roman" w:eastAsia="方正仿宋_GBK" w:cs="Times New Roman"/>
          <w:b w:val="0"/>
          <w:bCs w:val="0"/>
          <w:szCs w:val="32"/>
        </w:rPr>
        <w:t>规划编制模式</w:t>
      </w:r>
      <w:r>
        <w:rPr>
          <w:rFonts w:hint="default" w:ascii="Times New Roman" w:hAnsi="Times New Roman" w:eastAsia="方正仿宋_GBK" w:cs="Times New Roman"/>
          <w:b w:val="0"/>
          <w:bCs w:val="0"/>
          <w:szCs w:val="32"/>
          <w:lang w:eastAsia="zh-CN"/>
        </w:rPr>
        <w:t>。</w:t>
      </w:r>
    </w:p>
    <w:p>
      <w:pPr>
        <w:spacing w:line="576" w:lineRule="exact"/>
        <w:ind w:firstLine="640" w:firstLineChars="200"/>
        <w:rPr>
          <w:szCs w:val="32"/>
        </w:rPr>
      </w:pPr>
      <w:r>
        <w:rPr>
          <w:szCs w:val="32"/>
        </w:rPr>
        <w:t>根</w:t>
      </w:r>
      <w:r>
        <w:rPr>
          <w:spacing w:val="-6"/>
          <w:sz w:val="32"/>
          <w:szCs w:val="32"/>
        </w:rPr>
        <w:t>据《中华人民共和国地震动参数区划图》（GB 18306</w:t>
      </w:r>
      <w:r>
        <w:rPr>
          <w:rFonts w:hint="eastAsia" w:ascii="方正仿宋_GBK" w:hAnsi="方正仿宋_GBK" w:eastAsia="方正仿宋_GBK" w:cs="方正仿宋_GBK"/>
          <w:spacing w:val="-6"/>
          <w:sz w:val="32"/>
          <w:szCs w:val="32"/>
        </w:rPr>
        <w:t>-</w:t>
      </w:r>
      <w:r>
        <w:rPr>
          <w:spacing w:val="-6"/>
          <w:sz w:val="32"/>
          <w:szCs w:val="32"/>
        </w:rPr>
        <w:t>2015），确定綦江区抗震设防烈度为</w:t>
      </w:r>
      <w:r>
        <w:rPr>
          <w:rFonts w:hint="eastAsia" w:ascii="宋体" w:hAnsi="宋体" w:cs="宋体"/>
          <w:spacing w:val="-6"/>
          <w:sz w:val="32"/>
          <w:szCs w:val="32"/>
        </w:rPr>
        <w:t>Ⅵ</w:t>
      </w:r>
      <w:r>
        <w:rPr>
          <w:spacing w:val="-6"/>
          <w:sz w:val="32"/>
          <w:szCs w:val="32"/>
        </w:rPr>
        <w:t>度</w:t>
      </w:r>
      <w:r>
        <w:rPr>
          <w:szCs w:val="32"/>
        </w:rPr>
        <w:t>，地震动峰值加速度为0.05g，地震动加速反应谱特征周期为0.35s。</w:t>
      </w:r>
    </w:p>
    <w:p>
      <w:pPr>
        <w:spacing w:line="576" w:lineRule="exact"/>
        <w:ind w:firstLine="640" w:firstLineChars="200"/>
        <w:rPr>
          <w:szCs w:val="32"/>
        </w:rPr>
      </w:pPr>
      <w:r>
        <w:rPr>
          <w:szCs w:val="32"/>
        </w:rPr>
        <w:t>根据《城市抗震防灾规划管理规定》（建设部令第117号）和《城市抗震防灾规划标准》（GB 50413</w:t>
      </w:r>
      <w:r>
        <w:rPr>
          <w:rFonts w:hint="eastAsia" w:ascii="方正仿宋_GBK" w:hAnsi="方正仿宋_GBK" w:eastAsia="方正仿宋_GBK" w:cs="方正仿宋_GBK"/>
          <w:szCs w:val="32"/>
        </w:rPr>
        <w:t>-</w:t>
      </w:r>
      <w:r>
        <w:rPr>
          <w:szCs w:val="32"/>
        </w:rPr>
        <w:t>2007）有关规定，结合綦江区的城市规模、重要性和抗震防灾要求，綦江区应按乙类编制模式进行抗震防灾规划的编制。</w:t>
      </w:r>
    </w:p>
    <w:p>
      <w:pPr>
        <w:spacing w:line="576" w:lineRule="exact"/>
        <w:ind w:firstLine="640" w:firstLineChars="200"/>
        <w:rPr>
          <w:rFonts w:hint="default" w:ascii="Times New Roman" w:hAnsi="Times New Roman" w:eastAsia="方正仿宋_GBK" w:cs="Times New Roman"/>
          <w:b w:val="0"/>
          <w:bCs w:val="0"/>
          <w:szCs w:val="32"/>
          <w:lang w:eastAsia="zh-CN"/>
        </w:rPr>
      </w:pPr>
      <w:r>
        <w:rPr>
          <w:rFonts w:hint="default" w:ascii="Times New Roman" w:hAnsi="Times New Roman" w:eastAsia="方正仿宋_GBK" w:cs="Times New Roman"/>
          <w:b w:val="0"/>
          <w:bCs w:val="0"/>
          <w:szCs w:val="32"/>
        </w:rPr>
        <w:t>2</w:t>
      </w:r>
      <w:r>
        <w:rPr>
          <w:rFonts w:hint="default" w:ascii="Times New Roman" w:hAnsi="Times New Roman" w:eastAsia="方正仿宋_GBK" w:cs="Times New Roman"/>
          <w:b w:val="0"/>
          <w:bCs w:val="0"/>
          <w:sz w:val="32"/>
          <w:szCs w:val="32"/>
          <w:lang w:val="en-US" w:eastAsia="zh-CN"/>
        </w:rPr>
        <w:t>．</w:t>
      </w:r>
      <w:r>
        <w:rPr>
          <w:rFonts w:hint="default" w:ascii="Times New Roman" w:hAnsi="Times New Roman" w:eastAsia="方正仿宋_GBK" w:cs="Times New Roman"/>
          <w:b w:val="0"/>
          <w:bCs w:val="0"/>
          <w:szCs w:val="32"/>
        </w:rPr>
        <w:t>规划工作分区</w:t>
      </w:r>
      <w:r>
        <w:rPr>
          <w:rFonts w:hint="default" w:ascii="Times New Roman" w:hAnsi="Times New Roman" w:eastAsia="方正仿宋_GBK" w:cs="Times New Roman"/>
          <w:b w:val="0"/>
          <w:bCs w:val="0"/>
          <w:szCs w:val="32"/>
          <w:lang w:eastAsia="zh-CN"/>
        </w:rPr>
        <w:t>。</w:t>
      </w:r>
    </w:p>
    <w:p>
      <w:pPr>
        <w:spacing w:line="576" w:lineRule="exact"/>
        <w:ind w:firstLine="640" w:firstLineChars="200"/>
        <w:rPr>
          <w:szCs w:val="32"/>
        </w:rPr>
      </w:pPr>
      <w:r>
        <w:rPr>
          <w:szCs w:val="32"/>
        </w:rPr>
        <w:t>规划工作区划分为二类和四类工作区。二类工作区为綦江城市规划区内的建成区和近期建设用地；四类工作区为綦江城市中远期建设用地。</w:t>
      </w:r>
    </w:p>
    <w:p>
      <w:pPr>
        <w:pStyle w:val="2"/>
      </w:pPr>
    </w:p>
    <w:p>
      <w:pPr>
        <w:pStyle w:val="4"/>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ascii="方正黑体_GBK"/>
          <w:bCs/>
        </w:rPr>
      </w:pPr>
      <w:r>
        <w:rPr>
          <w:rFonts w:hint="eastAsia" w:ascii="方正黑体_GBK" w:hAnsi="Times New Roman" w:eastAsia="方正黑体_GBK" w:cstheme="minorBidi"/>
          <w:bCs/>
          <w:kern w:val="0"/>
          <w:sz w:val="32"/>
          <w:szCs w:val="32"/>
          <w:lang w:val="en-US" w:eastAsia="zh-CN" w:bidi="ar-SA"/>
        </w:rPr>
        <w:t>第三章</w:t>
      </w:r>
      <w:r>
        <w:rPr>
          <w:rFonts w:ascii="方正黑体_GBK"/>
          <w:bCs/>
        </w:rPr>
        <w:t xml:space="preserve">  </w:t>
      </w:r>
      <w:bookmarkStart w:id="84" w:name="_Toc8144"/>
      <w:bookmarkStart w:id="85" w:name="_Toc158038107"/>
      <w:bookmarkStart w:id="86" w:name="_Toc5038"/>
      <w:bookmarkStart w:id="87" w:name="_Toc156306985"/>
      <w:bookmarkStart w:id="88" w:name="_Toc158038203"/>
      <w:r>
        <w:rPr>
          <w:rFonts w:ascii="方正黑体_GBK"/>
          <w:bCs/>
        </w:rPr>
        <w:t>抗震防灾总体设防要求</w:t>
      </w:r>
      <w:bookmarkEnd w:id="84"/>
      <w:bookmarkEnd w:id="85"/>
      <w:bookmarkEnd w:id="86"/>
      <w:bookmarkEnd w:id="87"/>
      <w:bookmarkEnd w:id="88"/>
    </w:p>
    <w:p>
      <w:pPr>
        <w:keepNext/>
        <w:spacing w:line="576" w:lineRule="exact"/>
        <w:ind w:firstLine="640" w:firstLineChars="200"/>
        <w:rPr>
          <w:szCs w:val="32"/>
        </w:rPr>
      </w:pP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第九条  </w:t>
      </w:r>
      <w:bookmarkStart w:id="89" w:name="_Toc156306986"/>
      <w:bookmarkStart w:id="90" w:name="_Toc158038204"/>
      <w:bookmarkStart w:id="91" w:name="_Toc158038108"/>
      <w:r>
        <w:rPr>
          <w:rFonts w:hint="eastAsia" w:ascii="方正黑体_GBK" w:hAnsi="Times New Roman" w:eastAsia="方正黑体_GBK" w:cstheme="minorBidi"/>
          <w:b w:val="0"/>
          <w:bCs/>
          <w:kern w:val="0"/>
          <w:sz w:val="32"/>
          <w:szCs w:val="32"/>
          <w:lang w:val="en-US" w:eastAsia="zh-CN" w:bidi="ar-SA"/>
        </w:rPr>
        <w:t>总体设防要求</w:t>
      </w:r>
      <w:bookmarkEnd w:id="89"/>
      <w:bookmarkEnd w:id="90"/>
      <w:bookmarkEnd w:id="91"/>
    </w:p>
    <w:p>
      <w:pPr>
        <w:spacing w:line="576" w:lineRule="exact"/>
        <w:ind w:firstLine="640" w:firstLineChars="200"/>
        <w:rPr>
          <w:szCs w:val="32"/>
        </w:rPr>
      </w:pPr>
      <w:r>
        <w:rPr>
          <w:rFonts w:hint="eastAsia" w:ascii="方正仿宋_GBK" w:hAnsi="方正仿宋_GBK" w:cs="方正仿宋_GBK"/>
          <w:szCs w:val="32"/>
        </w:rPr>
        <w:t>坚持“以人为本、全面设防、突出重点”的原则统</w:t>
      </w:r>
      <w:r>
        <w:rPr>
          <w:szCs w:val="32"/>
        </w:rPr>
        <w:t>筹考虑綦江区建设工程抗震设防标准。</w:t>
      </w:r>
    </w:p>
    <w:p>
      <w:pPr>
        <w:spacing w:line="576" w:lineRule="exact"/>
        <w:ind w:firstLine="640" w:firstLineChars="200"/>
        <w:rPr>
          <w:szCs w:val="32"/>
          <w:u w:val="none"/>
        </w:rPr>
      </w:pPr>
      <w:r>
        <w:rPr>
          <w:szCs w:val="32"/>
          <w:u w:val="none"/>
        </w:rPr>
        <w:t>1</w:t>
      </w:r>
      <w:r>
        <w:rPr>
          <w:rFonts w:hint="default" w:ascii="Times New Roman" w:hAnsi="Times New Roman" w:eastAsia="方正仿宋_GBK" w:cs="Times New Roman"/>
          <w:b w:val="0"/>
          <w:bCs w:val="0"/>
          <w:sz w:val="32"/>
          <w:szCs w:val="32"/>
          <w:lang w:val="en-US" w:eastAsia="zh-CN"/>
        </w:rPr>
        <w:t>．</w:t>
      </w:r>
      <w:r>
        <w:rPr>
          <w:szCs w:val="32"/>
          <w:u w:val="none"/>
        </w:rPr>
        <w:t>中心城区工程抗震设防要求依据《中华人民共和国地震动参数区划图》（GB 18306</w:t>
      </w:r>
      <w:r>
        <w:rPr>
          <w:rFonts w:hint="eastAsia" w:ascii="方正仿宋_GBK" w:hAnsi="方正仿宋_GBK" w:eastAsia="方正仿宋_GBK" w:cs="方正仿宋_GBK"/>
          <w:szCs w:val="32"/>
        </w:rPr>
        <w:t>-</w:t>
      </w:r>
      <w:r>
        <w:rPr>
          <w:szCs w:val="32"/>
          <w:u w:val="none"/>
        </w:rPr>
        <w:t>2015），其地震动峰值加速度为0.05g，地震动加速反应谱特征周期为0.35s。结合《建筑与市政工程抗震通用规范》（GB 55002</w:t>
      </w:r>
      <w:r>
        <w:rPr>
          <w:rFonts w:hint="eastAsia" w:ascii="方正仿宋_GBK" w:hAnsi="方正仿宋_GBK" w:eastAsia="方正仿宋_GBK" w:cs="方正仿宋_GBK"/>
          <w:szCs w:val="32"/>
        </w:rPr>
        <w:t>-</w:t>
      </w:r>
      <w:r>
        <w:rPr>
          <w:szCs w:val="32"/>
          <w:u w:val="none"/>
        </w:rPr>
        <w:t>2021）</w:t>
      </w:r>
      <w:r>
        <w:rPr>
          <w:rFonts w:hint="eastAsia"/>
          <w:szCs w:val="32"/>
          <w:u w:val="none"/>
        </w:rPr>
        <w:t>，</w:t>
      </w:r>
      <w:r>
        <w:rPr>
          <w:szCs w:val="32"/>
          <w:u w:val="none"/>
        </w:rPr>
        <w:t>确定綦江区抗震设防烈度按照6度进行设防。</w:t>
      </w:r>
    </w:p>
    <w:p>
      <w:pPr>
        <w:spacing w:line="576" w:lineRule="exact"/>
        <w:ind w:firstLine="640" w:firstLineChars="200"/>
        <w:rPr>
          <w:szCs w:val="32"/>
          <w:u w:val="none"/>
        </w:rPr>
      </w:pPr>
      <w:r>
        <w:rPr>
          <w:szCs w:val="32"/>
          <w:u w:val="none"/>
        </w:rPr>
        <w:t>2</w:t>
      </w:r>
      <w:r>
        <w:rPr>
          <w:rFonts w:hint="default" w:ascii="Times New Roman" w:hAnsi="Times New Roman" w:eastAsia="方正仿宋_GBK" w:cs="Times New Roman"/>
          <w:b w:val="0"/>
          <w:bCs w:val="0"/>
          <w:sz w:val="32"/>
          <w:szCs w:val="32"/>
          <w:lang w:val="en-US" w:eastAsia="zh-CN"/>
        </w:rPr>
        <w:t>．</w:t>
      </w:r>
      <w:r>
        <w:rPr>
          <w:szCs w:val="32"/>
          <w:u w:val="none"/>
        </w:rPr>
        <w:t>建设工程抗震设防烈度应符合国家和重庆市有关抗震设防的法律法规规定及相关要求。重大建设工程和可能产生严重次生灾害的建设工程，应按照经审定的地震安全性能评价报告所确定的抗震设防要求进行抗震设防。新建、扩建、改建建设工程，应当符合国家现行法律法规抗震设防强制性标准。加强工程建设全过程抗震能力，设计单位应当按照抗震设防要求和工程建设强制性标准进行抗震设计；施工单位应当按照施工图设计文件和工程建设强制性标准进行施工；工程监理单位应当按照施工图设计文件和工程建设强制性标准实施监理。</w:t>
      </w:r>
    </w:p>
    <w:p>
      <w:pPr>
        <w:spacing w:line="576" w:lineRule="exact"/>
        <w:ind w:firstLine="640" w:firstLineChars="200"/>
        <w:rPr>
          <w:szCs w:val="32"/>
          <w:u w:val="none"/>
        </w:rPr>
      </w:pPr>
      <w:r>
        <w:rPr>
          <w:szCs w:val="32"/>
          <w:u w:val="none"/>
        </w:rPr>
        <w:t>3</w:t>
      </w:r>
      <w:r>
        <w:rPr>
          <w:rFonts w:hint="default" w:ascii="Times New Roman" w:hAnsi="Times New Roman" w:eastAsia="方正仿宋_GBK" w:cs="Times New Roman"/>
          <w:b w:val="0"/>
          <w:bCs w:val="0"/>
          <w:sz w:val="32"/>
          <w:szCs w:val="32"/>
          <w:lang w:val="en-US" w:eastAsia="zh-CN"/>
        </w:rPr>
        <w:t>．</w:t>
      </w:r>
      <w:r>
        <w:rPr>
          <w:szCs w:val="32"/>
          <w:u w:val="none"/>
        </w:rPr>
        <w:t>建构筑物的抗震设防应按照《建筑工程抗震设防分类标准》（GB 50223</w:t>
      </w:r>
      <w:r>
        <w:rPr>
          <w:rFonts w:hint="eastAsia" w:ascii="方正仿宋_GBK" w:hAnsi="方正仿宋_GBK" w:eastAsia="方正仿宋_GBK" w:cs="方正仿宋_GBK"/>
          <w:szCs w:val="32"/>
          <w:u w:val="none"/>
        </w:rPr>
        <w:t>-</w:t>
      </w:r>
      <w:r>
        <w:rPr>
          <w:szCs w:val="32"/>
          <w:u w:val="none"/>
        </w:rPr>
        <w:t>2008）的规定来执行。对超高层建筑设置强震动检测设施，长期进行监测。</w:t>
      </w:r>
    </w:p>
    <w:p>
      <w:pPr>
        <w:spacing w:line="576" w:lineRule="exact"/>
        <w:ind w:firstLine="640" w:firstLineChars="200"/>
        <w:rPr>
          <w:szCs w:val="32"/>
          <w:u w:val="none"/>
        </w:rPr>
      </w:pPr>
      <w:r>
        <w:rPr>
          <w:szCs w:val="32"/>
          <w:u w:val="none"/>
        </w:rPr>
        <w:t>4</w:t>
      </w:r>
      <w:r>
        <w:rPr>
          <w:rFonts w:hint="default" w:ascii="Times New Roman" w:hAnsi="Times New Roman" w:eastAsia="方正仿宋_GBK" w:cs="Times New Roman"/>
          <w:b w:val="0"/>
          <w:bCs w:val="0"/>
          <w:sz w:val="32"/>
          <w:szCs w:val="32"/>
          <w:lang w:val="en-US" w:eastAsia="zh-CN"/>
        </w:rPr>
        <w:t>．</w:t>
      </w:r>
      <w:r>
        <w:rPr>
          <w:szCs w:val="32"/>
          <w:u w:val="none"/>
        </w:rPr>
        <w:t>新建大型公建、学校类建筑应考虑城市总体避震疏散场所的安排要求。</w:t>
      </w:r>
    </w:p>
    <w:p>
      <w:pPr>
        <w:spacing w:line="576" w:lineRule="exact"/>
        <w:ind w:firstLine="640" w:firstLineChars="200"/>
        <w:rPr>
          <w:spacing w:val="6"/>
          <w:w w:val="103"/>
          <w:szCs w:val="32"/>
          <w:u w:val="none"/>
        </w:rPr>
      </w:pPr>
      <w:r>
        <w:rPr>
          <w:szCs w:val="32"/>
          <w:u w:val="none"/>
        </w:rPr>
        <w:t>5</w:t>
      </w:r>
      <w:r>
        <w:rPr>
          <w:rFonts w:hint="default" w:ascii="Times New Roman" w:hAnsi="Times New Roman" w:eastAsia="方正仿宋_GBK" w:cs="Times New Roman"/>
          <w:b w:val="0"/>
          <w:bCs w:val="0"/>
          <w:sz w:val="32"/>
          <w:szCs w:val="32"/>
          <w:lang w:val="en-US" w:eastAsia="zh-CN"/>
        </w:rPr>
        <w:t>．</w:t>
      </w:r>
      <w:r>
        <w:rPr>
          <w:szCs w:val="32"/>
          <w:u w:val="none"/>
        </w:rPr>
        <w:t>加强工程选址、</w:t>
      </w:r>
      <w:r>
        <w:rPr>
          <w:spacing w:val="6"/>
          <w:w w:val="103"/>
          <w:szCs w:val="32"/>
          <w:u w:val="none"/>
        </w:rPr>
        <w:t>方案评审和初步设计阶段的抗震防灾管理。</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9"/>
        <w:rPr>
          <w:szCs w:val="32"/>
          <w:u w:val="none"/>
        </w:rPr>
      </w:pPr>
      <w:r>
        <w:rPr>
          <w:rFonts w:hint="eastAsia"/>
          <w:szCs w:val="32"/>
          <w:u w:val="none"/>
          <w:lang w:val="en-US" w:eastAsia="zh-CN"/>
        </w:rPr>
        <w:t>6</w:t>
      </w:r>
      <w:r>
        <w:rPr>
          <w:rFonts w:hint="default"/>
          <w:szCs w:val="32"/>
          <w:u w:val="none"/>
          <w:lang w:val="en-US" w:eastAsia="zh-CN"/>
        </w:rPr>
        <w:t>．</w:t>
      </w:r>
      <w:r>
        <w:rPr>
          <w:szCs w:val="32"/>
          <w:u w:val="none"/>
        </w:rPr>
        <w:t>施工图设计审查阶段由施工图审查机构严格落实抗震设计审查责任。</w:t>
      </w:r>
    </w:p>
    <w:p>
      <w:pPr>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rPr>
          <w:szCs w:val="32"/>
          <w:u w:val="none"/>
        </w:rPr>
      </w:pPr>
      <w:r>
        <w:rPr>
          <w:rFonts w:hint="eastAsia"/>
          <w:szCs w:val="32"/>
          <w:u w:val="none"/>
          <w:lang w:val="en-US" w:eastAsia="zh-CN"/>
        </w:rPr>
        <w:t>7</w:t>
      </w:r>
      <w:r>
        <w:rPr>
          <w:rFonts w:hint="default" w:ascii="Times New Roman" w:hAnsi="Times New Roman" w:eastAsia="方正仿宋_GBK" w:cs="Times New Roman"/>
          <w:b w:val="0"/>
          <w:bCs w:val="0"/>
          <w:sz w:val="32"/>
          <w:szCs w:val="32"/>
          <w:lang w:val="en-US" w:eastAsia="zh-CN"/>
        </w:rPr>
        <w:t>．</w:t>
      </w:r>
      <w:r>
        <w:rPr>
          <w:szCs w:val="32"/>
          <w:u w:val="none"/>
        </w:rPr>
        <w:t>采用新结构、新技术和新材料的建筑工程应符合抗震性能要求。若采用可能影响建筑工程抗震安全且没有国家技术标准的新技术、新材料的，应该按照相关规定申请核准。新技术的应用必须经过城乡建设部门确定符合现行国家规范后，设计施工单位方可使用。</w:t>
      </w:r>
    </w:p>
    <w:p>
      <w:pPr>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rPr>
          <w:szCs w:val="32"/>
          <w:u w:val="none"/>
        </w:rPr>
      </w:pPr>
      <w:r>
        <w:rPr>
          <w:rFonts w:hint="eastAsia"/>
          <w:szCs w:val="32"/>
          <w:u w:val="none"/>
          <w:lang w:val="en-US" w:eastAsia="zh-CN"/>
        </w:rPr>
        <w:t>8</w:t>
      </w:r>
      <w:r>
        <w:rPr>
          <w:rFonts w:hint="default" w:ascii="Times New Roman" w:hAnsi="Times New Roman" w:eastAsia="方正仿宋_GBK" w:cs="Times New Roman"/>
          <w:b w:val="0"/>
          <w:bCs w:val="0"/>
          <w:sz w:val="32"/>
          <w:szCs w:val="32"/>
          <w:lang w:val="en-US" w:eastAsia="zh-CN"/>
        </w:rPr>
        <w:t>．</w:t>
      </w:r>
      <w:r>
        <w:rPr>
          <w:szCs w:val="32"/>
          <w:u w:val="none"/>
        </w:rPr>
        <w:t>可能发生严重次生灾害的工程项目不得建在人口稠密地区。已建的宜逐步迁出，未迁出前宜采取必要的防灾救灾措施。</w:t>
      </w:r>
    </w:p>
    <w:p>
      <w:pPr>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rPr>
          <w:szCs w:val="32"/>
          <w:u w:val="none"/>
        </w:rPr>
      </w:pPr>
      <w:r>
        <w:rPr>
          <w:rFonts w:hint="eastAsia"/>
          <w:szCs w:val="32"/>
          <w:u w:val="none"/>
          <w:lang w:val="en-US" w:eastAsia="zh-CN"/>
        </w:rPr>
        <w:t>9</w:t>
      </w:r>
      <w:r>
        <w:rPr>
          <w:rFonts w:hint="default" w:ascii="Times New Roman" w:hAnsi="Times New Roman" w:eastAsia="方正仿宋_GBK" w:cs="Times New Roman"/>
          <w:b w:val="0"/>
          <w:bCs w:val="0"/>
          <w:sz w:val="32"/>
          <w:szCs w:val="32"/>
          <w:lang w:val="en-US" w:eastAsia="zh-CN"/>
        </w:rPr>
        <w:t>．</w:t>
      </w:r>
      <w:r>
        <w:rPr>
          <w:szCs w:val="32"/>
          <w:u w:val="none"/>
        </w:rPr>
        <w:t>新建城市基础设施的管线，应采用抗震性能较好的管材，并宜采用柔性接头以增加其抗震能力；在穿越河道、液化、震陷等抗震不利地段时，应采用可靠措施消除不利影响；管道的弯头、三通和闸门，以及和构筑物的连接处应采用柔性接头。已建城市基础设施的管线，应依据本要求结合维修改造逐步完善防灾措施。</w:t>
      </w:r>
    </w:p>
    <w:p>
      <w:pPr>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rPr>
          <w:szCs w:val="32"/>
          <w:u w:val="none"/>
        </w:rPr>
      </w:pPr>
      <w:r>
        <w:rPr>
          <w:rFonts w:hint="eastAsia"/>
          <w:szCs w:val="32"/>
          <w:u w:val="none"/>
          <w:lang w:val="en-US" w:eastAsia="zh-CN"/>
        </w:rPr>
        <w:t>10</w:t>
      </w:r>
      <w:r>
        <w:rPr>
          <w:rFonts w:hint="default" w:ascii="Times New Roman" w:hAnsi="Times New Roman" w:eastAsia="方正仿宋_GBK" w:cs="Times New Roman"/>
          <w:b w:val="0"/>
          <w:bCs w:val="0"/>
          <w:sz w:val="32"/>
          <w:szCs w:val="32"/>
          <w:lang w:val="en-US" w:eastAsia="zh-CN"/>
        </w:rPr>
        <w:t>．</w:t>
      </w:r>
      <w:r>
        <w:rPr>
          <w:szCs w:val="32"/>
          <w:u w:val="none"/>
        </w:rPr>
        <w:t>国家、重庆市或者綦江区对建设工程抗震还有其他规定的，还应当符合其规定。</w:t>
      </w:r>
    </w:p>
    <w:p>
      <w:pPr>
        <w:pStyle w:val="5"/>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rPr>
          <w:rFonts w:ascii="方正黑体_GBK" w:eastAsia="方正黑体_GBK"/>
        </w:rPr>
      </w:pPr>
      <w:r>
        <w:rPr>
          <w:rFonts w:hint="eastAsia" w:ascii="方正黑体_GBK" w:hAnsi="Times New Roman" w:eastAsia="方正黑体_GBK" w:cstheme="minorBidi"/>
          <w:b w:val="0"/>
          <w:bCs/>
          <w:kern w:val="0"/>
          <w:sz w:val="32"/>
          <w:szCs w:val="32"/>
          <w:lang w:val="en-US" w:eastAsia="zh-CN" w:bidi="ar-SA"/>
        </w:rPr>
        <w:t>第十条</w:t>
      </w:r>
      <w:r>
        <w:rPr>
          <w:rFonts w:ascii="方正黑体_GBK" w:eastAsia="方正黑体_GBK"/>
        </w:rPr>
        <w:t xml:space="preserve">  </w:t>
      </w:r>
      <w:bookmarkStart w:id="92" w:name="_Toc156306987"/>
      <w:bookmarkStart w:id="93" w:name="_Toc158038205"/>
      <w:bookmarkStart w:id="94" w:name="_Toc158038109"/>
      <w:r>
        <w:rPr>
          <w:rFonts w:ascii="方正黑体_GBK" w:eastAsia="方正黑体_GBK"/>
        </w:rPr>
        <w:t>分类分级抗震设防要求</w:t>
      </w:r>
      <w:bookmarkEnd w:id="92"/>
      <w:bookmarkEnd w:id="93"/>
      <w:bookmarkEnd w:id="94"/>
    </w:p>
    <w:p>
      <w:pPr>
        <w:spacing w:line="576" w:lineRule="exact"/>
        <w:ind w:firstLine="640" w:firstLineChars="200"/>
        <w:rPr>
          <w:szCs w:val="32"/>
        </w:rPr>
      </w:pPr>
      <w:r>
        <w:rPr>
          <w:szCs w:val="32"/>
        </w:rPr>
        <w:t>城市防灾空间布局、应急保障基础设施、避震疏散应根据城市抗震防灾目标的要求，通过评估系统的重要性、抗震易损性、功能可靠性和震后应急需求等，确定相应的布局、分级设防要求以及抗震保障措施。直接服务于城市应急救灾和避震疏散的交通、供水、供电、通信等应急保障基础设施的抗震应急功能保障级别应按下列规定划分为</w:t>
      </w:r>
      <w:r>
        <w:rPr>
          <w:rFonts w:hint="eastAsia" w:ascii="宋体" w:hAnsi="宋体" w:cs="宋体"/>
          <w:szCs w:val="32"/>
        </w:rPr>
        <w:t>Ⅰ</w:t>
      </w:r>
      <w:r>
        <w:rPr>
          <w:szCs w:val="32"/>
        </w:rPr>
        <w:t>、</w:t>
      </w:r>
      <w:r>
        <w:rPr>
          <w:rFonts w:hint="eastAsia" w:ascii="宋体" w:hAnsi="宋体" w:cs="宋体"/>
          <w:szCs w:val="32"/>
        </w:rPr>
        <w:t>Ⅱ</w:t>
      </w:r>
      <w:r>
        <w:rPr>
          <w:szCs w:val="32"/>
        </w:rPr>
        <w:t>和</w:t>
      </w:r>
      <w:r>
        <w:rPr>
          <w:rFonts w:hint="eastAsia" w:ascii="宋体" w:hAnsi="宋体" w:cs="宋体"/>
          <w:szCs w:val="32"/>
        </w:rPr>
        <w:t>Ⅲ</w:t>
      </w:r>
      <w:r>
        <w:rPr>
          <w:szCs w:val="32"/>
        </w:rPr>
        <w:t>级</w:t>
      </w:r>
      <w:r>
        <w:rPr>
          <w:rFonts w:hint="eastAsia"/>
          <w:szCs w:val="32"/>
        </w:rPr>
        <w:t>：</w:t>
      </w:r>
    </w:p>
    <w:p>
      <w:pPr>
        <w:spacing w:line="576" w:lineRule="exact"/>
        <w:ind w:firstLine="640" w:firstLineChars="200"/>
        <w:rPr>
          <w:szCs w:val="32"/>
        </w:rPr>
      </w:pPr>
      <w:r>
        <w:rPr>
          <w:rFonts w:hint="eastAsia" w:ascii="宋体" w:hAnsi="宋体" w:cs="宋体"/>
          <w:szCs w:val="32"/>
        </w:rPr>
        <w:t>Ⅰ</w:t>
      </w:r>
      <w:r>
        <w:rPr>
          <w:szCs w:val="32"/>
        </w:rPr>
        <w:t>级：震时功能不能中断或震后需立即启用的应急保障基础设施，</w:t>
      </w:r>
      <w:r>
        <w:rPr>
          <w:rFonts w:hint="eastAsia"/>
          <w:szCs w:val="32"/>
        </w:rPr>
        <w:t>涉及</w:t>
      </w:r>
      <w:r>
        <w:rPr>
          <w:szCs w:val="32"/>
        </w:rPr>
        <w:t>国家和区域公共安全，影响城市应急指挥、医疗卫生、供水、供电、物资储备及分发、消防等特别重大应急救援活动</w:t>
      </w:r>
      <w:r>
        <w:rPr>
          <w:rFonts w:hint="eastAsia"/>
          <w:szCs w:val="32"/>
        </w:rPr>
        <w:t>所必需的</w:t>
      </w:r>
      <w:r>
        <w:rPr>
          <w:szCs w:val="32"/>
        </w:rPr>
        <w:t>设施，一旦中断可能导致严重次生灾害或重大人口伤亡等特别重大灾害后果；</w:t>
      </w:r>
    </w:p>
    <w:p>
      <w:pPr>
        <w:spacing w:line="576" w:lineRule="exact"/>
        <w:ind w:firstLine="640" w:firstLineChars="200"/>
        <w:rPr>
          <w:szCs w:val="32"/>
        </w:rPr>
      </w:pPr>
      <w:r>
        <w:rPr>
          <w:rFonts w:hint="eastAsia" w:ascii="宋体" w:hAnsi="宋体" w:cs="宋体"/>
          <w:szCs w:val="32"/>
        </w:rPr>
        <w:t>Ⅱ</w:t>
      </w:r>
      <w:r>
        <w:rPr>
          <w:szCs w:val="32"/>
        </w:rPr>
        <w:t>级：震时功能基本不能中断或震后迅速恢复的应急保障基础设施，影响集中避难和救援人员的基本生存或生命安全，影响大规模受灾或避难人群应急医疗卫生、供水、供电、</w:t>
      </w:r>
      <w:r>
        <w:rPr>
          <w:rFonts w:hint="eastAsia"/>
          <w:szCs w:val="32"/>
        </w:rPr>
        <w:t>物资储备</w:t>
      </w:r>
      <w:r>
        <w:rPr>
          <w:szCs w:val="32"/>
        </w:rPr>
        <w:t>及分发、消防等重大应急救援活动，一旦中断可能导致次生灾害或大量人口伤</w:t>
      </w:r>
      <w:r>
        <w:rPr>
          <w:rFonts w:hint="eastAsia"/>
          <w:szCs w:val="32"/>
        </w:rPr>
        <w:t>亡</w:t>
      </w:r>
      <w:r>
        <w:rPr>
          <w:szCs w:val="32"/>
        </w:rPr>
        <w:t>等重大灾害后果；</w:t>
      </w:r>
    </w:p>
    <w:p>
      <w:pPr>
        <w:spacing w:line="576" w:lineRule="exact"/>
        <w:ind w:firstLine="640" w:firstLineChars="200"/>
        <w:rPr>
          <w:szCs w:val="32"/>
        </w:rPr>
      </w:pPr>
      <w:r>
        <w:rPr>
          <w:rFonts w:hint="eastAsia" w:ascii="宋体" w:hAnsi="宋体" w:cs="宋体"/>
          <w:szCs w:val="32"/>
        </w:rPr>
        <w:t>Ⅲ</w:t>
      </w:r>
      <w:r>
        <w:rPr>
          <w:szCs w:val="32"/>
        </w:rPr>
        <w:t>级：除</w:t>
      </w:r>
      <w:r>
        <w:rPr>
          <w:rFonts w:hint="eastAsia" w:ascii="宋体" w:hAnsi="宋体" w:cs="宋体"/>
          <w:szCs w:val="32"/>
        </w:rPr>
        <w:t>Ⅰ</w:t>
      </w:r>
      <w:r>
        <w:rPr>
          <w:szCs w:val="32"/>
        </w:rPr>
        <w:t>、</w:t>
      </w:r>
      <w:r>
        <w:rPr>
          <w:rFonts w:hint="eastAsia" w:ascii="宋体" w:hAnsi="宋体" w:cs="宋体"/>
          <w:szCs w:val="32"/>
        </w:rPr>
        <w:t>Ⅱ</w:t>
      </w:r>
      <w:r>
        <w:rPr>
          <w:szCs w:val="32"/>
        </w:rPr>
        <w:t>级之外的其他应急保障基础设施。震后需尽快设置或恢复的基础设施，影响集中避难和救援活动，一旦中断可能导致较大灾害后果。</w:t>
      </w:r>
    </w:p>
    <w:p>
      <w:pPr>
        <w:pStyle w:val="4"/>
        <w:numPr>
          <w:ilvl w:val="0"/>
          <w:numId w:val="0"/>
        </w:numPr>
        <w:spacing w:line="576" w:lineRule="exact"/>
        <w:ind w:left="0" w:leftChars="0" w:firstLine="643" w:firstLineChars="0"/>
        <w:jc w:val="center"/>
        <w:rPr>
          <w:rFonts w:hint="eastAsia" w:ascii="方正黑体_GBK" w:hAnsi="Times New Roman" w:eastAsia="方正黑体_GBK" w:cstheme="minorBidi"/>
          <w:bCs/>
          <w:kern w:val="0"/>
          <w:sz w:val="32"/>
          <w:szCs w:val="32"/>
          <w:lang w:val="en-US" w:eastAsia="zh-CN" w:bidi="ar-SA"/>
        </w:rPr>
      </w:pPr>
    </w:p>
    <w:p>
      <w:pPr>
        <w:pStyle w:val="4"/>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ascii="方正黑体_GBK"/>
          <w:bCs/>
        </w:rPr>
      </w:pPr>
      <w:r>
        <w:rPr>
          <w:rFonts w:hint="eastAsia" w:ascii="方正黑体_GBK" w:hAnsi="Times New Roman" w:eastAsia="方正黑体_GBK" w:cstheme="minorBidi"/>
          <w:bCs/>
          <w:kern w:val="0"/>
          <w:sz w:val="32"/>
          <w:szCs w:val="32"/>
          <w:lang w:val="en-US" w:eastAsia="zh-CN" w:bidi="ar-SA"/>
        </w:rPr>
        <w:t>第四章</w:t>
      </w:r>
      <w:r>
        <w:rPr>
          <w:rFonts w:ascii="方正黑体_GBK"/>
          <w:bCs/>
        </w:rPr>
        <w:t xml:space="preserve">  </w:t>
      </w:r>
      <w:bookmarkStart w:id="95" w:name="_Toc158038110"/>
      <w:bookmarkStart w:id="96" w:name="_Toc158038206"/>
      <w:bookmarkStart w:id="97" w:name="_Toc156306988"/>
      <w:r>
        <w:rPr>
          <w:rFonts w:ascii="方正黑体_GBK"/>
          <w:bCs/>
        </w:rPr>
        <w:t>城市用地抗震性能评价</w:t>
      </w:r>
      <w:bookmarkEnd w:id="95"/>
      <w:bookmarkEnd w:id="96"/>
      <w:bookmarkEnd w:id="97"/>
    </w:p>
    <w:p>
      <w:pPr>
        <w:keepNext/>
        <w:spacing w:line="576" w:lineRule="exact"/>
        <w:ind w:firstLine="640" w:firstLineChars="200"/>
        <w:rPr>
          <w:szCs w:val="32"/>
        </w:rPr>
      </w:pP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ascii="方正黑体_GBK" w:eastAsia="方正黑体_GBK"/>
        </w:rPr>
      </w:pPr>
      <w:r>
        <w:rPr>
          <w:rFonts w:hint="eastAsia" w:ascii="方正黑体_GBK" w:hAnsi="Times New Roman" w:eastAsia="方正黑体_GBK" w:cstheme="minorBidi"/>
          <w:b w:val="0"/>
          <w:bCs/>
          <w:kern w:val="0"/>
          <w:sz w:val="32"/>
          <w:szCs w:val="32"/>
          <w:lang w:val="en-US" w:eastAsia="zh-CN" w:bidi="ar-SA"/>
        </w:rPr>
        <w:t>第十一条</w:t>
      </w:r>
      <w:r>
        <w:rPr>
          <w:rFonts w:ascii="方正黑体_GBK" w:eastAsia="方正黑体_GBK"/>
        </w:rPr>
        <w:t xml:space="preserve">  </w:t>
      </w:r>
      <w:bookmarkStart w:id="98" w:name="_Toc158038207"/>
      <w:bookmarkStart w:id="99" w:name="_Toc158038111"/>
      <w:bookmarkStart w:id="100" w:name="_Toc156306989"/>
      <w:r>
        <w:rPr>
          <w:rFonts w:ascii="方正黑体_GBK" w:eastAsia="方正黑体_GBK"/>
        </w:rPr>
        <w:t>规划区地震地质环境综合评价</w:t>
      </w:r>
      <w:bookmarkEnd w:id="98"/>
      <w:bookmarkEnd w:id="99"/>
      <w:bookmarkEnd w:id="100"/>
    </w:p>
    <w:p>
      <w:pPr>
        <w:spacing w:line="576" w:lineRule="exact"/>
        <w:ind w:firstLine="640" w:firstLineChars="200"/>
        <w:rPr>
          <w:szCs w:val="32"/>
        </w:rPr>
      </w:pPr>
      <w:r>
        <w:rPr>
          <w:szCs w:val="32"/>
        </w:rPr>
        <w:t>规划工作区在四川台坳内的川东陷褶束三级构造单元之中，地壳结构简单；区域新构造运动主要表现为大面积的整体间歇性抬升（或掀斜），未见明显的差异活动，地壳相对稳定；近场区在构造位置上处于川东陷褶束内，背斜和断裂构造较发育，新构造运动微弱，表现为整体间歇性的微弱隆升，地质构造相对简单，条理清楚，地表发育由三叠系</w:t>
      </w:r>
      <w:r>
        <w:rPr>
          <w:rFonts w:hint="eastAsia" w:ascii="方正仿宋_GBK" w:hAnsi="方正仿宋_GBK" w:cs="方正仿宋_GBK"/>
          <w:szCs w:val="32"/>
          <w:lang w:eastAsia="zh-CN"/>
        </w:rPr>
        <w:t>—</w:t>
      </w:r>
      <w:r>
        <w:rPr>
          <w:szCs w:val="32"/>
        </w:rPr>
        <w:t>侏罗系构成的褶皱，断裂构造规模较小；近场区内地震对规划工作区的最大影响烈度为</w:t>
      </w:r>
      <w:r>
        <w:rPr>
          <w:rFonts w:hint="eastAsia" w:ascii="宋体" w:hAnsi="宋体" w:cs="宋体"/>
          <w:szCs w:val="32"/>
        </w:rPr>
        <w:t>Ⅳ</w:t>
      </w:r>
      <w:r>
        <w:rPr>
          <w:szCs w:val="32"/>
        </w:rPr>
        <w:t>度。</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第十二条  </w:t>
      </w:r>
      <w:bookmarkStart w:id="101" w:name="_Toc156306990"/>
      <w:bookmarkStart w:id="102" w:name="_Toc158038112"/>
      <w:bookmarkStart w:id="103" w:name="_Toc158038208"/>
      <w:r>
        <w:rPr>
          <w:rFonts w:hint="eastAsia" w:ascii="方正黑体_GBK" w:hAnsi="Times New Roman" w:eastAsia="方正黑体_GBK" w:cstheme="minorBidi"/>
          <w:b w:val="0"/>
          <w:bCs/>
          <w:kern w:val="0"/>
          <w:sz w:val="32"/>
          <w:szCs w:val="32"/>
          <w:lang w:val="en-US" w:eastAsia="zh-CN" w:bidi="ar-SA"/>
        </w:rPr>
        <w:t>用地抗震类型分区</w:t>
      </w:r>
      <w:bookmarkEnd w:id="101"/>
      <w:bookmarkEnd w:id="102"/>
      <w:bookmarkEnd w:id="103"/>
    </w:p>
    <w:p>
      <w:pPr>
        <w:spacing w:line="576" w:lineRule="exact"/>
        <w:ind w:firstLine="640" w:firstLineChars="200"/>
        <w:jc w:val="left"/>
        <w:rPr>
          <w:szCs w:val="32"/>
        </w:rPr>
      </w:pPr>
      <w:r>
        <w:rPr>
          <w:szCs w:val="32"/>
        </w:rPr>
        <w:t>规划区内工程场地类别为</w:t>
      </w:r>
      <w:r>
        <w:rPr>
          <w:rFonts w:hint="eastAsia" w:ascii="宋体" w:hAnsi="宋体" w:cs="宋体"/>
          <w:szCs w:val="32"/>
        </w:rPr>
        <w:t>Ⅰ</w:t>
      </w:r>
      <w:r>
        <w:rPr>
          <w:szCs w:val="32"/>
          <w:vertAlign w:val="subscript"/>
        </w:rPr>
        <w:t>0</w:t>
      </w:r>
      <w:r>
        <w:rPr>
          <w:szCs w:val="32"/>
        </w:rPr>
        <w:t>、</w:t>
      </w:r>
      <w:r>
        <w:rPr>
          <w:rFonts w:hint="eastAsia" w:ascii="宋体" w:hAnsi="宋体" w:cs="宋体"/>
          <w:szCs w:val="32"/>
        </w:rPr>
        <w:t>Ⅰ</w:t>
      </w:r>
      <w:r>
        <w:rPr>
          <w:szCs w:val="32"/>
          <w:vertAlign w:val="subscript"/>
        </w:rPr>
        <w:t>1</w:t>
      </w:r>
      <w:r>
        <w:rPr>
          <w:szCs w:val="32"/>
        </w:rPr>
        <w:t>、</w:t>
      </w:r>
      <w:r>
        <w:rPr>
          <w:rFonts w:hint="eastAsia" w:ascii="宋体" w:hAnsi="宋体" w:cs="宋体"/>
          <w:szCs w:val="32"/>
        </w:rPr>
        <w:t>Ⅱ</w:t>
      </w:r>
      <w:r>
        <w:rPr>
          <w:szCs w:val="32"/>
        </w:rPr>
        <w:t>、</w:t>
      </w:r>
      <w:r>
        <w:rPr>
          <w:rFonts w:hint="eastAsia" w:ascii="宋体" w:hAnsi="宋体" w:cs="宋体"/>
          <w:szCs w:val="32"/>
        </w:rPr>
        <w:t>Ⅲ</w:t>
      </w:r>
      <w:r>
        <w:rPr>
          <w:szCs w:val="32"/>
        </w:rPr>
        <w:t>类，其中</w:t>
      </w:r>
      <w:r>
        <w:rPr>
          <w:rFonts w:hint="eastAsia" w:ascii="宋体" w:hAnsi="宋体" w:cs="宋体"/>
          <w:szCs w:val="32"/>
        </w:rPr>
        <w:t>Ⅰ</w:t>
      </w:r>
      <w:r>
        <w:rPr>
          <w:szCs w:val="32"/>
          <w:vertAlign w:val="subscript"/>
        </w:rPr>
        <w:t>1</w:t>
      </w:r>
      <w:r>
        <w:rPr>
          <w:szCs w:val="32"/>
        </w:rPr>
        <w:t>、</w:t>
      </w:r>
      <w:r>
        <w:rPr>
          <w:rFonts w:hint="eastAsia" w:ascii="宋体" w:hAnsi="宋体" w:cs="宋体"/>
          <w:szCs w:val="32"/>
        </w:rPr>
        <w:t>Ⅱ</w:t>
      </w:r>
      <w:r>
        <w:rPr>
          <w:szCs w:val="32"/>
        </w:rPr>
        <w:t>类分布最广，分布面积占规划区整体面积92.2%，其中</w:t>
      </w:r>
      <w:r>
        <w:rPr>
          <w:rFonts w:hint="eastAsia" w:ascii="宋体" w:hAnsi="宋体" w:cs="宋体"/>
          <w:szCs w:val="32"/>
        </w:rPr>
        <w:t>Ⅰ</w:t>
      </w:r>
      <w:r>
        <w:rPr>
          <w:szCs w:val="32"/>
          <w:vertAlign w:val="subscript"/>
        </w:rPr>
        <w:t>1</w:t>
      </w:r>
      <w:r>
        <w:rPr>
          <w:szCs w:val="32"/>
        </w:rPr>
        <w:t>类占比56.7%，</w:t>
      </w:r>
      <w:r>
        <w:rPr>
          <w:rFonts w:hint="eastAsia" w:ascii="宋体" w:hAnsi="宋体" w:cs="宋体"/>
          <w:szCs w:val="32"/>
        </w:rPr>
        <w:t>Ⅱ</w:t>
      </w:r>
      <w:r>
        <w:rPr>
          <w:szCs w:val="32"/>
        </w:rPr>
        <w:t>类占比35.5%，</w:t>
      </w:r>
      <w:r>
        <w:rPr>
          <w:rFonts w:hint="eastAsia" w:ascii="宋体" w:hAnsi="宋体" w:cs="宋体"/>
          <w:szCs w:val="32"/>
        </w:rPr>
        <w:t>Ⅰ</w:t>
      </w:r>
      <w:r>
        <w:rPr>
          <w:szCs w:val="32"/>
          <w:vertAlign w:val="subscript"/>
        </w:rPr>
        <w:t>0</w:t>
      </w:r>
      <w:r>
        <w:rPr>
          <w:szCs w:val="32"/>
        </w:rPr>
        <w:t>类场地主要分布在龙脊山防灾分区内，占比0.3%，</w:t>
      </w:r>
      <w:r>
        <w:rPr>
          <w:rFonts w:hint="eastAsia" w:ascii="宋体" w:hAnsi="宋体" w:cs="宋体"/>
          <w:szCs w:val="32"/>
        </w:rPr>
        <w:t>Ⅲ</w:t>
      </w:r>
      <w:r>
        <w:rPr>
          <w:szCs w:val="32"/>
        </w:rPr>
        <w:t>类场地主要分布在东部新城防灾分区及北渡铝产业园防灾分区内，占比7.5%，未见</w:t>
      </w:r>
      <w:r>
        <w:rPr>
          <w:rFonts w:hint="eastAsia" w:ascii="宋体" w:hAnsi="宋体" w:cs="宋体"/>
          <w:szCs w:val="32"/>
        </w:rPr>
        <w:t>Ⅳ</w:t>
      </w:r>
      <w:r>
        <w:rPr>
          <w:szCs w:val="32"/>
        </w:rPr>
        <w:t>类场地分布；</w:t>
      </w:r>
    </w:p>
    <w:p>
      <w:pPr>
        <w:spacing w:line="576" w:lineRule="exact"/>
        <w:ind w:firstLine="640" w:firstLineChars="200"/>
        <w:jc w:val="left"/>
        <w:rPr>
          <w:szCs w:val="32"/>
        </w:rPr>
      </w:pPr>
      <w:r>
        <w:rPr>
          <w:szCs w:val="32"/>
        </w:rPr>
        <w:t>规划区内用地抗震类型主要为</w:t>
      </w:r>
      <w:r>
        <w:rPr>
          <w:rFonts w:hint="eastAsia" w:ascii="宋体" w:hAnsi="宋体" w:cs="宋体"/>
          <w:szCs w:val="32"/>
        </w:rPr>
        <w:t>Ⅰ</w:t>
      </w:r>
      <w:r>
        <w:rPr>
          <w:szCs w:val="32"/>
        </w:rPr>
        <w:t>、</w:t>
      </w:r>
      <w:r>
        <w:rPr>
          <w:rFonts w:hint="eastAsia" w:ascii="宋体" w:hAnsi="宋体" w:cs="宋体"/>
          <w:szCs w:val="32"/>
        </w:rPr>
        <w:t>Ⅱ</w:t>
      </w:r>
      <w:r>
        <w:rPr>
          <w:szCs w:val="32"/>
        </w:rPr>
        <w:t>、</w:t>
      </w:r>
      <w:r>
        <w:rPr>
          <w:rFonts w:hint="eastAsia" w:ascii="宋体" w:hAnsi="宋体" w:cs="宋体"/>
          <w:szCs w:val="32"/>
        </w:rPr>
        <w:t>Ⅲ</w:t>
      </w:r>
      <w:r>
        <w:rPr>
          <w:szCs w:val="32"/>
        </w:rPr>
        <w:t>类，其中</w:t>
      </w:r>
      <w:r>
        <w:rPr>
          <w:rFonts w:hint="eastAsia" w:ascii="宋体" w:hAnsi="宋体" w:cs="宋体"/>
          <w:szCs w:val="32"/>
        </w:rPr>
        <w:t>Ⅱ</w:t>
      </w:r>
      <w:r>
        <w:rPr>
          <w:szCs w:val="32"/>
        </w:rPr>
        <w:t>类用地分布最广，分布面积占规划区整体面积83.7%，</w:t>
      </w:r>
      <w:r>
        <w:rPr>
          <w:rFonts w:hint="eastAsia" w:ascii="宋体" w:hAnsi="宋体" w:cs="宋体"/>
          <w:szCs w:val="32"/>
        </w:rPr>
        <w:t>Ⅰ</w:t>
      </w:r>
      <w:r>
        <w:rPr>
          <w:szCs w:val="32"/>
        </w:rPr>
        <w:t>类用地主要分布在工业园区（桥河组团）防灾分区与北部智慧新城防灾分区内，占比8.7%，</w:t>
      </w:r>
      <w:r>
        <w:rPr>
          <w:rFonts w:hint="eastAsia" w:ascii="宋体" w:hAnsi="宋体" w:cs="宋体"/>
          <w:szCs w:val="32"/>
        </w:rPr>
        <w:t>Ⅲ</w:t>
      </w:r>
      <w:r>
        <w:rPr>
          <w:szCs w:val="32"/>
        </w:rPr>
        <w:t>类用地主要分布在东部新城防灾分区及北渡铝产业园防灾分区内，占比7.6%，未见</w:t>
      </w:r>
      <w:r>
        <w:rPr>
          <w:rFonts w:hint="eastAsia" w:ascii="宋体" w:hAnsi="宋体" w:cs="宋体"/>
          <w:szCs w:val="32"/>
        </w:rPr>
        <w:t>Ⅳ</w:t>
      </w:r>
      <w:r>
        <w:rPr>
          <w:szCs w:val="32"/>
        </w:rPr>
        <w:t>类用地分布。</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第十三条  </w:t>
      </w:r>
      <w:bookmarkStart w:id="104" w:name="_Toc158038113"/>
      <w:bookmarkStart w:id="105" w:name="_Toc156306991"/>
      <w:bookmarkStart w:id="106" w:name="_Toc158038209"/>
      <w:r>
        <w:rPr>
          <w:rFonts w:hint="eastAsia" w:ascii="方正黑体_GBK" w:hAnsi="Times New Roman" w:eastAsia="方正黑体_GBK" w:cstheme="minorBidi"/>
          <w:b w:val="0"/>
          <w:bCs/>
          <w:kern w:val="0"/>
          <w:sz w:val="32"/>
          <w:szCs w:val="32"/>
          <w:lang w:val="en-US" w:eastAsia="zh-CN" w:bidi="ar-SA"/>
        </w:rPr>
        <w:t>潜在危险地段划分</w:t>
      </w:r>
      <w:bookmarkEnd w:id="104"/>
      <w:bookmarkEnd w:id="105"/>
      <w:bookmarkEnd w:id="106"/>
    </w:p>
    <w:p>
      <w:pPr>
        <w:spacing w:line="576" w:lineRule="exact"/>
        <w:ind w:firstLine="640" w:firstLineChars="200"/>
        <w:rPr>
          <w:szCs w:val="32"/>
        </w:rPr>
      </w:pPr>
      <w:r>
        <w:rPr>
          <w:szCs w:val="32"/>
        </w:rPr>
        <w:t>规划区内潜在危险地段划分，主要考虑砂土液化、软土震陷、断层错动及崩塌滑坡等地震地质灾害，在遭遇</w:t>
      </w:r>
      <w:r>
        <w:rPr>
          <w:rFonts w:hint="eastAsia" w:ascii="宋体" w:hAnsi="宋体" w:cs="宋体"/>
          <w:szCs w:val="32"/>
        </w:rPr>
        <w:t>Ⅵ</w:t>
      </w:r>
      <w:r>
        <w:rPr>
          <w:szCs w:val="32"/>
        </w:rPr>
        <w:t>度地震作用时，规划区内不会出现砂土液化、软土震陷、断层错动等地震地质灾害；大部分地区发生崩塌滑坡地质地震灾害危险性程度低，部分地区发生滑坡地质地震灾害危险性程度中等，仅有少部分地区发生崩塌地质地震灾害危险性中等。</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第十四条  </w:t>
      </w:r>
      <w:bookmarkStart w:id="107" w:name="_Toc158038114"/>
      <w:bookmarkStart w:id="108" w:name="_Toc156306992"/>
      <w:bookmarkStart w:id="109" w:name="_Toc158038210"/>
      <w:r>
        <w:rPr>
          <w:rFonts w:hint="eastAsia" w:ascii="方正黑体_GBK" w:hAnsi="Times New Roman" w:eastAsia="方正黑体_GBK" w:cstheme="minorBidi"/>
          <w:b w:val="0"/>
          <w:bCs/>
          <w:kern w:val="0"/>
          <w:sz w:val="32"/>
          <w:szCs w:val="32"/>
          <w:lang w:val="en-US" w:eastAsia="zh-CN" w:bidi="ar-SA"/>
        </w:rPr>
        <w:t>用地抗震适宜性评价</w:t>
      </w:r>
      <w:bookmarkEnd w:id="107"/>
      <w:bookmarkEnd w:id="108"/>
      <w:bookmarkEnd w:id="109"/>
    </w:p>
    <w:p>
      <w:pPr>
        <w:spacing w:line="576" w:lineRule="exact"/>
        <w:ind w:firstLine="640" w:firstLineChars="200"/>
        <w:rPr>
          <w:szCs w:val="32"/>
        </w:rPr>
      </w:pPr>
      <w:r>
        <w:rPr>
          <w:szCs w:val="32"/>
        </w:rPr>
        <w:t>綦江区中心城区用地抗震适宜性评价大部分为适宜，适宜用地占整体规划区面积75.9%；较适宜主要分布在北渡铝产业园防灾分区和东部新城防灾分区，占比15.3%；北部智慧新城防灾分区和共同片区防灾分区具有较大面积的有条件适宜区域，有条件适宜用地占整体规划区面积7.4%；綦江区中心城区用地抗震适宜性为不适宜地段较少，占比仅为1.4%。</w:t>
      </w:r>
    </w:p>
    <w:p>
      <w:pPr>
        <w:spacing w:line="576" w:lineRule="exact"/>
        <w:ind w:firstLine="640" w:firstLineChars="200"/>
        <w:rPr>
          <w:szCs w:val="32"/>
        </w:rPr>
      </w:pPr>
    </w:p>
    <w:p>
      <w:pPr>
        <w:pStyle w:val="4"/>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ascii="方正黑体_GBK"/>
          <w:bCs/>
        </w:rPr>
      </w:pPr>
      <w:r>
        <w:rPr>
          <w:rFonts w:hint="eastAsia" w:ascii="方正黑体_GBK" w:hAnsi="Times New Roman" w:eastAsia="方正黑体_GBK" w:cstheme="minorBidi"/>
          <w:bCs/>
          <w:kern w:val="0"/>
          <w:sz w:val="32"/>
          <w:szCs w:val="32"/>
          <w:lang w:val="en-US" w:eastAsia="zh-CN" w:bidi="ar-SA"/>
        </w:rPr>
        <w:t>第五章</w:t>
      </w:r>
      <w:r>
        <w:rPr>
          <w:rFonts w:ascii="方正黑体_GBK"/>
          <w:bCs/>
        </w:rPr>
        <w:t xml:space="preserve">  </w:t>
      </w:r>
      <w:bookmarkStart w:id="110" w:name="_Toc158038115"/>
      <w:bookmarkStart w:id="111" w:name="_Toc156306993"/>
      <w:bookmarkStart w:id="112" w:name="_Toc158038211"/>
      <w:r>
        <w:rPr>
          <w:rFonts w:ascii="方正黑体_GBK"/>
          <w:bCs/>
        </w:rPr>
        <w:t>城市防灾空间布局</w:t>
      </w:r>
      <w:bookmarkEnd w:id="110"/>
      <w:bookmarkEnd w:id="111"/>
      <w:bookmarkEnd w:id="112"/>
    </w:p>
    <w:p>
      <w:pPr>
        <w:keepNext/>
        <w:spacing w:line="576" w:lineRule="exact"/>
        <w:ind w:firstLine="640" w:firstLineChars="200"/>
        <w:rPr>
          <w:szCs w:val="32"/>
        </w:rPr>
      </w:pP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第十五条  </w:t>
      </w:r>
      <w:bookmarkStart w:id="113" w:name="_Toc158038212"/>
      <w:bookmarkStart w:id="114" w:name="_Toc156306994"/>
      <w:bookmarkStart w:id="115" w:name="_Toc158038116"/>
      <w:r>
        <w:rPr>
          <w:rFonts w:hint="eastAsia" w:ascii="方正黑体_GBK" w:hAnsi="Times New Roman" w:eastAsia="方正黑体_GBK" w:cstheme="minorBidi"/>
          <w:b w:val="0"/>
          <w:bCs/>
          <w:kern w:val="0"/>
          <w:sz w:val="32"/>
          <w:szCs w:val="32"/>
          <w:lang w:val="en-US" w:eastAsia="zh-CN" w:bidi="ar-SA"/>
        </w:rPr>
        <w:t>防灾空间布局目标</w:t>
      </w:r>
      <w:bookmarkEnd w:id="113"/>
      <w:bookmarkEnd w:id="114"/>
      <w:bookmarkEnd w:id="115"/>
    </w:p>
    <w:p>
      <w:pPr>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rPr>
          <w:szCs w:val="32"/>
        </w:rPr>
      </w:pPr>
      <w:r>
        <w:rPr>
          <w:rFonts w:hint="eastAsia"/>
          <w:szCs w:val="32"/>
          <w:lang w:val="en-US" w:eastAsia="zh-CN"/>
        </w:rPr>
        <w:t>1</w:t>
      </w:r>
      <w:r>
        <w:rPr>
          <w:rFonts w:hint="default" w:ascii="Times New Roman" w:hAnsi="Times New Roman" w:eastAsia="方正仿宋_GBK" w:cs="Times New Roman"/>
          <w:b w:val="0"/>
          <w:bCs w:val="0"/>
          <w:sz w:val="32"/>
          <w:szCs w:val="32"/>
          <w:lang w:val="en-US" w:eastAsia="zh-CN"/>
        </w:rPr>
        <w:t>．</w:t>
      </w:r>
      <w:r>
        <w:rPr>
          <w:szCs w:val="32"/>
        </w:rPr>
        <w:t>形成具有多中心防灾救灾技能的独立空间单元，实现分层建设与管理，各防灾分区之间能够有效阻止次生灾害蔓延；</w:t>
      </w:r>
    </w:p>
    <w:p>
      <w:pPr>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rPr>
          <w:szCs w:val="32"/>
        </w:rPr>
      </w:pPr>
      <w:r>
        <w:rPr>
          <w:rFonts w:hint="eastAsia"/>
          <w:szCs w:val="32"/>
          <w:lang w:val="en-US" w:eastAsia="zh-CN"/>
        </w:rPr>
        <w:t>2</w:t>
      </w:r>
      <w:r>
        <w:rPr>
          <w:rFonts w:hint="default" w:ascii="Times New Roman" w:hAnsi="Times New Roman" w:eastAsia="方正仿宋_GBK" w:cs="Times New Roman"/>
          <w:b w:val="0"/>
          <w:bCs w:val="0"/>
          <w:sz w:val="32"/>
          <w:szCs w:val="32"/>
          <w:lang w:val="en-US" w:eastAsia="zh-CN"/>
        </w:rPr>
        <w:t>．</w:t>
      </w:r>
      <w:r>
        <w:rPr>
          <w:szCs w:val="32"/>
        </w:rPr>
        <w:t>构建合理的城市抗震防灾资源布局依托，便于分类分级</w:t>
      </w:r>
      <w:r>
        <w:rPr>
          <w:rFonts w:hint="eastAsia"/>
          <w:szCs w:val="32"/>
        </w:rPr>
        <w:t>制定</w:t>
      </w:r>
      <w:r>
        <w:rPr>
          <w:szCs w:val="32"/>
        </w:rPr>
        <w:t>各类抗震设施的建设、改造要求与技术指标体系。</w:t>
      </w:r>
    </w:p>
    <w:p>
      <w:pPr>
        <w:pStyle w:val="5"/>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rPr>
          <w:rFonts w:ascii="方正黑体_GBK" w:eastAsia="方正黑体_GBK"/>
        </w:rPr>
      </w:pPr>
      <w:r>
        <w:rPr>
          <w:rFonts w:hint="eastAsia" w:ascii="方正黑体_GBK" w:hAnsi="Times New Roman" w:eastAsia="方正黑体_GBK" w:cstheme="minorBidi"/>
          <w:b w:val="0"/>
          <w:bCs/>
          <w:kern w:val="0"/>
          <w:sz w:val="32"/>
          <w:szCs w:val="32"/>
          <w:lang w:val="en-US" w:eastAsia="zh-CN" w:bidi="ar-SA"/>
        </w:rPr>
        <w:t>第十六条</w:t>
      </w:r>
      <w:r>
        <w:rPr>
          <w:rFonts w:ascii="方正黑体_GBK" w:eastAsia="方正黑体_GBK"/>
        </w:rPr>
        <w:t xml:space="preserve">  </w:t>
      </w:r>
      <w:bookmarkStart w:id="116" w:name="_Toc156306995"/>
      <w:bookmarkStart w:id="117" w:name="_Toc158038117"/>
      <w:bookmarkStart w:id="118" w:name="_Toc158038213"/>
      <w:r>
        <w:rPr>
          <w:rFonts w:ascii="方正黑体_GBK" w:eastAsia="方正黑体_GBK"/>
        </w:rPr>
        <w:t>防灾分区原则与技术标准</w:t>
      </w:r>
      <w:bookmarkEnd w:id="116"/>
      <w:bookmarkEnd w:id="117"/>
      <w:bookmarkEnd w:id="118"/>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9"/>
        <w:rPr>
          <w:szCs w:val="32"/>
        </w:rPr>
      </w:pPr>
      <w:r>
        <w:rPr>
          <w:rFonts w:hint="eastAsia"/>
          <w:szCs w:val="32"/>
          <w:lang w:val="en-US" w:eastAsia="zh-CN"/>
        </w:rPr>
        <w:t>1</w:t>
      </w:r>
      <w:r>
        <w:rPr>
          <w:rFonts w:hint="default" w:ascii="Times New Roman" w:hAnsi="Times New Roman" w:eastAsia="方正仿宋_GBK" w:cs="Times New Roman"/>
          <w:b w:val="0"/>
          <w:bCs w:val="0"/>
          <w:sz w:val="32"/>
          <w:szCs w:val="32"/>
          <w:lang w:val="en-US" w:eastAsia="zh-CN"/>
        </w:rPr>
        <w:t>．</w:t>
      </w:r>
      <w:r>
        <w:rPr>
          <w:szCs w:val="32"/>
        </w:rPr>
        <w:t>区域总体和综合统筹原则：综合考虑城市—城区（组团）—街道（社区）抗震防灾资源的整合共享，按照分层次、分等级的方式进行划分。</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9"/>
        <w:rPr>
          <w:szCs w:val="32"/>
        </w:rPr>
      </w:pPr>
      <w:r>
        <w:rPr>
          <w:rFonts w:hint="eastAsia"/>
          <w:szCs w:val="32"/>
          <w:lang w:val="en-US" w:eastAsia="zh-CN"/>
        </w:rPr>
        <w:t>2</w:t>
      </w:r>
      <w:r>
        <w:rPr>
          <w:rFonts w:hint="default" w:ascii="Times New Roman" w:hAnsi="Times New Roman" w:eastAsia="方正仿宋_GBK" w:cs="Times New Roman"/>
          <w:b w:val="0"/>
          <w:bCs w:val="0"/>
          <w:sz w:val="32"/>
          <w:szCs w:val="32"/>
          <w:lang w:val="en-US" w:eastAsia="zh-CN"/>
        </w:rPr>
        <w:t>．</w:t>
      </w:r>
      <w:r>
        <w:rPr>
          <w:szCs w:val="32"/>
        </w:rPr>
        <w:t>与地震灾害风险区划一致原则：同地震灾害风险区划一致，便于救灾和重建工作开展；防灾分区界限应以最大限度满足应急救灾需求为目标，结合行政区划、道路走向与宽度、水系分布、天然形成的屏障等统筹考虑。</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9"/>
        <w:rPr>
          <w:szCs w:val="32"/>
        </w:rPr>
      </w:pPr>
      <w:r>
        <w:rPr>
          <w:rFonts w:hint="eastAsia"/>
          <w:szCs w:val="32"/>
          <w:lang w:val="en-US" w:eastAsia="zh-CN"/>
        </w:rPr>
        <w:t>3</w:t>
      </w:r>
      <w:r>
        <w:rPr>
          <w:rFonts w:hint="default" w:ascii="Times New Roman" w:hAnsi="Times New Roman" w:eastAsia="方正仿宋_GBK" w:cs="Times New Roman"/>
          <w:b w:val="0"/>
          <w:bCs w:val="0"/>
          <w:sz w:val="32"/>
          <w:szCs w:val="32"/>
          <w:lang w:val="en-US" w:eastAsia="zh-CN"/>
        </w:rPr>
        <w:t>．</w:t>
      </w:r>
      <w:r>
        <w:rPr>
          <w:szCs w:val="32"/>
        </w:rPr>
        <w:t>事权明晰原则：加强政府的抗震防灾调控职能，依据城市总体防灾布局，结合城市行政管理体系要求和各级政府的区域位置，确定不同层级的防灾要求和管理要求。</w:t>
      </w:r>
    </w:p>
    <w:p>
      <w:pPr>
        <w:spacing w:line="576" w:lineRule="exact"/>
        <w:ind w:firstLine="640" w:firstLineChars="200"/>
        <w:rPr>
          <w:szCs w:val="32"/>
        </w:rPr>
      </w:pPr>
      <w:r>
        <w:rPr>
          <w:szCs w:val="32"/>
        </w:rPr>
        <w:t>根据上述原则，綦江中心城区防灾分区按照两级进行划分，划分分级技术要求见下表：</w:t>
      </w:r>
    </w:p>
    <w:p>
      <w:pPr>
        <w:spacing w:line="576" w:lineRule="exact"/>
        <w:jc w:val="center"/>
        <w:rPr>
          <w:rFonts w:hint="eastAsia" w:ascii="方正黑体_GBK" w:hAnsi="方正黑体_GBK" w:eastAsia="方正黑体_GBK" w:cs="方正黑体_GBK"/>
          <w:szCs w:val="32"/>
        </w:rPr>
      </w:pPr>
      <w:r>
        <w:rPr>
          <w:rFonts w:hint="eastAsia" w:ascii="方正黑体_GBK" w:hAnsi="方正黑体_GBK" w:eastAsia="方正黑体_GBK" w:cs="方正黑体_GBK"/>
          <w:szCs w:val="32"/>
        </w:rPr>
        <w:t>防灾空间分级技术标准要求</w:t>
      </w:r>
    </w:p>
    <w:tbl>
      <w:tblPr>
        <w:tblStyle w:val="18"/>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7"/>
        <w:gridCol w:w="3721"/>
        <w:gridCol w:w="3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blHeader/>
          <w:jc w:val="center"/>
        </w:trPr>
        <w:tc>
          <w:tcPr>
            <w:tcW w:w="1477" w:type="dxa"/>
            <w:vAlign w:val="center"/>
          </w:tcPr>
          <w:p>
            <w:pPr>
              <w:spacing w:line="480" w:lineRule="exact"/>
              <w:jc w:val="center"/>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分级</w:t>
            </w:r>
          </w:p>
        </w:tc>
        <w:tc>
          <w:tcPr>
            <w:tcW w:w="3721" w:type="dxa"/>
            <w:vAlign w:val="center"/>
          </w:tcPr>
          <w:p>
            <w:pPr>
              <w:spacing w:line="480" w:lineRule="exact"/>
              <w:jc w:val="center"/>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一级防灾分区</w:t>
            </w:r>
          </w:p>
        </w:tc>
        <w:tc>
          <w:tcPr>
            <w:tcW w:w="3862" w:type="dxa"/>
            <w:vAlign w:val="center"/>
          </w:tcPr>
          <w:p>
            <w:pPr>
              <w:spacing w:line="480" w:lineRule="exact"/>
              <w:jc w:val="center"/>
              <w:rPr>
                <w:rFonts w:hint="eastAsia" w:ascii="方正黑体_GBK" w:hAnsi="方正黑体_GBK" w:eastAsia="方正黑体_GBK" w:cs="方正黑体_GBK"/>
                <w:b w:val="0"/>
                <w:bCs/>
                <w:sz w:val="28"/>
                <w:szCs w:val="28"/>
              </w:rPr>
            </w:pPr>
            <w:r>
              <w:rPr>
                <w:rFonts w:hint="eastAsia" w:ascii="方正黑体_GBK" w:hAnsi="方正黑体_GBK" w:eastAsia="方正黑体_GBK" w:cs="方正黑体_GBK"/>
                <w:b w:val="0"/>
                <w:bCs/>
                <w:sz w:val="28"/>
                <w:szCs w:val="28"/>
              </w:rPr>
              <w:t>二级防灾分区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1477" w:type="dxa"/>
            <w:vAlign w:val="center"/>
          </w:tcPr>
          <w:p>
            <w:pPr>
              <w:spacing w:line="480" w:lineRule="exact"/>
              <w:jc w:val="center"/>
              <w:rPr>
                <w:rFonts w:ascii="方正仿宋_GBK"/>
                <w:sz w:val="28"/>
                <w:szCs w:val="28"/>
              </w:rPr>
            </w:pPr>
            <w:r>
              <w:rPr>
                <w:rFonts w:hint="eastAsia" w:ascii="方正仿宋_GBK"/>
                <w:sz w:val="28"/>
                <w:szCs w:val="28"/>
              </w:rPr>
              <w:t>权限要求</w:t>
            </w:r>
          </w:p>
        </w:tc>
        <w:tc>
          <w:tcPr>
            <w:tcW w:w="3721" w:type="dxa"/>
            <w:vAlign w:val="center"/>
          </w:tcPr>
          <w:p>
            <w:pPr>
              <w:spacing w:line="480" w:lineRule="exact"/>
              <w:jc w:val="both"/>
              <w:rPr>
                <w:rFonts w:ascii="方正仿宋_GBK"/>
                <w:sz w:val="28"/>
                <w:szCs w:val="28"/>
              </w:rPr>
            </w:pPr>
            <w:r>
              <w:rPr>
                <w:rFonts w:hint="eastAsia" w:ascii="方正仿宋_GBK"/>
                <w:sz w:val="28"/>
                <w:szCs w:val="28"/>
              </w:rPr>
              <w:t>中心城区统一协调，区政府负责管理</w:t>
            </w:r>
          </w:p>
        </w:tc>
        <w:tc>
          <w:tcPr>
            <w:tcW w:w="3862" w:type="dxa"/>
            <w:vAlign w:val="center"/>
          </w:tcPr>
          <w:p>
            <w:pPr>
              <w:spacing w:line="480" w:lineRule="exact"/>
              <w:jc w:val="both"/>
              <w:rPr>
                <w:rFonts w:ascii="方正仿宋_GBK"/>
                <w:sz w:val="28"/>
                <w:szCs w:val="28"/>
              </w:rPr>
            </w:pPr>
            <w:r>
              <w:rPr>
                <w:rFonts w:hint="eastAsia" w:ascii="方正仿宋_GBK"/>
                <w:sz w:val="28"/>
                <w:szCs w:val="28"/>
              </w:rPr>
              <w:t>区政府协调管理，街道办事处/镇人民政府负责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7" w:type="dxa"/>
            <w:vAlign w:val="center"/>
          </w:tcPr>
          <w:p>
            <w:pPr>
              <w:spacing w:line="480" w:lineRule="exact"/>
              <w:jc w:val="center"/>
              <w:rPr>
                <w:rFonts w:ascii="方正仿宋_GBK"/>
                <w:sz w:val="28"/>
                <w:szCs w:val="28"/>
              </w:rPr>
            </w:pPr>
            <w:r>
              <w:rPr>
                <w:rFonts w:hint="eastAsia" w:ascii="方正仿宋_GBK"/>
                <w:sz w:val="28"/>
                <w:szCs w:val="28"/>
              </w:rPr>
              <w:t>防护分隔</w:t>
            </w:r>
          </w:p>
        </w:tc>
        <w:tc>
          <w:tcPr>
            <w:tcW w:w="3721" w:type="dxa"/>
            <w:vAlign w:val="center"/>
          </w:tcPr>
          <w:p>
            <w:pPr>
              <w:spacing w:line="480" w:lineRule="exact"/>
              <w:jc w:val="both"/>
              <w:rPr>
                <w:rFonts w:ascii="方正仿宋_GBK"/>
                <w:sz w:val="28"/>
                <w:szCs w:val="28"/>
              </w:rPr>
            </w:pPr>
            <w:r>
              <w:rPr>
                <w:rFonts w:hint="eastAsia" w:ascii="方正仿宋_GBK"/>
                <w:sz w:val="28"/>
                <w:szCs w:val="28"/>
              </w:rPr>
              <w:t>天然分割，疏散主干道，防护绿地</w:t>
            </w:r>
          </w:p>
        </w:tc>
        <w:tc>
          <w:tcPr>
            <w:tcW w:w="3862" w:type="dxa"/>
            <w:vAlign w:val="center"/>
          </w:tcPr>
          <w:p>
            <w:pPr>
              <w:spacing w:line="480" w:lineRule="exact"/>
              <w:jc w:val="both"/>
              <w:rPr>
                <w:rFonts w:ascii="方正仿宋_GBK"/>
                <w:sz w:val="28"/>
                <w:szCs w:val="28"/>
              </w:rPr>
            </w:pPr>
            <w:r>
              <w:rPr>
                <w:rFonts w:hint="eastAsia" w:ascii="方正仿宋_GBK"/>
                <w:sz w:val="28"/>
                <w:szCs w:val="28"/>
              </w:rPr>
              <w:t>天然分割，疏散次干道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jc w:val="center"/>
        </w:trPr>
        <w:tc>
          <w:tcPr>
            <w:tcW w:w="1477" w:type="dxa"/>
            <w:vAlign w:val="center"/>
          </w:tcPr>
          <w:p>
            <w:pPr>
              <w:spacing w:line="480" w:lineRule="exact"/>
              <w:jc w:val="center"/>
              <w:rPr>
                <w:rFonts w:ascii="方正仿宋_GBK"/>
                <w:sz w:val="28"/>
                <w:szCs w:val="28"/>
              </w:rPr>
            </w:pPr>
            <w:r>
              <w:rPr>
                <w:rFonts w:hint="eastAsia" w:ascii="方正仿宋_GBK"/>
                <w:sz w:val="28"/>
                <w:szCs w:val="28"/>
              </w:rPr>
              <w:t>功能要求</w:t>
            </w:r>
          </w:p>
        </w:tc>
        <w:tc>
          <w:tcPr>
            <w:tcW w:w="3721" w:type="dxa"/>
            <w:vAlign w:val="center"/>
          </w:tcPr>
          <w:p>
            <w:pPr>
              <w:spacing w:line="480" w:lineRule="exact"/>
              <w:jc w:val="both"/>
              <w:rPr>
                <w:rFonts w:ascii="方正仿宋_GBK"/>
                <w:sz w:val="28"/>
                <w:szCs w:val="28"/>
              </w:rPr>
            </w:pPr>
            <w:r>
              <w:rPr>
                <w:rFonts w:hint="eastAsia" w:ascii="方正仿宋_GBK"/>
                <w:sz w:val="28"/>
                <w:szCs w:val="28"/>
              </w:rPr>
              <w:t>防止大规模次生灾害蔓延，特大震发生情况下救灾功能不丧失</w:t>
            </w:r>
          </w:p>
        </w:tc>
        <w:tc>
          <w:tcPr>
            <w:tcW w:w="3862" w:type="dxa"/>
            <w:vAlign w:val="center"/>
          </w:tcPr>
          <w:p>
            <w:pPr>
              <w:spacing w:line="480" w:lineRule="exact"/>
              <w:jc w:val="both"/>
              <w:rPr>
                <w:rFonts w:ascii="方正仿宋_GBK"/>
                <w:sz w:val="28"/>
                <w:szCs w:val="28"/>
              </w:rPr>
            </w:pPr>
            <w:r>
              <w:rPr>
                <w:rFonts w:hint="eastAsia" w:ascii="方正仿宋_GBK"/>
                <w:sz w:val="28"/>
                <w:szCs w:val="28"/>
              </w:rPr>
              <w:t>防止次生火灾蔓延，大、中震发生情况下，具有城市防灾救灾基本功能</w:t>
            </w:r>
          </w:p>
        </w:tc>
      </w:tr>
    </w:tbl>
    <w:p>
      <w:pPr>
        <w:pStyle w:val="5"/>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第十七条  </w:t>
      </w:r>
      <w:bookmarkStart w:id="119" w:name="_Toc158038214"/>
      <w:bookmarkStart w:id="120" w:name="_Toc158038118"/>
      <w:bookmarkStart w:id="121" w:name="_Toc156306996"/>
      <w:r>
        <w:rPr>
          <w:rFonts w:hint="eastAsia" w:ascii="方正黑体_GBK" w:hAnsi="Times New Roman" w:eastAsia="方正黑体_GBK" w:cstheme="minorBidi"/>
          <w:b w:val="0"/>
          <w:bCs/>
          <w:kern w:val="0"/>
          <w:sz w:val="32"/>
          <w:szCs w:val="32"/>
          <w:lang w:val="en-US" w:eastAsia="zh-CN" w:bidi="ar-SA"/>
        </w:rPr>
        <w:t>城市防灾空间布局</w:t>
      </w:r>
      <w:bookmarkEnd w:id="119"/>
      <w:bookmarkEnd w:id="120"/>
      <w:bookmarkEnd w:id="121"/>
    </w:p>
    <w:p>
      <w:pPr>
        <w:spacing w:line="576" w:lineRule="exact"/>
        <w:ind w:firstLine="640" w:firstLineChars="200"/>
        <w:rPr>
          <w:rFonts w:ascii="方正仿宋_GBK" w:hAnsi="方正仿宋_GBK" w:cs="方正仿宋_GBK"/>
          <w:szCs w:val="32"/>
        </w:rPr>
      </w:pPr>
      <w:r>
        <w:rPr>
          <w:szCs w:val="32"/>
        </w:rPr>
        <w:t>綦江中心城区共划分为6个一级防灾分区和14个二级防灾</w:t>
      </w:r>
      <w:r>
        <w:rPr>
          <w:rFonts w:hint="eastAsia" w:ascii="方正仿宋_GBK" w:hAnsi="方正仿宋_GBK" w:cs="方正仿宋_GBK"/>
          <w:szCs w:val="32"/>
        </w:rPr>
        <w:t>分区，形成了“两级十四片多轴网状”的防灾空间布局。</w:t>
      </w:r>
    </w:p>
    <w:p>
      <w:pPr>
        <w:spacing w:line="576" w:lineRule="exact"/>
        <w:ind w:firstLine="640" w:firstLineChars="200"/>
        <w:rPr>
          <w:rFonts w:ascii="方正仿宋_GBK" w:hAnsi="方正仿宋_GBK" w:cs="方正仿宋_GBK"/>
          <w:szCs w:val="32"/>
        </w:rPr>
      </w:pPr>
      <w:r>
        <w:rPr>
          <w:rFonts w:hint="eastAsia" w:ascii="方正仿宋_GBK" w:hAnsi="方正仿宋_GBK" w:cs="方正仿宋_GBK"/>
          <w:szCs w:val="32"/>
        </w:rPr>
        <w:t>“两级”根据防御地震灾害的目标及抗震救灾功能要求，结合綦江区国土空间分区规划和控规编制单元，将綦江中心城区划分为两个层次的防灾分区。</w:t>
      </w:r>
    </w:p>
    <w:p>
      <w:pPr>
        <w:spacing w:line="576" w:lineRule="exact"/>
        <w:ind w:firstLine="640" w:firstLineChars="200"/>
        <w:rPr>
          <w:rFonts w:ascii="方正仿宋_GBK" w:hAnsi="方正仿宋_GBK" w:cs="方正仿宋_GBK"/>
          <w:szCs w:val="32"/>
        </w:rPr>
      </w:pPr>
      <w:r>
        <w:rPr>
          <w:rFonts w:hint="eastAsia" w:ascii="方正仿宋_GBK" w:hAnsi="方正仿宋_GBK" w:cs="方正仿宋_GBK"/>
          <w:szCs w:val="32"/>
        </w:rPr>
        <w:t>“十四片”结合中心城区组团划分，将中心城区划分为十四个防灾组团，各组团之间通过天然界线或城市道路进行分割，以避免震后次生灾害的蔓延。</w:t>
      </w:r>
    </w:p>
    <w:p>
      <w:pPr>
        <w:spacing w:line="576" w:lineRule="exact"/>
        <w:ind w:firstLine="640" w:firstLineChars="200"/>
        <w:rPr>
          <w:rFonts w:ascii="方正仿宋_GBK" w:hAnsi="方正仿宋_GBK" w:cs="方正仿宋_GBK"/>
          <w:szCs w:val="32"/>
        </w:rPr>
      </w:pPr>
      <w:r>
        <w:rPr>
          <w:rFonts w:hint="eastAsia" w:ascii="方正仿宋_GBK" w:hAnsi="方正仿宋_GBK" w:cs="方正仿宋_GBK"/>
          <w:szCs w:val="32"/>
        </w:rPr>
        <w:t>“多轴”指防灾空间格局的兰海高速、綦万高速、渝贵铁路、渝黔铁路、三环高速等。</w:t>
      </w:r>
    </w:p>
    <w:p>
      <w:pPr>
        <w:spacing w:line="576" w:lineRule="exact"/>
        <w:ind w:firstLine="640" w:firstLineChars="200"/>
        <w:rPr>
          <w:szCs w:val="32"/>
        </w:rPr>
      </w:pPr>
      <w:r>
        <w:rPr>
          <w:rFonts w:hint="eastAsia" w:ascii="方正仿宋_GBK" w:hAnsi="方正仿宋_GBK" w:cs="方正仿宋_GBK"/>
          <w:szCs w:val="32"/>
        </w:rPr>
        <w:t>“网状”指由城市救灾干道和疏散主干道组</w:t>
      </w:r>
      <w:r>
        <w:rPr>
          <w:szCs w:val="32"/>
        </w:rPr>
        <w:t>成城市救灾骨干网络。</w:t>
      </w:r>
    </w:p>
    <w:p>
      <w:pPr>
        <w:pStyle w:val="5"/>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第十八条  </w:t>
      </w:r>
      <w:bookmarkStart w:id="122" w:name="_Toc156306997"/>
      <w:bookmarkStart w:id="123" w:name="_Toc158038119"/>
      <w:bookmarkStart w:id="124" w:name="_Toc158038215"/>
      <w:r>
        <w:rPr>
          <w:rFonts w:hint="eastAsia" w:ascii="方正黑体_GBK" w:hAnsi="Times New Roman" w:eastAsia="方正黑体_GBK" w:cstheme="minorBidi"/>
          <w:b w:val="0"/>
          <w:bCs/>
          <w:kern w:val="0"/>
          <w:sz w:val="32"/>
          <w:szCs w:val="32"/>
          <w:lang w:val="en-US" w:eastAsia="zh-CN" w:bidi="ar-SA"/>
        </w:rPr>
        <w:t>防灾空间布局对策</w:t>
      </w:r>
      <w:bookmarkEnd w:id="122"/>
      <w:bookmarkEnd w:id="123"/>
      <w:bookmarkEnd w:id="124"/>
    </w:p>
    <w:p>
      <w:pPr>
        <w:numPr>
          <w:ilvl w:val="0"/>
          <w:numId w:val="0"/>
        </w:numPr>
        <w:spacing w:line="576" w:lineRule="exact"/>
        <w:ind w:firstLine="640" w:firstLineChars="200"/>
        <w:rPr>
          <w:szCs w:val="32"/>
        </w:rPr>
      </w:pPr>
      <w:r>
        <w:rPr>
          <w:rFonts w:ascii="Times New Roman" w:hAnsi="Times New Roman" w:eastAsia="方正仿宋_GBK" w:cs="Times New Roman"/>
          <w:kern w:val="2"/>
          <w:sz w:val="32"/>
          <w:szCs w:val="32"/>
          <w:lang w:val="en-US" w:eastAsia="zh-CN" w:bidi="ar-SA"/>
        </w:rPr>
        <w:t>1</w:t>
      </w:r>
      <w:r>
        <w:rPr>
          <w:rFonts w:hint="default" w:ascii="Times New Roman" w:hAnsi="Times New Roman" w:eastAsia="方正仿宋_GBK" w:cs="Times New Roman"/>
          <w:b w:val="0"/>
          <w:bCs w:val="0"/>
          <w:sz w:val="32"/>
          <w:szCs w:val="32"/>
          <w:lang w:val="en-US" w:eastAsia="zh-CN"/>
        </w:rPr>
        <w:t>．</w:t>
      </w:r>
      <w:r>
        <w:rPr>
          <w:szCs w:val="32"/>
        </w:rPr>
        <w:t>城市防止次生灾害蔓延防灾带设置</w:t>
      </w:r>
      <w:r>
        <w:rPr>
          <w:rFonts w:hint="eastAsia"/>
          <w:szCs w:val="32"/>
          <w:lang w:eastAsia="zh-CN"/>
        </w:rPr>
        <w:t>。</w:t>
      </w:r>
    </w:p>
    <w:p>
      <w:pPr>
        <w:numPr>
          <w:ilvl w:val="0"/>
          <w:numId w:val="0"/>
        </w:numPr>
        <w:spacing w:line="576" w:lineRule="exact"/>
        <w:ind w:left="1360" w:leftChars="200" w:hanging="720" w:firstLineChars="0"/>
        <w:rPr>
          <w:szCs w:val="32"/>
        </w:rPr>
      </w:pPr>
      <w:r>
        <w:rPr>
          <w:rFonts w:hint="eastAsia"/>
          <w:szCs w:val="32"/>
          <w:lang w:eastAsia="zh-CN"/>
        </w:rPr>
        <w:t>（</w:t>
      </w:r>
      <w:r>
        <w:rPr>
          <w:rFonts w:hint="eastAsia"/>
          <w:szCs w:val="32"/>
          <w:lang w:val="en-US" w:eastAsia="zh-CN"/>
        </w:rPr>
        <w:t>1</w:t>
      </w:r>
      <w:r>
        <w:rPr>
          <w:rFonts w:hint="eastAsia"/>
          <w:szCs w:val="32"/>
          <w:lang w:eastAsia="zh-CN"/>
        </w:rPr>
        <w:t>）</w:t>
      </w:r>
      <w:r>
        <w:rPr>
          <w:szCs w:val="32"/>
        </w:rPr>
        <w:t>一级防灾分区防灾带：宽度不应低于40米。</w:t>
      </w:r>
    </w:p>
    <w:p>
      <w:pPr>
        <w:numPr>
          <w:ilvl w:val="0"/>
          <w:numId w:val="0"/>
        </w:numPr>
        <w:spacing w:line="576" w:lineRule="exact"/>
        <w:ind w:left="1360" w:leftChars="200" w:hanging="720" w:firstLineChars="0"/>
        <w:rPr>
          <w:szCs w:val="32"/>
        </w:rPr>
      </w:pPr>
      <w:r>
        <w:rPr>
          <w:rFonts w:hint="eastAsia"/>
          <w:szCs w:val="32"/>
          <w:lang w:eastAsia="zh-CN"/>
        </w:rPr>
        <w:t>（</w:t>
      </w:r>
      <w:r>
        <w:rPr>
          <w:rFonts w:hint="eastAsia"/>
          <w:szCs w:val="32"/>
          <w:lang w:val="en-US" w:eastAsia="zh-CN"/>
        </w:rPr>
        <w:t>2</w:t>
      </w:r>
      <w:r>
        <w:rPr>
          <w:rFonts w:hint="eastAsia"/>
          <w:szCs w:val="32"/>
          <w:lang w:eastAsia="zh-CN"/>
        </w:rPr>
        <w:t>）</w:t>
      </w:r>
      <w:r>
        <w:rPr>
          <w:szCs w:val="32"/>
        </w:rPr>
        <w:t>二级防灾分区防灾带：宽度不应低于24米。</w:t>
      </w:r>
    </w:p>
    <w:p>
      <w:pPr>
        <w:numPr>
          <w:ilvl w:val="0"/>
          <w:numId w:val="0"/>
        </w:numPr>
        <w:spacing w:line="576" w:lineRule="exact"/>
        <w:ind w:firstLine="640" w:firstLineChars="200"/>
        <w:rPr>
          <w:szCs w:val="32"/>
        </w:rPr>
      </w:pPr>
      <w:r>
        <w:rPr>
          <w:rFonts w:ascii="Times New Roman" w:hAnsi="Times New Roman" w:eastAsia="方正仿宋_GBK" w:cs="Times New Roman"/>
          <w:kern w:val="2"/>
          <w:sz w:val="32"/>
          <w:szCs w:val="32"/>
          <w:lang w:val="en-US" w:eastAsia="zh-CN" w:bidi="ar-SA"/>
        </w:rPr>
        <w:t>2</w:t>
      </w:r>
      <w:r>
        <w:rPr>
          <w:rFonts w:hint="default" w:ascii="Times New Roman" w:hAnsi="Times New Roman" w:eastAsia="方正仿宋_GBK" w:cs="Times New Roman"/>
          <w:b w:val="0"/>
          <w:bCs w:val="0"/>
          <w:sz w:val="32"/>
          <w:szCs w:val="32"/>
          <w:lang w:val="en-US" w:eastAsia="zh-CN"/>
        </w:rPr>
        <w:t>．</w:t>
      </w:r>
      <w:r>
        <w:rPr>
          <w:szCs w:val="32"/>
        </w:rPr>
        <w:t>针对不同层</w:t>
      </w:r>
      <w:r>
        <w:rPr>
          <w:rFonts w:hint="eastAsia"/>
          <w:szCs w:val="32"/>
          <w:lang w:eastAsia="zh-CN"/>
        </w:rPr>
        <w:t>级</w:t>
      </w:r>
      <w:r>
        <w:rPr>
          <w:szCs w:val="32"/>
        </w:rPr>
        <w:t>防灾分区的防灾资源配置基本对策见下表，各类防灾资源的具体规划方案详见后续相关章节。</w:t>
      </w:r>
    </w:p>
    <w:p>
      <w:pPr>
        <w:spacing w:line="576" w:lineRule="exact"/>
        <w:jc w:val="center"/>
        <w:rPr>
          <w:rFonts w:hint="eastAsia" w:ascii="方正小标宋_GBK" w:hAnsi="方正小标宋_GBK" w:eastAsia="方正小标宋_GBK" w:cs="方正小标宋_GBK"/>
          <w:szCs w:val="32"/>
        </w:rPr>
      </w:pPr>
      <w:r>
        <w:rPr>
          <w:rFonts w:hint="eastAsia" w:ascii="方正小标宋_GBK" w:hAnsi="方正小标宋_GBK" w:eastAsia="方正小标宋_GBK" w:cs="方正小标宋_GBK"/>
          <w:szCs w:val="32"/>
        </w:rPr>
        <w:t>抗震防灾空间布局对策</w:t>
      </w:r>
    </w:p>
    <w:tbl>
      <w:tblPr>
        <w:tblStyle w:val="18"/>
        <w:tblW w:w="9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4104"/>
        <w:gridCol w:w="4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jc w:val="center"/>
        </w:trPr>
        <w:tc>
          <w:tcPr>
            <w:tcW w:w="815" w:type="dxa"/>
            <w:vAlign w:val="center"/>
          </w:tcPr>
          <w:p>
            <w:pPr>
              <w:spacing w:line="480" w:lineRule="exact"/>
              <w:jc w:val="center"/>
              <w:rPr>
                <w:rFonts w:hint="eastAsia" w:ascii="方正黑体_GBK" w:hAnsi="方正黑体_GBK" w:eastAsia="方正黑体_GBK" w:cs="方正黑体_GBK"/>
                <w:b w:val="0"/>
                <w:bCs w:val="0"/>
                <w:sz w:val="28"/>
                <w:szCs w:val="28"/>
              </w:rPr>
            </w:pPr>
            <w:r>
              <w:rPr>
                <w:rFonts w:hint="eastAsia" w:ascii="方正黑体_GBK" w:hAnsi="方正黑体_GBK" w:eastAsia="方正黑体_GBK" w:cs="方正黑体_GBK"/>
                <w:b w:val="0"/>
                <w:bCs w:val="0"/>
                <w:sz w:val="28"/>
                <w:szCs w:val="28"/>
              </w:rPr>
              <w:t>分级</w:t>
            </w:r>
          </w:p>
        </w:tc>
        <w:tc>
          <w:tcPr>
            <w:tcW w:w="4104" w:type="dxa"/>
            <w:vAlign w:val="center"/>
          </w:tcPr>
          <w:p>
            <w:pPr>
              <w:spacing w:line="480" w:lineRule="exact"/>
              <w:jc w:val="center"/>
              <w:rPr>
                <w:rFonts w:hint="eastAsia" w:ascii="方正黑体_GBK" w:hAnsi="方正黑体_GBK" w:eastAsia="方正黑体_GBK" w:cs="方正黑体_GBK"/>
                <w:b w:val="0"/>
                <w:bCs w:val="0"/>
                <w:sz w:val="28"/>
                <w:szCs w:val="28"/>
              </w:rPr>
            </w:pPr>
            <w:r>
              <w:rPr>
                <w:rFonts w:hint="eastAsia" w:ascii="方正黑体_GBK" w:hAnsi="方正黑体_GBK" w:eastAsia="方正黑体_GBK" w:cs="方正黑体_GBK"/>
                <w:b w:val="0"/>
                <w:bCs w:val="0"/>
                <w:sz w:val="28"/>
                <w:szCs w:val="28"/>
              </w:rPr>
              <w:t>一级防灾分区</w:t>
            </w:r>
          </w:p>
        </w:tc>
        <w:tc>
          <w:tcPr>
            <w:tcW w:w="4141" w:type="dxa"/>
            <w:vAlign w:val="center"/>
          </w:tcPr>
          <w:p>
            <w:pPr>
              <w:spacing w:line="480" w:lineRule="exact"/>
              <w:jc w:val="center"/>
              <w:rPr>
                <w:rFonts w:hint="eastAsia" w:ascii="方正黑体_GBK" w:hAnsi="方正黑体_GBK" w:eastAsia="方正黑体_GBK" w:cs="方正黑体_GBK"/>
                <w:b w:val="0"/>
                <w:bCs w:val="0"/>
                <w:sz w:val="28"/>
                <w:szCs w:val="28"/>
              </w:rPr>
            </w:pPr>
            <w:r>
              <w:rPr>
                <w:rFonts w:hint="eastAsia" w:ascii="方正黑体_GBK" w:hAnsi="方正黑体_GBK" w:eastAsia="方正黑体_GBK" w:cs="方正黑体_GBK"/>
                <w:b w:val="0"/>
                <w:bCs w:val="0"/>
                <w:sz w:val="28"/>
                <w:szCs w:val="28"/>
              </w:rPr>
              <w:t>二级防灾分区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jc w:val="center"/>
        </w:trPr>
        <w:tc>
          <w:tcPr>
            <w:tcW w:w="815" w:type="dxa"/>
            <w:vAlign w:val="center"/>
          </w:tcPr>
          <w:p>
            <w:pPr>
              <w:spacing w:line="480" w:lineRule="exact"/>
              <w:jc w:val="center"/>
              <w:rPr>
                <w:sz w:val="28"/>
                <w:szCs w:val="28"/>
              </w:rPr>
            </w:pPr>
            <w:r>
              <w:rPr>
                <w:sz w:val="28"/>
                <w:szCs w:val="28"/>
              </w:rPr>
              <w:t>避震疏散</w:t>
            </w:r>
          </w:p>
        </w:tc>
        <w:tc>
          <w:tcPr>
            <w:tcW w:w="4104" w:type="dxa"/>
            <w:vAlign w:val="center"/>
          </w:tcPr>
          <w:p>
            <w:pPr>
              <w:spacing w:line="480" w:lineRule="exact"/>
              <w:jc w:val="both"/>
              <w:rPr>
                <w:sz w:val="28"/>
                <w:szCs w:val="28"/>
              </w:rPr>
            </w:pPr>
            <w:r>
              <w:rPr>
                <w:sz w:val="28"/>
                <w:szCs w:val="28"/>
              </w:rPr>
              <w:t>依托中长期避难场所</w:t>
            </w:r>
          </w:p>
        </w:tc>
        <w:tc>
          <w:tcPr>
            <w:tcW w:w="4141" w:type="dxa"/>
            <w:vAlign w:val="center"/>
          </w:tcPr>
          <w:p>
            <w:pPr>
              <w:spacing w:line="480" w:lineRule="exact"/>
              <w:jc w:val="both"/>
              <w:rPr>
                <w:sz w:val="28"/>
                <w:szCs w:val="28"/>
              </w:rPr>
            </w:pPr>
            <w:r>
              <w:rPr>
                <w:sz w:val="28"/>
                <w:szCs w:val="28"/>
              </w:rPr>
              <w:t>依托短期避难场所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jc w:val="center"/>
        </w:trPr>
        <w:tc>
          <w:tcPr>
            <w:tcW w:w="815" w:type="dxa"/>
            <w:vAlign w:val="center"/>
          </w:tcPr>
          <w:p>
            <w:pPr>
              <w:spacing w:line="480" w:lineRule="exact"/>
              <w:jc w:val="center"/>
              <w:rPr>
                <w:sz w:val="28"/>
                <w:szCs w:val="28"/>
              </w:rPr>
            </w:pPr>
            <w:r>
              <w:rPr>
                <w:sz w:val="28"/>
                <w:szCs w:val="28"/>
              </w:rPr>
              <w:t>交通保障</w:t>
            </w:r>
          </w:p>
        </w:tc>
        <w:tc>
          <w:tcPr>
            <w:tcW w:w="4104" w:type="dxa"/>
            <w:vAlign w:val="center"/>
          </w:tcPr>
          <w:p>
            <w:pPr>
              <w:spacing w:line="480" w:lineRule="exact"/>
              <w:rPr>
                <w:sz w:val="28"/>
                <w:szCs w:val="28"/>
              </w:rPr>
            </w:pPr>
            <w:r>
              <w:rPr>
                <w:sz w:val="28"/>
                <w:szCs w:val="28"/>
              </w:rPr>
              <w:t>以救灾干道为主干道，保障中长期避难场所可达</w:t>
            </w:r>
          </w:p>
        </w:tc>
        <w:tc>
          <w:tcPr>
            <w:tcW w:w="4141" w:type="dxa"/>
            <w:vAlign w:val="center"/>
          </w:tcPr>
          <w:p>
            <w:pPr>
              <w:spacing w:line="480" w:lineRule="exact"/>
              <w:rPr>
                <w:sz w:val="28"/>
                <w:szCs w:val="28"/>
              </w:rPr>
            </w:pPr>
            <w:r>
              <w:rPr>
                <w:sz w:val="28"/>
                <w:szCs w:val="28"/>
              </w:rPr>
              <w:t>以疏散主干道、疏散次干道交互连通，保障应急避难场所可达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jc w:val="center"/>
        </w:trPr>
        <w:tc>
          <w:tcPr>
            <w:tcW w:w="815" w:type="dxa"/>
            <w:vAlign w:val="center"/>
          </w:tcPr>
          <w:p>
            <w:pPr>
              <w:spacing w:line="480" w:lineRule="exact"/>
              <w:jc w:val="center"/>
              <w:rPr>
                <w:sz w:val="28"/>
                <w:szCs w:val="28"/>
              </w:rPr>
            </w:pPr>
            <w:r>
              <w:rPr>
                <w:sz w:val="28"/>
                <w:szCs w:val="28"/>
              </w:rPr>
              <w:t>供水保障</w:t>
            </w:r>
          </w:p>
        </w:tc>
        <w:tc>
          <w:tcPr>
            <w:tcW w:w="4104" w:type="dxa"/>
            <w:vAlign w:val="center"/>
          </w:tcPr>
          <w:p>
            <w:pPr>
              <w:spacing w:line="480" w:lineRule="exact"/>
              <w:rPr>
                <w:sz w:val="28"/>
                <w:szCs w:val="28"/>
              </w:rPr>
            </w:pPr>
            <w:r>
              <w:rPr>
                <w:sz w:val="28"/>
                <w:szCs w:val="28"/>
              </w:rPr>
              <w:t>具备应对巨震情况下的供水保障预案和对策</w:t>
            </w:r>
          </w:p>
        </w:tc>
        <w:tc>
          <w:tcPr>
            <w:tcW w:w="4141" w:type="dxa"/>
            <w:vAlign w:val="center"/>
          </w:tcPr>
          <w:p>
            <w:pPr>
              <w:spacing w:line="480" w:lineRule="exact"/>
              <w:rPr>
                <w:sz w:val="28"/>
                <w:szCs w:val="28"/>
              </w:rPr>
            </w:pPr>
            <w:r>
              <w:rPr>
                <w:sz w:val="28"/>
                <w:szCs w:val="28"/>
              </w:rPr>
              <w:t>根据应急避难场所分布，考虑社区分布和疏散要求，具备应对大震和中震情况下的供水预案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jc w:val="center"/>
        </w:trPr>
        <w:tc>
          <w:tcPr>
            <w:tcW w:w="815" w:type="dxa"/>
            <w:vAlign w:val="center"/>
          </w:tcPr>
          <w:p>
            <w:pPr>
              <w:spacing w:line="480" w:lineRule="exact"/>
              <w:jc w:val="center"/>
              <w:rPr>
                <w:sz w:val="28"/>
                <w:szCs w:val="28"/>
              </w:rPr>
            </w:pPr>
            <w:r>
              <w:rPr>
                <w:sz w:val="28"/>
                <w:szCs w:val="28"/>
              </w:rPr>
              <w:t>供电保障</w:t>
            </w:r>
          </w:p>
        </w:tc>
        <w:tc>
          <w:tcPr>
            <w:tcW w:w="4104" w:type="dxa"/>
            <w:vAlign w:val="center"/>
          </w:tcPr>
          <w:p>
            <w:pPr>
              <w:spacing w:line="480" w:lineRule="exact"/>
              <w:rPr>
                <w:sz w:val="28"/>
                <w:szCs w:val="28"/>
              </w:rPr>
            </w:pPr>
            <w:r>
              <w:rPr>
                <w:sz w:val="28"/>
                <w:szCs w:val="28"/>
              </w:rPr>
              <w:t>具备应对巨震情况下有供电需求的机构的有效供电，结合中长期避难场所建设配置应急供（发）电设施或设备</w:t>
            </w:r>
          </w:p>
        </w:tc>
        <w:tc>
          <w:tcPr>
            <w:tcW w:w="4141" w:type="dxa"/>
            <w:vAlign w:val="center"/>
          </w:tcPr>
          <w:p>
            <w:pPr>
              <w:spacing w:line="480" w:lineRule="exact"/>
              <w:rPr>
                <w:sz w:val="28"/>
                <w:szCs w:val="28"/>
              </w:rPr>
            </w:pPr>
            <w:r>
              <w:rPr>
                <w:sz w:val="28"/>
                <w:szCs w:val="28"/>
              </w:rPr>
              <w:t>具备应对大震和中震情况下的供电预案和对策，通过紧急修复满足基本用电需求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jc w:val="center"/>
        </w:trPr>
        <w:tc>
          <w:tcPr>
            <w:tcW w:w="815" w:type="dxa"/>
            <w:vAlign w:val="center"/>
          </w:tcPr>
          <w:p>
            <w:pPr>
              <w:spacing w:line="480" w:lineRule="exact"/>
              <w:jc w:val="center"/>
              <w:rPr>
                <w:sz w:val="28"/>
                <w:szCs w:val="28"/>
              </w:rPr>
            </w:pPr>
            <w:r>
              <w:rPr>
                <w:sz w:val="28"/>
                <w:szCs w:val="28"/>
              </w:rPr>
              <w:t>医疗卫生保障</w:t>
            </w:r>
          </w:p>
        </w:tc>
        <w:tc>
          <w:tcPr>
            <w:tcW w:w="4104" w:type="dxa"/>
            <w:vAlign w:val="center"/>
          </w:tcPr>
          <w:p>
            <w:pPr>
              <w:spacing w:line="480" w:lineRule="exact"/>
              <w:rPr>
                <w:sz w:val="28"/>
                <w:szCs w:val="28"/>
              </w:rPr>
            </w:pPr>
            <w:r>
              <w:rPr>
                <w:sz w:val="28"/>
                <w:szCs w:val="28"/>
              </w:rPr>
              <w:t>保障巨震下的紧急医疗用地，与中长期避难场所相对应，规划安排医疗保障措施，通常可安排三级医院作为对口救援</w:t>
            </w:r>
          </w:p>
        </w:tc>
        <w:tc>
          <w:tcPr>
            <w:tcW w:w="4141" w:type="dxa"/>
            <w:vAlign w:val="center"/>
          </w:tcPr>
          <w:p>
            <w:pPr>
              <w:spacing w:line="480" w:lineRule="exact"/>
              <w:rPr>
                <w:sz w:val="28"/>
                <w:szCs w:val="28"/>
              </w:rPr>
            </w:pPr>
            <w:r>
              <w:rPr>
                <w:sz w:val="28"/>
                <w:szCs w:val="28"/>
              </w:rPr>
              <w:t>保障灾害发生时的紧急医疗，与大型应急避难场所相对应，规划安排对口医疗救援对策，通常可安排二三级医院作为对口救援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jc w:val="center"/>
        </w:trPr>
        <w:tc>
          <w:tcPr>
            <w:tcW w:w="815" w:type="dxa"/>
            <w:vAlign w:val="center"/>
          </w:tcPr>
          <w:p>
            <w:pPr>
              <w:spacing w:line="480" w:lineRule="exact"/>
              <w:jc w:val="center"/>
              <w:rPr>
                <w:sz w:val="28"/>
                <w:szCs w:val="28"/>
              </w:rPr>
            </w:pPr>
            <w:r>
              <w:rPr>
                <w:sz w:val="28"/>
                <w:szCs w:val="28"/>
              </w:rPr>
              <w:t>消防保障</w:t>
            </w:r>
          </w:p>
        </w:tc>
        <w:tc>
          <w:tcPr>
            <w:tcW w:w="4104" w:type="dxa"/>
            <w:vAlign w:val="center"/>
          </w:tcPr>
          <w:p>
            <w:pPr>
              <w:spacing w:line="480" w:lineRule="exact"/>
              <w:rPr>
                <w:sz w:val="28"/>
                <w:szCs w:val="28"/>
              </w:rPr>
            </w:pPr>
            <w:r>
              <w:rPr>
                <w:sz w:val="28"/>
                <w:szCs w:val="28"/>
              </w:rPr>
              <w:t>通过一级防灾分区界限防止地震次生灾害的蔓延，区内如产生次生火灾可有效灭火</w:t>
            </w:r>
          </w:p>
        </w:tc>
        <w:tc>
          <w:tcPr>
            <w:tcW w:w="4141" w:type="dxa"/>
            <w:vAlign w:val="center"/>
          </w:tcPr>
          <w:p>
            <w:pPr>
              <w:spacing w:line="480" w:lineRule="exact"/>
              <w:rPr>
                <w:sz w:val="28"/>
                <w:szCs w:val="28"/>
              </w:rPr>
            </w:pPr>
            <w:r>
              <w:rPr>
                <w:sz w:val="28"/>
                <w:szCs w:val="28"/>
              </w:rPr>
              <w:t>通过二级防灾分区界限防止地震次生火灾的蔓延，区内如产生次生火灾可有效灭火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jc w:val="center"/>
        </w:trPr>
        <w:tc>
          <w:tcPr>
            <w:tcW w:w="815" w:type="dxa"/>
            <w:vAlign w:val="center"/>
          </w:tcPr>
          <w:p>
            <w:pPr>
              <w:spacing w:line="480" w:lineRule="exact"/>
              <w:jc w:val="center"/>
              <w:rPr>
                <w:sz w:val="28"/>
                <w:szCs w:val="28"/>
              </w:rPr>
            </w:pPr>
            <w:r>
              <w:rPr>
                <w:sz w:val="28"/>
                <w:szCs w:val="28"/>
              </w:rPr>
              <w:t>防灾救援</w:t>
            </w:r>
          </w:p>
        </w:tc>
        <w:tc>
          <w:tcPr>
            <w:tcW w:w="4104" w:type="dxa"/>
            <w:vAlign w:val="center"/>
          </w:tcPr>
          <w:p>
            <w:pPr>
              <w:spacing w:line="480" w:lineRule="exact"/>
              <w:rPr>
                <w:sz w:val="28"/>
                <w:szCs w:val="28"/>
              </w:rPr>
            </w:pPr>
            <w:r>
              <w:rPr>
                <w:sz w:val="28"/>
                <w:szCs w:val="28"/>
              </w:rPr>
              <w:t>区政府指挥</w:t>
            </w:r>
            <w:r>
              <w:rPr>
                <w:rFonts w:hint="eastAsia"/>
                <w:sz w:val="28"/>
                <w:szCs w:val="28"/>
                <w:lang w:eastAsia="zh-CN"/>
              </w:rPr>
              <w:t>、</w:t>
            </w:r>
            <w:r>
              <w:rPr>
                <w:sz w:val="28"/>
                <w:szCs w:val="28"/>
              </w:rPr>
              <w:t>可调用及外来救援力量的防灾救援紧急用地</w:t>
            </w:r>
          </w:p>
        </w:tc>
        <w:tc>
          <w:tcPr>
            <w:tcW w:w="4141" w:type="dxa"/>
            <w:vAlign w:val="center"/>
          </w:tcPr>
          <w:p>
            <w:pPr>
              <w:spacing w:line="480" w:lineRule="exact"/>
              <w:rPr>
                <w:sz w:val="28"/>
                <w:szCs w:val="28"/>
              </w:rPr>
            </w:pPr>
            <w:r>
              <w:rPr>
                <w:sz w:val="28"/>
                <w:szCs w:val="28"/>
              </w:rPr>
              <w:t>街道办事处指挥</w:t>
            </w:r>
            <w:r>
              <w:rPr>
                <w:rFonts w:hint="eastAsia"/>
                <w:sz w:val="28"/>
                <w:szCs w:val="28"/>
                <w:lang w:eastAsia="zh-CN"/>
              </w:rPr>
              <w:t>、</w:t>
            </w:r>
            <w:r>
              <w:rPr>
                <w:sz w:val="28"/>
                <w:szCs w:val="28"/>
              </w:rPr>
              <w:t>可调用及外来救援力量的防灾救援紧急用地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jc w:val="center"/>
        </w:trPr>
        <w:tc>
          <w:tcPr>
            <w:tcW w:w="815" w:type="dxa"/>
            <w:vAlign w:val="center"/>
          </w:tcPr>
          <w:p>
            <w:pPr>
              <w:spacing w:line="480" w:lineRule="exact"/>
              <w:jc w:val="center"/>
              <w:rPr>
                <w:sz w:val="28"/>
                <w:szCs w:val="28"/>
              </w:rPr>
            </w:pPr>
            <w:r>
              <w:rPr>
                <w:sz w:val="28"/>
                <w:szCs w:val="28"/>
              </w:rPr>
              <w:t>物资保障</w:t>
            </w:r>
          </w:p>
        </w:tc>
        <w:tc>
          <w:tcPr>
            <w:tcW w:w="8245" w:type="dxa"/>
            <w:gridSpan w:val="2"/>
            <w:vAlign w:val="center"/>
          </w:tcPr>
          <w:p>
            <w:pPr>
              <w:spacing w:line="480" w:lineRule="exact"/>
              <w:rPr>
                <w:sz w:val="28"/>
                <w:szCs w:val="28"/>
              </w:rPr>
            </w:pPr>
            <w:r>
              <w:rPr>
                <w:sz w:val="28"/>
                <w:szCs w:val="28"/>
              </w:rPr>
              <w:t>应急救援物</w:t>
            </w:r>
            <w:r>
              <w:rPr>
                <w:rFonts w:hint="eastAsia"/>
                <w:sz w:val="28"/>
                <w:szCs w:val="28"/>
                <w:lang w:eastAsia="zh-CN"/>
              </w:rPr>
              <w:t>资</w:t>
            </w:r>
            <w:r>
              <w:rPr>
                <w:sz w:val="28"/>
                <w:szCs w:val="28"/>
              </w:rPr>
              <w:t>保障，明确物</w:t>
            </w:r>
            <w:r>
              <w:rPr>
                <w:rFonts w:hint="eastAsia"/>
                <w:sz w:val="28"/>
                <w:szCs w:val="28"/>
                <w:lang w:eastAsia="zh-CN"/>
              </w:rPr>
              <w:t>资</w:t>
            </w:r>
            <w:r>
              <w:rPr>
                <w:sz w:val="28"/>
                <w:szCs w:val="28"/>
              </w:rPr>
              <w:t>紧急储藏用地，物</w:t>
            </w:r>
            <w:r>
              <w:rPr>
                <w:rFonts w:hint="eastAsia"/>
                <w:sz w:val="28"/>
                <w:szCs w:val="28"/>
                <w:lang w:eastAsia="zh-CN"/>
              </w:rPr>
              <w:t>资</w:t>
            </w:r>
            <w:r>
              <w:rPr>
                <w:sz w:val="28"/>
                <w:szCs w:val="28"/>
              </w:rPr>
              <w:t>运输和分发对策</w:t>
            </w:r>
          </w:p>
        </w:tc>
      </w:tr>
    </w:tbl>
    <w:p>
      <w:pPr>
        <w:pStyle w:val="4"/>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ascii="方正黑体_GBK"/>
          <w:bCs/>
        </w:rPr>
      </w:pPr>
      <w:r>
        <w:rPr>
          <w:rFonts w:hint="eastAsia" w:ascii="方正黑体_GBK" w:hAnsi="Times New Roman" w:eastAsia="方正黑体_GBK" w:cstheme="minorBidi"/>
          <w:bCs/>
          <w:kern w:val="0"/>
          <w:sz w:val="32"/>
          <w:szCs w:val="32"/>
          <w:lang w:val="en-US" w:eastAsia="zh-CN" w:bidi="ar-SA"/>
        </w:rPr>
        <w:t>第六章</w:t>
      </w:r>
      <w:r>
        <w:rPr>
          <w:rFonts w:ascii="方正黑体_GBK"/>
          <w:bCs/>
        </w:rPr>
        <w:t xml:space="preserve">  </w:t>
      </w:r>
      <w:bookmarkStart w:id="125" w:name="_Toc158038120"/>
      <w:bookmarkStart w:id="126" w:name="_Toc156306999"/>
      <w:bookmarkStart w:id="127" w:name="_Toc158038216"/>
      <w:r>
        <w:rPr>
          <w:rFonts w:ascii="方正黑体_GBK"/>
          <w:bCs/>
        </w:rPr>
        <w:t>中心城区建筑抗震防灾</w:t>
      </w:r>
      <w:bookmarkEnd w:id="125"/>
      <w:bookmarkEnd w:id="126"/>
      <w:bookmarkEnd w:id="127"/>
    </w:p>
    <w:p>
      <w:pPr>
        <w:pStyle w:val="2"/>
      </w:pP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ascii="方正黑体_GBK" w:eastAsia="方正黑体_GBK"/>
        </w:rPr>
      </w:pPr>
      <w:r>
        <w:rPr>
          <w:rFonts w:hint="eastAsia" w:ascii="方正黑体_GBK" w:hAnsi="Times New Roman" w:eastAsia="方正黑体_GBK" w:cstheme="minorBidi"/>
          <w:b w:val="0"/>
          <w:bCs/>
          <w:kern w:val="0"/>
          <w:sz w:val="32"/>
          <w:szCs w:val="32"/>
          <w:lang w:val="en-US" w:eastAsia="zh-CN" w:bidi="ar-SA"/>
        </w:rPr>
        <w:t>第十九条</w:t>
      </w:r>
      <w:r>
        <w:rPr>
          <w:rFonts w:ascii="方正黑体_GBK" w:eastAsia="方正黑体_GBK"/>
        </w:rPr>
        <w:t xml:space="preserve">  </w:t>
      </w:r>
      <w:bookmarkStart w:id="128" w:name="_Toc158038217"/>
      <w:bookmarkStart w:id="129" w:name="_Toc156307000"/>
      <w:bookmarkStart w:id="130" w:name="_Toc158038121"/>
      <w:r>
        <w:rPr>
          <w:rFonts w:ascii="方正黑体_GBK" w:eastAsia="方正黑体_GBK"/>
        </w:rPr>
        <w:t>建筑物抗震设防标准</w:t>
      </w:r>
      <w:bookmarkEnd w:id="128"/>
      <w:bookmarkEnd w:id="129"/>
      <w:bookmarkEnd w:id="130"/>
    </w:p>
    <w:p>
      <w:pPr>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rPr>
          <w:szCs w:val="32"/>
          <w:u w:val="none"/>
        </w:rPr>
      </w:pPr>
      <w:r>
        <w:rPr>
          <w:rFonts w:hint="eastAsia"/>
          <w:szCs w:val="32"/>
          <w:u w:val="none"/>
          <w:lang w:val="en-US" w:eastAsia="zh-CN"/>
        </w:rPr>
        <w:t>1</w:t>
      </w:r>
      <w:r>
        <w:rPr>
          <w:rFonts w:hint="default" w:ascii="Times New Roman" w:hAnsi="Times New Roman" w:eastAsia="方正仿宋_GBK" w:cs="Times New Roman"/>
          <w:b w:val="0"/>
          <w:bCs w:val="0"/>
          <w:sz w:val="32"/>
          <w:szCs w:val="32"/>
          <w:lang w:val="en-US" w:eastAsia="zh-CN"/>
        </w:rPr>
        <w:t>．</w:t>
      </w:r>
      <w:r>
        <w:rPr>
          <w:szCs w:val="32"/>
          <w:u w:val="none"/>
        </w:rPr>
        <w:t>中心城区新建、扩建、改建建设工程，应根据国家、重庆市现行法律法规和技术标准所规定的抗震设防烈度6度相关要求进行抗震设防、采取抗震措施。不符合本规划规定的工程不得进行建设。</w:t>
      </w:r>
    </w:p>
    <w:p>
      <w:pPr>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rPr>
          <w:szCs w:val="32"/>
          <w:u w:val="none"/>
        </w:rPr>
      </w:pPr>
      <w:r>
        <w:rPr>
          <w:rFonts w:hint="eastAsia"/>
          <w:szCs w:val="32"/>
          <w:u w:val="none"/>
          <w:lang w:val="en-US" w:eastAsia="zh-CN"/>
        </w:rPr>
        <w:t>2</w:t>
      </w:r>
      <w:r>
        <w:rPr>
          <w:rFonts w:hint="default" w:ascii="Times New Roman" w:hAnsi="Times New Roman" w:eastAsia="方正仿宋_GBK" w:cs="Times New Roman"/>
          <w:b w:val="0"/>
          <w:bCs w:val="0"/>
          <w:sz w:val="32"/>
          <w:szCs w:val="32"/>
          <w:lang w:val="en-US" w:eastAsia="zh-CN"/>
        </w:rPr>
        <w:t>．</w:t>
      </w:r>
      <w:r>
        <w:rPr>
          <w:szCs w:val="32"/>
          <w:u w:val="none"/>
        </w:rPr>
        <w:t>新建大型公共建筑、学校类建筑应考虑城市总体避震疏散场所的安排要求，确定作为避难建筑时，应按照避难建筑的抗震设防标准进行建设。</w:t>
      </w:r>
    </w:p>
    <w:p>
      <w:pPr>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rPr>
          <w:szCs w:val="32"/>
          <w:u w:val="none"/>
        </w:rPr>
      </w:pPr>
      <w:r>
        <w:rPr>
          <w:rFonts w:hint="eastAsia"/>
          <w:szCs w:val="32"/>
          <w:u w:val="none"/>
          <w:lang w:val="en-US" w:eastAsia="zh-CN"/>
        </w:rPr>
        <w:t>3</w:t>
      </w:r>
      <w:r>
        <w:rPr>
          <w:rFonts w:hint="default" w:ascii="Times New Roman" w:hAnsi="Times New Roman" w:eastAsia="方正仿宋_GBK" w:cs="Times New Roman"/>
          <w:b w:val="0"/>
          <w:bCs w:val="0"/>
          <w:sz w:val="32"/>
          <w:szCs w:val="32"/>
          <w:lang w:val="en-US" w:eastAsia="zh-CN"/>
        </w:rPr>
        <w:t>．</w:t>
      </w:r>
      <w:r>
        <w:rPr>
          <w:szCs w:val="32"/>
          <w:u w:val="none"/>
        </w:rPr>
        <w:t>采用新结构、新技术和新材料的建筑应符合抗震性能要求，城乡建设主管部门应按有关规定对其进行抗震性能鉴定和专项审查。新技术的应用必须经过城乡建设行政主管部门确认符合现行国家规范后，设计、施工单位方可使用。</w:t>
      </w:r>
    </w:p>
    <w:p>
      <w:pPr>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rPr>
          <w:szCs w:val="32"/>
          <w:u w:val="none"/>
        </w:rPr>
      </w:pPr>
      <w:r>
        <w:rPr>
          <w:rFonts w:hint="eastAsia"/>
          <w:szCs w:val="32"/>
          <w:u w:val="none"/>
          <w:lang w:val="en-US" w:eastAsia="zh-CN"/>
        </w:rPr>
        <w:t>4</w:t>
      </w:r>
      <w:r>
        <w:rPr>
          <w:rFonts w:hint="default" w:ascii="Times New Roman" w:hAnsi="Times New Roman" w:eastAsia="方正仿宋_GBK" w:cs="Times New Roman"/>
          <w:b w:val="0"/>
          <w:bCs w:val="0"/>
          <w:sz w:val="32"/>
          <w:szCs w:val="32"/>
          <w:lang w:val="en-US" w:eastAsia="zh-CN"/>
        </w:rPr>
        <w:t>．</w:t>
      </w:r>
      <w:r>
        <w:rPr>
          <w:szCs w:val="32"/>
          <w:u w:val="none"/>
        </w:rPr>
        <w:t>新建的居住小区、大型公共场所或者相当规模的其他建筑在建筑间距、疏散通道、疏散场地、次生灾害防御等方面除应满足有关的规范规定外，仍应满足本规划的抗震设防要求。</w:t>
      </w:r>
    </w:p>
    <w:p>
      <w:pPr>
        <w:pStyle w:val="5"/>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rPr>
          <w:rFonts w:ascii="方正黑体_GBK" w:eastAsia="方正黑体_GBK"/>
        </w:rPr>
      </w:pPr>
      <w:r>
        <w:rPr>
          <w:rFonts w:hint="eastAsia" w:ascii="方正黑体_GBK" w:hAnsi="Times New Roman" w:eastAsia="方正黑体_GBK" w:cstheme="minorBidi"/>
          <w:b w:val="0"/>
          <w:bCs/>
          <w:kern w:val="0"/>
          <w:sz w:val="32"/>
          <w:szCs w:val="32"/>
          <w:lang w:val="en-US" w:eastAsia="zh-CN" w:bidi="ar-SA"/>
        </w:rPr>
        <w:t>第二十条</w:t>
      </w:r>
      <w:r>
        <w:rPr>
          <w:rFonts w:ascii="方正黑体_GBK" w:eastAsia="方正黑体_GBK"/>
        </w:rPr>
        <w:t xml:space="preserve">  </w:t>
      </w:r>
      <w:bookmarkStart w:id="131" w:name="_Toc156307001"/>
      <w:bookmarkStart w:id="132" w:name="_Toc158038218"/>
      <w:bookmarkStart w:id="133" w:name="_Toc158038122"/>
      <w:r>
        <w:rPr>
          <w:rFonts w:ascii="方正黑体_GBK" w:eastAsia="方正黑体_GBK"/>
        </w:rPr>
        <w:t>重要建筑建设要求</w:t>
      </w:r>
      <w:bookmarkEnd w:id="131"/>
      <w:bookmarkEnd w:id="132"/>
      <w:bookmarkEnd w:id="133"/>
    </w:p>
    <w:p>
      <w:pPr>
        <w:spacing w:line="576" w:lineRule="exact"/>
        <w:ind w:firstLine="640" w:firstLineChars="200"/>
        <w:rPr>
          <w:szCs w:val="32"/>
        </w:rPr>
      </w:pPr>
      <w:r>
        <w:rPr>
          <w:szCs w:val="32"/>
        </w:rPr>
        <w:t>为了保障震后应急指挥、应急救灾工作的顺利开展，应明确重要建筑达到超设防水准地震灾害的抗震性能。</w:t>
      </w:r>
    </w:p>
    <w:p>
      <w:pPr>
        <w:numPr>
          <w:ilvl w:val="0"/>
          <w:numId w:val="0"/>
        </w:numPr>
        <w:spacing w:line="576" w:lineRule="exact"/>
        <w:ind w:firstLine="640" w:firstLineChars="200"/>
        <w:rPr>
          <w:szCs w:val="32"/>
          <w:u w:val="none"/>
        </w:rPr>
      </w:pPr>
      <w:r>
        <w:rPr>
          <w:rFonts w:hint="default" w:ascii="Times New Roman" w:hAnsi="Times New Roman" w:cs="Times New Roman"/>
          <w:szCs w:val="32"/>
          <w:u w:val="none"/>
          <w:lang w:val="en-US" w:eastAsia="zh-CN"/>
        </w:rPr>
        <w:t>1</w:t>
      </w:r>
      <w:r>
        <w:rPr>
          <w:rFonts w:hint="default" w:ascii="Times New Roman" w:hAnsi="Times New Roman" w:eastAsia="方正仿宋_GBK" w:cs="Times New Roman"/>
          <w:b w:val="0"/>
          <w:bCs w:val="0"/>
          <w:sz w:val="32"/>
          <w:szCs w:val="32"/>
          <w:lang w:val="en-US" w:eastAsia="zh-CN"/>
        </w:rPr>
        <w:t>．</w:t>
      </w:r>
      <w:r>
        <w:rPr>
          <w:rFonts w:hint="eastAsia" w:ascii="宋体" w:hAnsi="宋体" w:cs="宋体"/>
          <w:szCs w:val="32"/>
          <w:u w:val="none"/>
        </w:rPr>
        <w:t>Ⅰ</w:t>
      </w:r>
      <w:r>
        <w:rPr>
          <w:szCs w:val="32"/>
          <w:u w:val="none"/>
        </w:rPr>
        <w:t>类保障建筑：对抗震救灾功能起关键作用的建筑（包括救灾指挥中心、消防救援中心、伤员救治中心、通</w:t>
      </w:r>
      <w:r>
        <w:rPr>
          <w:rFonts w:hint="eastAsia"/>
          <w:szCs w:val="32"/>
          <w:u w:val="none"/>
          <w:lang w:eastAsia="zh-CN"/>
        </w:rPr>
        <w:t>信</w:t>
      </w:r>
      <w:r>
        <w:rPr>
          <w:szCs w:val="32"/>
          <w:u w:val="none"/>
        </w:rPr>
        <w:t>枢纽、交通枢纽、</w:t>
      </w:r>
      <w:r>
        <w:rPr>
          <w:rFonts w:hint="eastAsia"/>
          <w:szCs w:val="32"/>
          <w:u w:val="none"/>
        </w:rPr>
        <w:t>救灾物资</w:t>
      </w:r>
      <w:r>
        <w:rPr>
          <w:szCs w:val="32"/>
          <w:u w:val="none"/>
        </w:rPr>
        <w:t>储备中心、水电供应设施等），应按照不低于重点设防类的要求进行抗震设防，保障大震下不产生中等及以上破坏，并保障建筑物及内部重要设备的功能正常运转。</w:t>
      </w:r>
    </w:p>
    <w:p>
      <w:pPr>
        <w:numPr>
          <w:ilvl w:val="0"/>
          <w:numId w:val="0"/>
        </w:numPr>
        <w:spacing w:line="576" w:lineRule="exact"/>
        <w:ind w:firstLine="640" w:firstLineChars="200"/>
        <w:rPr>
          <w:szCs w:val="32"/>
          <w:u w:val="none"/>
        </w:rPr>
      </w:pPr>
      <w:r>
        <w:rPr>
          <w:rFonts w:hint="default" w:ascii="Times New Roman" w:hAnsi="Times New Roman" w:cs="Times New Roman"/>
          <w:szCs w:val="32"/>
          <w:u w:val="none"/>
          <w:lang w:val="en-US" w:eastAsia="zh-CN"/>
        </w:rPr>
        <w:t>2</w:t>
      </w:r>
      <w:r>
        <w:rPr>
          <w:rFonts w:hint="default" w:ascii="Times New Roman" w:hAnsi="Times New Roman" w:eastAsia="方正仿宋_GBK" w:cs="Times New Roman"/>
          <w:b w:val="0"/>
          <w:bCs w:val="0"/>
          <w:sz w:val="32"/>
          <w:szCs w:val="32"/>
          <w:lang w:val="en-US" w:eastAsia="zh-CN"/>
        </w:rPr>
        <w:t>．</w:t>
      </w:r>
      <w:r>
        <w:rPr>
          <w:rFonts w:hint="eastAsia" w:ascii="宋体" w:hAnsi="宋体" w:cs="宋体"/>
          <w:szCs w:val="32"/>
          <w:u w:val="none"/>
        </w:rPr>
        <w:t>Ⅱ</w:t>
      </w:r>
      <w:r>
        <w:rPr>
          <w:szCs w:val="32"/>
          <w:u w:val="none"/>
        </w:rPr>
        <w:t>类保障建筑：对抗震救灾起到辅助作用的建筑、对结构安全需求更加强烈的建筑（包括学校、幼儿园、医院、养老机构、大型公共建筑等）应按照重点设防类的要求进行抗震设防。</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ascii="方正黑体_GBK" w:eastAsia="方正黑体_GBK"/>
        </w:rPr>
      </w:pPr>
      <w:r>
        <w:rPr>
          <w:rFonts w:hint="eastAsia" w:ascii="方正黑体_GBK" w:hAnsi="Times New Roman" w:eastAsia="方正黑体_GBK" w:cstheme="minorBidi"/>
          <w:b w:val="0"/>
          <w:bCs/>
          <w:kern w:val="0"/>
          <w:sz w:val="32"/>
          <w:szCs w:val="32"/>
          <w:lang w:val="en-US" w:eastAsia="zh-CN" w:bidi="ar-SA"/>
        </w:rPr>
        <w:t>第二十一条</w:t>
      </w:r>
      <w:r>
        <w:rPr>
          <w:rFonts w:ascii="方正黑体_GBK" w:eastAsia="方正黑体_GBK"/>
        </w:rPr>
        <w:t xml:space="preserve">  </w:t>
      </w:r>
      <w:bookmarkStart w:id="134" w:name="_Toc158038219"/>
      <w:bookmarkStart w:id="135" w:name="_Toc158038123"/>
      <w:bookmarkStart w:id="136" w:name="_Toc156307002"/>
      <w:r>
        <w:rPr>
          <w:rFonts w:ascii="方正黑体_GBK" w:eastAsia="方正黑体_GBK"/>
        </w:rPr>
        <w:t>建筑抗震加固与改造</w:t>
      </w:r>
      <w:bookmarkEnd w:id="134"/>
      <w:bookmarkEnd w:id="135"/>
      <w:bookmarkEnd w:id="136"/>
    </w:p>
    <w:p>
      <w:pPr>
        <w:numPr>
          <w:ilvl w:val="0"/>
          <w:numId w:val="0"/>
        </w:numPr>
        <w:spacing w:line="576" w:lineRule="exact"/>
        <w:ind w:firstLine="640" w:firstLineChars="200"/>
        <w:rPr>
          <w:rFonts w:hint="default" w:ascii="Times New Roman" w:hAnsi="Times New Roman" w:eastAsia="方正仿宋_GBK" w:cs="Times New Roman"/>
          <w:b/>
          <w:szCs w:val="32"/>
          <w:lang w:eastAsia="zh-CN"/>
        </w:rPr>
      </w:pPr>
      <w:r>
        <w:rPr>
          <w:rFonts w:hint="default" w:ascii="Times New Roman" w:hAnsi="Times New Roman" w:eastAsia="方正仿宋_GBK" w:cs="Times New Roman"/>
          <w:b w:val="0"/>
          <w:bCs/>
          <w:kern w:val="2"/>
          <w:sz w:val="32"/>
          <w:szCs w:val="32"/>
          <w:lang w:val="en-US" w:eastAsia="zh-CN" w:bidi="ar-SA"/>
        </w:rPr>
        <w:t>1</w:t>
      </w:r>
      <w:r>
        <w:rPr>
          <w:rFonts w:hint="eastAsia" w:ascii="方正仿宋_GBK" w:hAnsi="方正仿宋_GBK" w:eastAsia="方正仿宋_GBK" w:cs="方正仿宋_GBK"/>
          <w:b w:val="0"/>
          <w:bCs w:val="0"/>
          <w:sz w:val="32"/>
          <w:szCs w:val="32"/>
          <w:lang w:val="en-US" w:eastAsia="zh-CN"/>
        </w:rPr>
        <w:t>．</w:t>
      </w:r>
      <w:r>
        <w:rPr>
          <w:rFonts w:hint="default" w:ascii="Times New Roman" w:hAnsi="Times New Roman" w:eastAsia="方正仿宋_GBK" w:cs="Times New Roman"/>
          <w:b w:val="0"/>
          <w:bCs/>
          <w:szCs w:val="32"/>
        </w:rPr>
        <w:t>抗震加固确定的原则</w:t>
      </w:r>
      <w:r>
        <w:rPr>
          <w:rFonts w:hint="default" w:ascii="Times New Roman" w:hAnsi="Times New Roman" w:eastAsia="方正仿宋_GBK" w:cs="Times New Roman"/>
          <w:b w:val="0"/>
          <w:bCs/>
          <w:szCs w:val="32"/>
          <w:lang w:eastAsia="zh-CN"/>
        </w:rPr>
        <w:t>。</w:t>
      </w:r>
    </w:p>
    <w:p>
      <w:pPr>
        <w:numPr>
          <w:ilvl w:val="0"/>
          <w:numId w:val="0"/>
        </w:numPr>
        <w:spacing w:line="576" w:lineRule="exact"/>
        <w:ind w:firstLine="640" w:firstLineChars="200"/>
        <w:rPr>
          <w:szCs w:val="32"/>
        </w:rPr>
      </w:pPr>
      <w:r>
        <w:rPr>
          <w:rFonts w:hint="eastAsia"/>
          <w:szCs w:val="32"/>
          <w:lang w:eastAsia="zh-CN"/>
        </w:rPr>
        <w:t>（</w:t>
      </w:r>
      <w:r>
        <w:rPr>
          <w:rFonts w:hint="eastAsia"/>
          <w:szCs w:val="32"/>
          <w:lang w:val="en-US" w:eastAsia="zh-CN"/>
        </w:rPr>
        <w:t>1</w:t>
      </w:r>
      <w:r>
        <w:rPr>
          <w:rFonts w:hint="eastAsia"/>
          <w:szCs w:val="32"/>
          <w:lang w:eastAsia="zh-CN"/>
        </w:rPr>
        <w:t>）</w:t>
      </w:r>
      <w:r>
        <w:rPr>
          <w:szCs w:val="32"/>
        </w:rPr>
        <w:t>抗震加固的时序按照双优先的原则，优先安排重要建筑抗震加固，优先解决问题严重的建筑。</w:t>
      </w:r>
    </w:p>
    <w:p>
      <w:pPr>
        <w:numPr>
          <w:ilvl w:val="0"/>
          <w:numId w:val="0"/>
        </w:numPr>
        <w:spacing w:line="576" w:lineRule="exact"/>
        <w:ind w:firstLine="640" w:firstLineChars="200"/>
        <w:rPr>
          <w:szCs w:val="32"/>
        </w:rPr>
      </w:pPr>
      <w:r>
        <w:rPr>
          <w:rFonts w:ascii="Times New Roman" w:hAnsi="Times New Roman" w:eastAsia="方正仿宋_GBK" w:cs="Times New Roman"/>
          <w:kern w:val="2"/>
          <w:sz w:val="32"/>
          <w:szCs w:val="32"/>
          <w:lang w:val="en-US" w:eastAsia="zh-CN" w:bidi="ar-SA"/>
        </w:rPr>
        <w:t>（2）</w:t>
      </w:r>
      <w:r>
        <w:rPr>
          <w:szCs w:val="32"/>
        </w:rPr>
        <w:t>在城市规划中已经纳入近期建设区域内的建筑不列入加固计划。</w:t>
      </w:r>
    </w:p>
    <w:p>
      <w:pPr>
        <w:numPr>
          <w:ilvl w:val="0"/>
          <w:numId w:val="0"/>
        </w:numPr>
        <w:spacing w:line="576" w:lineRule="exact"/>
        <w:ind w:firstLine="640" w:firstLineChars="200"/>
        <w:rPr>
          <w:szCs w:val="32"/>
        </w:rPr>
      </w:pPr>
      <w:r>
        <w:rPr>
          <w:rFonts w:ascii="Times New Roman" w:hAnsi="Times New Roman" w:eastAsia="方正仿宋_GBK" w:cs="Times New Roman"/>
          <w:kern w:val="2"/>
          <w:sz w:val="32"/>
          <w:szCs w:val="32"/>
          <w:lang w:val="en-US" w:eastAsia="zh-CN" w:bidi="ar-SA"/>
        </w:rPr>
        <w:t>（3）</w:t>
      </w:r>
      <w:r>
        <w:rPr>
          <w:szCs w:val="32"/>
        </w:rPr>
        <w:t>进行抗震加固在经济等因素上属无价值需要拆除重建的房屋不列</w:t>
      </w:r>
      <w:r>
        <w:rPr>
          <w:rFonts w:hint="eastAsia"/>
          <w:szCs w:val="32"/>
          <w:lang w:eastAsia="zh-CN"/>
        </w:rPr>
        <w:t>入</w:t>
      </w:r>
      <w:r>
        <w:rPr>
          <w:szCs w:val="32"/>
        </w:rPr>
        <w:t>加固范围；对在短期内财力达不到，又无太大危险的房屋不列</w:t>
      </w:r>
      <w:r>
        <w:rPr>
          <w:rFonts w:hint="eastAsia"/>
          <w:szCs w:val="32"/>
          <w:lang w:eastAsia="zh-CN"/>
        </w:rPr>
        <w:t>入</w:t>
      </w:r>
      <w:r>
        <w:rPr>
          <w:szCs w:val="32"/>
        </w:rPr>
        <w:t>加固范围。</w:t>
      </w:r>
    </w:p>
    <w:p>
      <w:pPr>
        <w:numPr>
          <w:ilvl w:val="0"/>
          <w:numId w:val="0"/>
        </w:numPr>
        <w:spacing w:line="576" w:lineRule="exact"/>
        <w:ind w:firstLine="640" w:firstLineChars="200"/>
        <w:rPr>
          <w:szCs w:val="32"/>
        </w:rPr>
      </w:pPr>
      <w:r>
        <w:rPr>
          <w:rFonts w:ascii="Times New Roman" w:hAnsi="Times New Roman" w:eastAsia="方正仿宋_GBK" w:cs="Times New Roman"/>
          <w:kern w:val="2"/>
          <w:sz w:val="32"/>
          <w:szCs w:val="32"/>
          <w:lang w:val="en-US" w:eastAsia="zh-CN" w:bidi="ar-SA"/>
        </w:rPr>
        <w:t>（4）</w:t>
      </w:r>
      <w:r>
        <w:rPr>
          <w:szCs w:val="32"/>
        </w:rPr>
        <w:t>对于大型公共建筑、学校类建筑、指挥系统建筑及生命线工程系统的建筑，应列出明确计划优先安排加固。</w:t>
      </w:r>
    </w:p>
    <w:p>
      <w:pPr>
        <w:numPr>
          <w:ilvl w:val="0"/>
          <w:numId w:val="0"/>
        </w:numPr>
        <w:spacing w:line="576" w:lineRule="exact"/>
        <w:ind w:firstLine="640" w:firstLineChars="200"/>
        <w:rPr>
          <w:rFonts w:hint="eastAsia" w:ascii="Times New Roman" w:hAnsi="Times New Roman" w:eastAsia="方正仿宋_GBK" w:cs="Times New Roman"/>
          <w:b w:val="0"/>
          <w:bCs/>
          <w:kern w:val="2"/>
          <w:sz w:val="32"/>
          <w:szCs w:val="32"/>
          <w:lang w:val="en-US" w:eastAsia="zh-CN" w:bidi="ar-SA"/>
        </w:rPr>
      </w:pPr>
      <w:r>
        <w:rPr>
          <w:rFonts w:hint="eastAsia" w:ascii="Times New Roman" w:hAnsi="Times New Roman" w:eastAsia="方正仿宋_GBK" w:cs="Times New Roman"/>
          <w:b w:val="0"/>
          <w:bCs/>
          <w:kern w:val="2"/>
          <w:sz w:val="32"/>
          <w:szCs w:val="32"/>
          <w:lang w:val="en-US" w:eastAsia="zh-CN" w:bidi="ar-SA"/>
        </w:rPr>
        <w:t>2</w:t>
      </w:r>
      <w:r>
        <w:rPr>
          <w:rFonts w:hint="default" w:ascii="Times New Roman" w:hAnsi="Times New Roman" w:eastAsia="方正仿宋_GBK" w:cs="Times New Roman"/>
          <w:b w:val="0"/>
          <w:bCs w:val="0"/>
          <w:sz w:val="32"/>
          <w:szCs w:val="32"/>
          <w:lang w:val="en-US" w:eastAsia="zh-CN"/>
        </w:rPr>
        <w:t>．</w:t>
      </w:r>
      <w:r>
        <w:rPr>
          <w:rFonts w:hint="eastAsia" w:ascii="Times New Roman" w:hAnsi="Times New Roman" w:eastAsia="方正仿宋_GBK" w:cs="Times New Roman"/>
          <w:b w:val="0"/>
          <w:bCs/>
          <w:kern w:val="2"/>
          <w:sz w:val="32"/>
          <w:szCs w:val="32"/>
          <w:lang w:val="en-US" w:eastAsia="zh-CN" w:bidi="ar-SA"/>
        </w:rPr>
        <w:t>抗震加固标准。</w:t>
      </w:r>
    </w:p>
    <w:p>
      <w:pPr>
        <w:numPr>
          <w:ilvl w:val="0"/>
          <w:numId w:val="0"/>
        </w:numPr>
        <w:spacing w:line="576" w:lineRule="exact"/>
        <w:ind w:firstLine="640" w:firstLineChars="200"/>
        <w:rPr>
          <w:szCs w:val="32"/>
          <w:u w:val="none"/>
        </w:rPr>
      </w:pPr>
      <w:r>
        <w:rPr>
          <w:rFonts w:ascii="Times New Roman" w:hAnsi="Times New Roman" w:eastAsia="方正仿宋_GBK" w:cs="Times New Roman"/>
          <w:kern w:val="2"/>
          <w:sz w:val="32"/>
          <w:szCs w:val="32"/>
          <w:u w:val="none"/>
          <w:lang w:val="en-US" w:eastAsia="zh-CN" w:bidi="ar-SA"/>
        </w:rPr>
        <w:t>（1）</w:t>
      </w:r>
      <w:r>
        <w:rPr>
          <w:szCs w:val="32"/>
          <w:u w:val="none"/>
        </w:rPr>
        <w:t>规划区内抗震设防烈度为6度，在进行具体抗震鉴定加固时，应按现行的国家抗震加固鉴定标准和抗震加固技术措施执行。对于抗震鉴定标准中没有的内容可用现行抗震设计规范，并满足本规划的有关规定要求。</w:t>
      </w:r>
    </w:p>
    <w:p>
      <w:pPr>
        <w:numPr>
          <w:ilvl w:val="0"/>
          <w:numId w:val="0"/>
        </w:numPr>
        <w:spacing w:line="576" w:lineRule="exact"/>
        <w:ind w:firstLine="640" w:firstLineChars="200"/>
        <w:rPr>
          <w:szCs w:val="32"/>
          <w:u w:val="none"/>
        </w:rPr>
      </w:pPr>
      <w:r>
        <w:rPr>
          <w:rFonts w:ascii="Times New Roman" w:hAnsi="Times New Roman" w:eastAsia="方正仿宋_GBK" w:cs="Times New Roman"/>
          <w:kern w:val="2"/>
          <w:sz w:val="32"/>
          <w:szCs w:val="32"/>
          <w:u w:val="none"/>
          <w:lang w:val="en-US" w:eastAsia="zh-CN" w:bidi="ar-SA"/>
        </w:rPr>
        <w:t>（2）</w:t>
      </w:r>
      <w:r>
        <w:rPr>
          <w:szCs w:val="32"/>
          <w:u w:val="none"/>
        </w:rPr>
        <w:t>根据在役建筑物的重要性和使用要求，按照《建筑工程抗震设防分类标准</w:t>
      </w:r>
      <w:r>
        <w:rPr>
          <w:rFonts w:hint="eastAsia"/>
          <w:szCs w:val="32"/>
          <w:u w:val="none"/>
        </w:rPr>
        <w:t>》《</w:t>
      </w:r>
      <w:r>
        <w:rPr>
          <w:szCs w:val="32"/>
          <w:u w:val="none"/>
        </w:rPr>
        <w:t>建筑抗震加固建设标准</w:t>
      </w:r>
      <w:r>
        <w:rPr>
          <w:rFonts w:hint="eastAsia"/>
          <w:szCs w:val="32"/>
          <w:u w:val="none"/>
        </w:rPr>
        <w:t>》《</w:t>
      </w:r>
      <w:r>
        <w:rPr>
          <w:szCs w:val="32"/>
          <w:u w:val="none"/>
        </w:rPr>
        <w:t>建筑抗震加固技术规程</w:t>
      </w:r>
      <w:r>
        <w:rPr>
          <w:rFonts w:hint="eastAsia"/>
          <w:szCs w:val="32"/>
          <w:u w:val="none"/>
        </w:rPr>
        <w:t>》《</w:t>
      </w:r>
      <w:r>
        <w:rPr>
          <w:szCs w:val="32"/>
          <w:u w:val="none"/>
        </w:rPr>
        <w:t>建筑抗震鉴定标准》确定需要加固建筑的设防类别。</w:t>
      </w:r>
    </w:p>
    <w:p>
      <w:pPr>
        <w:numPr>
          <w:ilvl w:val="0"/>
          <w:numId w:val="0"/>
        </w:numPr>
        <w:spacing w:line="576" w:lineRule="exact"/>
        <w:ind w:firstLine="640" w:firstLineChars="200"/>
        <w:rPr>
          <w:szCs w:val="32"/>
          <w:u w:val="none"/>
        </w:rPr>
      </w:pPr>
      <w:r>
        <w:rPr>
          <w:rFonts w:ascii="Times New Roman" w:hAnsi="Times New Roman" w:eastAsia="方正仿宋_GBK" w:cs="Times New Roman"/>
          <w:kern w:val="2"/>
          <w:sz w:val="32"/>
          <w:szCs w:val="32"/>
          <w:u w:val="none"/>
          <w:lang w:val="en-US" w:eastAsia="zh-CN" w:bidi="ar-SA"/>
        </w:rPr>
        <w:t>（3）</w:t>
      </w:r>
      <w:r>
        <w:rPr>
          <w:szCs w:val="32"/>
          <w:u w:val="none"/>
        </w:rPr>
        <w:t>对密集的建筑，应提高相关部位的抗震鉴定要求。</w:t>
      </w:r>
    </w:p>
    <w:p>
      <w:pPr>
        <w:numPr>
          <w:ilvl w:val="0"/>
          <w:numId w:val="0"/>
        </w:numPr>
        <w:spacing w:line="576" w:lineRule="exact"/>
        <w:ind w:firstLine="640" w:firstLineChars="200"/>
        <w:rPr>
          <w:rFonts w:hint="eastAsia" w:ascii="Times New Roman" w:hAnsi="Times New Roman" w:eastAsia="方正仿宋_GBK" w:cs="Times New Roman"/>
          <w:b w:val="0"/>
          <w:bCs/>
          <w:kern w:val="2"/>
          <w:sz w:val="32"/>
          <w:szCs w:val="32"/>
          <w:lang w:val="en-US" w:eastAsia="zh-CN" w:bidi="ar-SA"/>
        </w:rPr>
      </w:pPr>
      <w:r>
        <w:rPr>
          <w:rFonts w:hint="eastAsia" w:ascii="Times New Roman" w:hAnsi="Times New Roman" w:eastAsia="方正仿宋_GBK" w:cs="Times New Roman"/>
          <w:b w:val="0"/>
          <w:bCs/>
          <w:kern w:val="2"/>
          <w:sz w:val="32"/>
          <w:szCs w:val="32"/>
          <w:lang w:val="en-US" w:eastAsia="zh-CN" w:bidi="ar-SA"/>
        </w:rPr>
        <w:t>3</w:t>
      </w:r>
      <w:r>
        <w:rPr>
          <w:rFonts w:hint="default" w:ascii="Times New Roman" w:hAnsi="Times New Roman" w:eastAsia="方正仿宋_GBK" w:cs="Times New Roman"/>
          <w:b w:val="0"/>
          <w:bCs w:val="0"/>
          <w:sz w:val="32"/>
          <w:szCs w:val="32"/>
          <w:lang w:val="en-US" w:eastAsia="zh-CN"/>
        </w:rPr>
        <w:t>．</w:t>
      </w:r>
      <w:r>
        <w:rPr>
          <w:rFonts w:hint="eastAsia" w:ascii="Times New Roman" w:hAnsi="Times New Roman" w:eastAsia="方正仿宋_GBK" w:cs="Times New Roman"/>
          <w:b w:val="0"/>
          <w:bCs/>
          <w:kern w:val="2"/>
          <w:sz w:val="32"/>
          <w:szCs w:val="32"/>
          <w:lang w:val="en-US" w:eastAsia="zh-CN" w:bidi="ar-SA"/>
        </w:rPr>
        <w:t>抗震加固原则。</w:t>
      </w:r>
    </w:p>
    <w:p>
      <w:pPr>
        <w:numPr>
          <w:ilvl w:val="0"/>
          <w:numId w:val="1"/>
        </w:numPr>
        <w:spacing w:line="576" w:lineRule="exact"/>
        <w:ind w:firstLine="640" w:firstLineChars="200"/>
        <w:rPr>
          <w:szCs w:val="32"/>
        </w:rPr>
      </w:pPr>
      <w:r>
        <w:rPr>
          <w:szCs w:val="32"/>
        </w:rPr>
        <w:t>临时加固与永久加固：临时加固的要求可适当降低，永久加固则不应低于相关规范要求水平。</w:t>
      </w:r>
    </w:p>
    <w:p>
      <w:pPr>
        <w:numPr>
          <w:ilvl w:val="0"/>
          <w:numId w:val="1"/>
        </w:numPr>
        <w:spacing w:line="576" w:lineRule="exact"/>
        <w:ind w:firstLine="640" w:firstLineChars="200"/>
        <w:rPr>
          <w:szCs w:val="32"/>
        </w:rPr>
      </w:pPr>
      <w:r>
        <w:rPr>
          <w:szCs w:val="32"/>
        </w:rPr>
        <w:t>建筑局部加固与整体加固：当对局部构件加固后不影响整个结构体系的受力性能时，可以进行局部结构加固；当建筑结构整体都不满足要求时，应对建筑结构整体进行加固。</w:t>
      </w:r>
    </w:p>
    <w:p>
      <w:pPr>
        <w:numPr>
          <w:ilvl w:val="0"/>
          <w:numId w:val="1"/>
        </w:numPr>
        <w:spacing w:line="576" w:lineRule="exact"/>
        <w:ind w:firstLine="640" w:firstLineChars="200"/>
        <w:rPr>
          <w:szCs w:val="32"/>
        </w:rPr>
      </w:pPr>
      <w:r>
        <w:rPr>
          <w:szCs w:val="32"/>
        </w:rPr>
        <w:t>构件加固与构件体系的加固：当建筑因某些构件不满足安全度要求而对其结构加固时，应对建筑结构体系同时加固。</w:t>
      </w:r>
    </w:p>
    <w:p>
      <w:pPr>
        <w:numPr>
          <w:ilvl w:val="0"/>
          <w:numId w:val="0"/>
        </w:numPr>
        <w:spacing w:line="576" w:lineRule="exact"/>
        <w:ind w:firstLine="640" w:firstLineChars="200"/>
        <w:rPr>
          <w:rFonts w:hint="eastAsia" w:ascii="Times New Roman" w:hAnsi="Times New Roman" w:eastAsia="方正仿宋_GBK" w:cs="Times New Roman"/>
          <w:b w:val="0"/>
          <w:bCs/>
          <w:kern w:val="2"/>
          <w:sz w:val="32"/>
          <w:szCs w:val="32"/>
          <w:lang w:val="en-US" w:eastAsia="zh-CN" w:bidi="ar-SA"/>
        </w:rPr>
      </w:pPr>
      <w:r>
        <w:rPr>
          <w:rFonts w:hint="eastAsia" w:ascii="Times New Roman" w:hAnsi="Times New Roman" w:eastAsia="方正仿宋_GBK" w:cs="Times New Roman"/>
          <w:b w:val="0"/>
          <w:bCs/>
          <w:kern w:val="2"/>
          <w:sz w:val="32"/>
          <w:szCs w:val="32"/>
          <w:lang w:val="en-US" w:eastAsia="zh-CN" w:bidi="ar-SA"/>
        </w:rPr>
        <w:t>4</w:t>
      </w:r>
      <w:r>
        <w:rPr>
          <w:rFonts w:hint="default" w:ascii="Times New Roman" w:hAnsi="Times New Roman" w:eastAsia="方正仿宋_GBK" w:cs="Times New Roman"/>
          <w:b w:val="0"/>
          <w:bCs w:val="0"/>
          <w:sz w:val="32"/>
          <w:szCs w:val="32"/>
          <w:lang w:val="en-US" w:eastAsia="zh-CN"/>
        </w:rPr>
        <w:t>．</w:t>
      </w:r>
      <w:r>
        <w:rPr>
          <w:rFonts w:hint="eastAsia" w:ascii="Times New Roman" w:hAnsi="Times New Roman" w:eastAsia="方正仿宋_GBK" w:cs="Times New Roman"/>
          <w:b w:val="0"/>
          <w:bCs/>
          <w:kern w:val="2"/>
          <w:sz w:val="32"/>
          <w:szCs w:val="32"/>
          <w:lang w:val="en-US" w:eastAsia="zh-CN" w:bidi="ar-SA"/>
        </w:rPr>
        <w:t>抗震加固程序。</w:t>
      </w:r>
    </w:p>
    <w:p>
      <w:pPr>
        <w:spacing w:line="576" w:lineRule="exact"/>
        <w:ind w:firstLine="640" w:firstLineChars="200"/>
        <w:rPr>
          <w:bCs/>
          <w:kern w:val="44"/>
          <w:szCs w:val="32"/>
        </w:rPr>
      </w:pPr>
      <w:r>
        <w:rPr>
          <w:bCs/>
          <w:kern w:val="44"/>
          <w:szCs w:val="32"/>
        </w:rPr>
        <w:t>对加固对象应进一步进行抗震鉴定，并进行抗震加固设计。加固程序为：确定项目—抗震鉴定—加固方案与设计—设计审批—加固工程施工—加固工程验收—归档。</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第二十二条  </w:t>
      </w:r>
      <w:bookmarkStart w:id="137" w:name="_Toc158038124"/>
      <w:bookmarkStart w:id="138" w:name="_Toc158038220"/>
      <w:bookmarkStart w:id="139" w:name="_Toc156307003"/>
      <w:r>
        <w:rPr>
          <w:rFonts w:hint="eastAsia" w:ascii="方正黑体_GBK" w:hAnsi="Times New Roman" w:eastAsia="方正黑体_GBK" w:cstheme="minorBidi"/>
          <w:b w:val="0"/>
          <w:bCs/>
          <w:kern w:val="0"/>
          <w:sz w:val="32"/>
          <w:szCs w:val="32"/>
          <w:lang w:val="en-US" w:eastAsia="zh-CN" w:bidi="ar-SA"/>
        </w:rPr>
        <w:t>重要建筑物抗震加固策略</w:t>
      </w:r>
      <w:bookmarkEnd w:id="137"/>
      <w:bookmarkEnd w:id="138"/>
      <w:bookmarkEnd w:id="139"/>
    </w:p>
    <w:p>
      <w:pPr>
        <w:numPr>
          <w:ilvl w:val="0"/>
          <w:numId w:val="0"/>
        </w:numPr>
        <w:spacing w:line="576" w:lineRule="exact"/>
        <w:ind w:left="0" w:leftChars="0" w:firstLine="640" w:firstLineChars="200"/>
        <w:rPr>
          <w:bCs/>
          <w:kern w:val="44"/>
          <w:sz w:val="32"/>
          <w:szCs w:val="32"/>
        </w:rPr>
      </w:pPr>
      <w:r>
        <w:rPr>
          <w:rFonts w:hint="eastAsia"/>
          <w:bCs/>
          <w:kern w:val="44"/>
          <w:sz w:val="32"/>
          <w:szCs w:val="32"/>
          <w:lang w:val="en-US" w:eastAsia="zh-CN"/>
        </w:rPr>
        <w:t>1</w:t>
      </w:r>
      <w:r>
        <w:rPr>
          <w:rFonts w:hint="default" w:ascii="Times New Roman" w:hAnsi="Times New Roman" w:eastAsia="方正仿宋_GBK" w:cs="Times New Roman"/>
          <w:b w:val="0"/>
          <w:bCs w:val="0"/>
          <w:sz w:val="32"/>
          <w:szCs w:val="32"/>
          <w:lang w:val="en-US" w:eastAsia="zh-CN"/>
        </w:rPr>
        <w:t>．</w:t>
      </w:r>
      <w:r>
        <w:rPr>
          <w:bCs/>
          <w:kern w:val="44"/>
          <w:sz w:val="32"/>
          <w:szCs w:val="32"/>
        </w:rPr>
        <w:t>对重要建筑物的抗震加固，应合理确定是否有加固价值，并考虑满足新建工程的抗震设防要求，保证地震时正常运转。</w:t>
      </w:r>
    </w:p>
    <w:p>
      <w:pPr>
        <w:numPr>
          <w:ilvl w:val="0"/>
          <w:numId w:val="0"/>
        </w:numPr>
        <w:spacing w:line="576" w:lineRule="exact"/>
        <w:ind w:left="0" w:leftChars="0" w:firstLine="640" w:firstLineChars="200"/>
        <w:rPr>
          <w:bCs/>
          <w:kern w:val="44"/>
          <w:sz w:val="32"/>
          <w:szCs w:val="32"/>
        </w:rPr>
      </w:pPr>
      <w:r>
        <w:rPr>
          <w:rFonts w:hint="eastAsia"/>
          <w:bCs/>
          <w:kern w:val="44"/>
          <w:sz w:val="32"/>
          <w:szCs w:val="32"/>
          <w:lang w:val="en-US" w:eastAsia="zh-CN"/>
        </w:rPr>
        <w:t>2</w:t>
      </w:r>
      <w:r>
        <w:rPr>
          <w:rFonts w:hint="default" w:ascii="Times New Roman" w:hAnsi="Times New Roman" w:eastAsia="方正仿宋_GBK" w:cs="Times New Roman"/>
          <w:b w:val="0"/>
          <w:bCs w:val="0"/>
          <w:sz w:val="32"/>
          <w:szCs w:val="32"/>
          <w:lang w:val="en-US" w:eastAsia="zh-CN"/>
        </w:rPr>
        <w:t>．</w:t>
      </w:r>
      <w:r>
        <w:rPr>
          <w:bCs/>
          <w:kern w:val="44"/>
          <w:sz w:val="32"/>
          <w:szCs w:val="32"/>
        </w:rPr>
        <w:t>对于使用年限较长，震害预测结果较严重的重要建筑物，应优先考虑改建或拆除重建的方式。</w:t>
      </w:r>
    </w:p>
    <w:p>
      <w:pPr>
        <w:numPr>
          <w:ilvl w:val="0"/>
          <w:numId w:val="0"/>
        </w:numPr>
        <w:spacing w:line="576" w:lineRule="exact"/>
        <w:ind w:firstLine="640" w:firstLineChars="200"/>
        <w:rPr>
          <w:bCs/>
          <w:kern w:val="44"/>
          <w:sz w:val="32"/>
          <w:szCs w:val="32"/>
        </w:rPr>
      </w:pPr>
      <w:r>
        <w:rPr>
          <w:rFonts w:hint="eastAsia"/>
          <w:bCs/>
          <w:kern w:val="44"/>
          <w:sz w:val="32"/>
          <w:szCs w:val="32"/>
          <w:lang w:val="en-US" w:eastAsia="zh-CN"/>
        </w:rPr>
        <w:t>3</w:t>
      </w:r>
      <w:r>
        <w:rPr>
          <w:rFonts w:hint="default" w:ascii="Times New Roman" w:hAnsi="Times New Roman" w:eastAsia="方正仿宋_GBK" w:cs="Times New Roman"/>
          <w:b w:val="0"/>
          <w:bCs w:val="0"/>
          <w:sz w:val="32"/>
          <w:szCs w:val="32"/>
          <w:lang w:val="en-US" w:eastAsia="zh-CN"/>
        </w:rPr>
        <w:t>．</w:t>
      </w:r>
      <w:r>
        <w:rPr>
          <w:bCs/>
          <w:kern w:val="44"/>
          <w:sz w:val="32"/>
          <w:szCs w:val="32"/>
        </w:rPr>
        <w:t>对抗震救灾起关键作用的医院类建筑，应该采取有效措施提高其抗震救灾功能的可靠性，对薄弱环节进行加固改造；对于抗震救灾起关键作用的基础设施类建筑，应该结合本规划基础设施抗震防灾相关要求进行加固改造；对人员集中的公共建筑进行全面抗震鉴定，不满足抗震要求的优先安排抗震加固。</w:t>
      </w:r>
    </w:p>
    <w:p>
      <w:pPr>
        <w:numPr>
          <w:ilvl w:val="0"/>
          <w:numId w:val="0"/>
        </w:numPr>
        <w:spacing w:line="576" w:lineRule="exact"/>
        <w:ind w:firstLine="640" w:firstLineChars="200"/>
        <w:rPr>
          <w:szCs w:val="32"/>
        </w:rPr>
      </w:pPr>
      <w:r>
        <w:rPr>
          <w:rFonts w:hint="eastAsia"/>
          <w:bCs/>
          <w:kern w:val="44"/>
          <w:sz w:val="32"/>
          <w:szCs w:val="32"/>
          <w:lang w:val="en-US" w:eastAsia="zh-CN"/>
        </w:rPr>
        <w:t>4</w:t>
      </w:r>
      <w:r>
        <w:rPr>
          <w:rFonts w:hint="default" w:ascii="Times New Roman" w:hAnsi="Times New Roman" w:eastAsia="方正仿宋_GBK" w:cs="Times New Roman"/>
          <w:b w:val="0"/>
          <w:bCs w:val="0"/>
          <w:sz w:val="32"/>
          <w:szCs w:val="32"/>
          <w:lang w:val="en-US" w:eastAsia="zh-CN"/>
        </w:rPr>
        <w:t>．</w:t>
      </w:r>
      <w:r>
        <w:rPr>
          <w:bCs/>
          <w:kern w:val="44"/>
          <w:sz w:val="32"/>
          <w:szCs w:val="32"/>
        </w:rPr>
        <w:t>针对不同</w:t>
      </w:r>
      <w:r>
        <w:rPr>
          <w:bCs/>
          <w:kern w:val="44"/>
          <w:szCs w:val="32"/>
        </w:rPr>
        <w:t>结构类型，选择适宜的抗震加固策略。</w:t>
      </w:r>
    </w:p>
    <w:p>
      <w:pPr>
        <w:adjustRightInd w:val="0"/>
        <w:snapToGrid w:val="0"/>
        <w:spacing w:line="576" w:lineRule="exact"/>
        <w:ind w:firstLine="640" w:firstLineChars="200"/>
        <w:jc w:val="left"/>
        <w:rPr>
          <w:szCs w:val="32"/>
        </w:rPr>
      </w:pPr>
      <w:r>
        <w:rPr>
          <w:bCs/>
          <w:kern w:val="44"/>
          <w:szCs w:val="32"/>
        </w:rPr>
        <w:t>根据建筑震害预测结果，对现状中心城区重要建筑提出抗震加固策略及处理意见。</w:t>
      </w:r>
      <w:r>
        <w:rPr>
          <w:szCs w:val="32"/>
        </w:rPr>
        <w:t>（详见附</w:t>
      </w:r>
      <w:r>
        <w:rPr>
          <w:rFonts w:hint="eastAsia"/>
          <w:szCs w:val="32"/>
          <w:lang w:val="en-US" w:eastAsia="zh-CN"/>
        </w:rPr>
        <w:t>表1</w:t>
      </w:r>
      <w:r>
        <w:rPr>
          <w:szCs w:val="32"/>
        </w:rPr>
        <w:t>）</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第二十三条  </w:t>
      </w:r>
      <w:bookmarkStart w:id="140" w:name="_Toc158038125"/>
      <w:bookmarkStart w:id="141" w:name="_Toc156307004"/>
      <w:bookmarkStart w:id="142" w:name="_Toc158038221"/>
      <w:r>
        <w:rPr>
          <w:rFonts w:hint="eastAsia" w:ascii="方正黑体_GBK" w:hAnsi="Times New Roman" w:eastAsia="方正黑体_GBK" w:cstheme="minorBidi"/>
          <w:b w:val="0"/>
          <w:bCs/>
          <w:kern w:val="0"/>
          <w:sz w:val="32"/>
          <w:szCs w:val="32"/>
          <w:lang w:val="en-US" w:eastAsia="zh-CN" w:bidi="ar-SA"/>
        </w:rPr>
        <w:t>一般建筑物抗震改造安排</w:t>
      </w:r>
      <w:bookmarkEnd w:id="140"/>
      <w:bookmarkEnd w:id="141"/>
      <w:bookmarkEnd w:id="142"/>
    </w:p>
    <w:p>
      <w:pPr>
        <w:spacing w:line="576" w:lineRule="exact"/>
        <w:ind w:firstLine="640" w:firstLineChars="200"/>
        <w:rPr>
          <w:bCs/>
          <w:kern w:val="44"/>
          <w:szCs w:val="32"/>
        </w:rPr>
      </w:pPr>
      <w:r>
        <w:rPr>
          <w:bCs/>
          <w:kern w:val="44"/>
          <w:szCs w:val="32"/>
        </w:rPr>
        <w:t>一般建筑物的抗震加固可结合城区改造计划一并实施。对于1980年以前建造的房屋，以拆除改造为主；对于1980年</w:t>
      </w:r>
      <w:r>
        <w:rPr>
          <w:rFonts w:hint="eastAsia"/>
          <w:bCs/>
          <w:kern w:val="44"/>
          <w:szCs w:val="32"/>
        </w:rPr>
        <w:t>—</w:t>
      </w:r>
      <w:r>
        <w:rPr>
          <w:bCs/>
          <w:kern w:val="44"/>
          <w:szCs w:val="32"/>
        </w:rPr>
        <w:t>1989年期间建设的房屋，成片房屋可结合旧城改造以拆除重建为主，零星分布的以抗震加固改造为主；对于1990年以后建造的不符合抗震设计要求的房屋，应立即进行抗震鉴定和抗震加固。</w:t>
      </w:r>
    </w:p>
    <w:p>
      <w:pPr>
        <w:numPr>
          <w:ilvl w:val="0"/>
          <w:numId w:val="0"/>
        </w:numPr>
        <w:spacing w:line="576" w:lineRule="exact"/>
        <w:ind w:firstLine="640" w:firstLineChars="200"/>
        <w:rPr>
          <w:rFonts w:hint="default" w:ascii="Times New Roman" w:hAnsi="Times New Roman" w:cs="Times New Roman"/>
          <w:bCs/>
          <w:kern w:val="44"/>
          <w:sz w:val="32"/>
          <w:szCs w:val="32"/>
        </w:rPr>
      </w:pPr>
      <w:r>
        <w:rPr>
          <w:rFonts w:hint="default" w:ascii="Times New Roman" w:hAnsi="Times New Roman" w:eastAsia="方正仿宋_GBK" w:cs="Times New Roman"/>
          <w:bCs/>
          <w:kern w:val="44"/>
          <w:sz w:val="32"/>
          <w:szCs w:val="32"/>
          <w:lang w:val="en-US" w:eastAsia="zh-CN" w:bidi="ar-SA"/>
        </w:rPr>
        <w:t>（1）</w:t>
      </w:r>
      <w:r>
        <w:rPr>
          <w:rFonts w:hint="default" w:ascii="Times New Roman" w:hAnsi="Times New Roman" w:cs="Times New Roman"/>
          <w:bCs/>
          <w:kern w:val="44"/>
          <w:sz w:val="32"/>
          <w:szCs w:val="32"/>
        </w:rPr>
        <w:t>加固策略：</w:t>
      </w:r>
      <w:r>
        <w:rPr>
          <w:rFonts w:hint="eastAsia" w:cs="Times New Roman"/>
          <w:bCs/>
          <w:kern w:val="44"/>
          <w:sz w:val="32"/>
          <w:szCs w:val="32"/>
          <w:lang w:eastAsia="zh-CN"/>
        </w:rPr>
        <w:t>“</w:t>
      </w:r>
      <w:r>
        <w:rPr>
          <w:rFonts w:hint="default" w:ascii="Times New Roman" w:hAnsi="Times New Roman" w:cs="Times New Roman"/>
          <w:bCs/>
          <w:kern w:val="44"/>
          <w:sz w:val="32"/>
          <w:szCs w:val="32"/>
        </w:rPr>
        <w:t>分期分批，结合城区改造逐步改善</w:t>
      </w:r>
      <w:r>
        <w:rPr>
          <w:rFonts w:hint="eastAsia" w:cs="Times New Roman"/>
          <w:bCs/>
          <w:kern w:val="44"/>
          <w:sz w:val="32"/>
          <w:szCs w:val="32"/>
          <w:lang w:eastAsia="zh-CN"/>
        </w:rPr>
        <w:t>”</w:t>
      </w:r>
      <w:r>
        <w:rPr>
          <w:rFonts w:hint="default" w:ascii="Times New Roman" w:hAnsi="Times New Roman" w:cs="Times New Roman"/>
          <w:bCs/>
          <w:kern w:val="44"/>
          <w:sz w:val="32"/>
          <w:szCs w:val="32"/>
        </w:rPr>
        <w:t>的对策，确定有加固价值和无需加固限期拆除改造的范围和措施。</w:t>
      </w:r>
    </w:p>
    <w:p>
      <w:pPr>
        <w:numPr>
          <w:ilvl w:val="0"/>
          <w:numId w:val="0"/>
        </w:numPr>
        <w:spacing w:line="576" w:lineRule="exact"/>
        <w:ind w:left="0" w:leftChars="0" w:firstLine="640" w:firstLineChars="200"/>
        <w:rPr>
          <w:rFonts w:hint="default" w:ascii="Times New Roman" w:hAnsi="Times New Roman" w:cs="Times New Roman"/>
          <w:bCs/>
          <w:kern w:val="44"/>
          <w:sz w:val="32"/>
          <w:szCs w:val="32"/>
        </w:rPr>
      </w:pPr>
      <w:r>
        <w:rPr>
          <w:rFonts w:hint="default" w:ascii="Times New Roman" w:hAnsi="Times New Roman" w:eastAsia="方正仿宋_GBK" w:cs="Times New Roman"/>
          <w:bCs/>
          <w:kern w:val="44"/>
          <w:sz w:val="32"/>
          <w:szCs w:val="32"/>
          <w:lang w:val="en-US" w:eastAsia="zh-CN" w:bidi="ar-SA"/>
        </w:rPr>
        <w:t>（2）</w:t>
      </w:r>
      <w:r>
        <w:rPr>
          <w:rFonts w:hint="default" w:ascii="Times New Roman" w:hAnsi="Times New Roman" w:cs="Times New Roman"/>
          <w:bCs/>
          <w:kern w:val="44"/>
          <w:sz w:val="32"/>
          <w:szCs w:val="32"/>
        </w:rPr>
        <w:t>加固时序：</w:t>
      </w:r>
      <w:r>
        <w:rPr>
          <w:rFonts w:hint="eastAsia" w:cs="Times New Roman"/>
          <w:bCs/>
          <w:kern w:val="44"/>
          <w:sz w:val="32"/>
          <w:szCs w:val="32"/>
          <w:lang w:eastAsia="zh-CN"/>
        </w:rPr>
        <w:t>“</w:t>
      </w:r>
      <w:r>
        <w:rPr>
          <w:rFonts w:hint="default" w:ascii="Times New Roman" w:hAnsi="Times New Roman" w:cs="Times New Roman"/>
          <w:bCs/>
          <w:kern w:val="44"/>
          <w:sz w:val="32"/>
          <w:szCs w:val="32"/>
        </w:rPr>
        <w:t>先重点后一般、先严重后较轻</w:t>
      </w:r>
      <w:r>
        <w:rPr>
          <w:rFonts w:hint="eastAsia" w:cs="Times New Roman"/>
          <w:bCs/>
          <w:kern w:val="44"/>
          <w:sz w:val="32"/>
          <w:szCs w:val="32"/>
          <w:lang w:eastAsia="zh-CN"/>
        </w:rPr>
        <w:t>”</w:t>
      </w:r>
      <w:r>
        <w:rPr>
          <w:rFonts w:hint="default" w:ascii="Times New Roman" w:hAnsi="Times New Roman" w:cs="Times New Roman"/>
          <w:bCs/>
          <w:kern w:val="44"/>
          <w:sz w:val="32"/>
          <w:szCs w:val="32"/>
        </w:rPr>
        <w:t>的原则，将待加固建筑分为重点加固改造建筑物和逐步加固改造建筑物。</w:t>
      </w:r>
    </w:p>
    <w:p>
      <w:pPr>
        <w:numPr>
          <w:ilvl w:val="0"/>
          <w:numId w:val="0"/>
        </w:numPr>
        <w:spacing w:line="576" w:lineRule="exact"/>
        <w:ind w:left="0" w:leftChars="0" w:firstLine="640" w:firstLineChars="200"/>
        <w:rPr>
          <w:rFonts w:hint="default" w:ascii="Times New Roman" w:hAnsi="Times New Roman" w:cs="Times New Roman"/>
          <w:bCs/>
          <w:kern w:val="44"/>
          <w:sz w:val="32"/>
          <w:szCs w:val="32"/>
        </w:rPr>
      </w:pPr>
      <w:r>
        <w:rPr>
          <w:rFonts w:hint="default" w:ascii="Times New Roman" w:hAnsi="Times New Roman" w:eastAsia="方正仿宋_GBK" w:cs="Times New Roman"/>
          <w:bCs/>
          <w:kern w:val="44"/>
          <w:sz w:val="32"/>
          <w:szCs w:val="32"/>
          <w:lang w:val="en-US" w:eastAsia="zh-CN" w:bidi="ar-SA"/>
        </w:rPr>
        <w:t>（3）</w:t>
      </w:r>
      <w:r>
        <w:rPr>
          <w:rFonts w:hint="default" w:ascii="Times New Roman" w:hAnsi="Times New Roman" w:cs="Times New Roman"/>
          <w:bCs/>
          <w:kern w:val="44"/>
          <w:sz w:val="32"/>
          <w:szCs w:val="32"/>
        </w:rPr>
        <w:t>重点加固改造建筑物：成片房屋抗震薄弱区。</w:t>
      </w:r>
    </w:p>
    <w:p>
      <w:pPr>
        <w:numPr>
          <w:ilvl w:val="0"/>
          <w:numId w:val="0"/>
        </w:numPr>
        <w:spacing w:line="576" w:lineRule="exact"/>
        <w:ind w:left="0" w:leftChars="0" w:firstLine="640" w:firstLineChars="200"/>
        <w:rPr>
          <w:bCs/>
          <w:kern w:val="44"/>
          <w:sz w:val="32"/>
          <w:szCs w:val="32"/>
        </w:rPr>
      </w:pPr>
      <w:r>
        <w:rPr>
          <w:rFonts w:hint="default" w:ascii="Times New Roman" w:hAnsi="Times New Roman" w:eastAsia="方正仿宋_GBK" w:cs="Times New Roman"/>
          <w:bCs/>
          <w:kern w:val="44"/>
          <w:sz w:val="32"/>
          <w:szCs w:val="32"/>
          <w:lang w:val="en-US" w:eastAsia="zh-CN" w:bidi="ar-SA"/>
        </w:rPr>
        <w:t>（4）</w:t>
      </w:r>
      <w:r>
        <w:rPr>
          <w:bCs/>
          <w:kern w:val="44"/>
          <w:sz w:val="32"/>
          <w:szCs w:val="32"/>
        </w:rPr>
        <w:t>针对老城区具有保留价值的历史建筑物，针对其抗震性能薄弱的现状，建议在专门研究的基础上，确定抗震加固的减灾策略。</w:t>
      </w:r>
    </w:p>
    <w:p>
      <w:pPr>
        <w:adjustRightInd w:val="0"/>
        <w:snapToGrid w:val="0"/>
        <w:spacing w:line="576" w:lineRule="exact"/>
        <w:ind w:firstLine="640" w:firstLineChars="200"/>
        <w:jc w:val="left"/>
        <w:rPr>
          <w:szCs w:val="32"/>
        </w:rPr>
      </w:pPr>
      <w:r>
        <w:rPr>
          <w:bCs/>
          <w:kern w:val="44"/>
          <w:szCs w:val="32"/>
        </w:rPr>
        <w:t>根据建筑震害预测结果，对现状中心城区一般建筑提出抗震加固策略及处理意见。</w:t>
      </w:r>
      <w:r>
        <w:rPr>
          <w:szCs w:val="32"/>
        </w:rPr>
        <w:t>（详见附</w:t>
      </w:r>
      <w:r>
        <w:rPr>
          <w:rFonts w:hint="eastAsia"/>
          <w:szCs w:val="32"/>
          <w:lang w:val="en-US" w:eastAsia="zh-CN"/>
        </w:rPr>
        <w:t>表2</w:t>
      </w:r>
      <w:r>
        <w:rPr>
          <w:szCs w:val="32"/>
        </w:rPr>
        <w:t>）</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第二十四条  </w:t>
      </w:r>
      <w:bookmarkStart w:id="143" w:name="_Toc158038126"/>
      <w:bookmarkStart w:id="144" w:name="_Toc156307005"/>
      <w:bookmarkStart w:id="145" w:name="_Toc158038222"/>
      <w:r>
        <w:rPr>
          <w:rFonts w:hint="eastAsia" w:ascii="方正黑体_GBK" w:hAnsi="Times New Roman" w:eastAsia="方正黑体_GBK" w:cstheme="minorBidi"/>
          <w:b w:val="0"/>
          <w:bCs/>
          <w:kern w:val="0"/>
          <w:sz w:val="32"/>
          <w:szCs w:val="32"/>
          <w:lang w:val="en-US" w:eastAsia="zh-CN" w:bidi="ar-SA"/>
        </w:rPr>
        <w:t>中小学校舍抗震加固要求</w:t>
      </w:r>
      <w:bookmarkEnd w:id="143"/>
      <w:bookmarkEnd w:id="144"/>
      <w:bookmarkEnd w:id="145"/>
    </w:p>
    <w:p>
      <w:pPr>
        <w:numPr>
          <w:ilvl w:val="0"/>
          <w:numId w:val="0"/>
        </w:numPr>
        <w:spacing w:line="576" w:lineRule="exact"/>
        <w:ind w:firstLine="640" w:firstLineChars="200"/>
        <w:rPr>
          <w:szCs w:val="32"/>
        </w:rPr>
      </w:pPr>
      <w:r>
        <w:rPr>
          <w:rFonts w:hint="default" w:ascii="Times New Roman" w:hAnsi="Times New Roman" w:eastAsia="宋体" w:cs="Times New Roman"/>
          <w:kern w:val="2"/>
          <w:sz w:val="32"/>
          <w:szCs w:val="32"/>
          <w:lang w:val="en-US" w:eastAsia="zh-CN" w:bidi="ar-SA"/>
        </w:rPr>
        <w:t>1</w:t>
      </w:r>
      <w:r>
        <w:rPr>
          <w:rFonts w:hint="default" w:ascii="Times New Roman" w:hAnsi="Times New Roman" w:eastAsia="方正仿宋_GBK" w:cs="Times New Roman"/>
          <w:b w:val="0"/>
          <w:bCs w:val="0"/>
          <w:sz w:val="32"/>
          <w:szCs w:val="32"/>
          <w:lang w:val="en-US" w:eastAsia="zh-CN"/>
        </w:rPr>
        <w:t>．</w:t>
      </w:r>
      <w:r>
        <w:rPr>
          <w:rFonts w:hint="default" w:ascii="Times New Roman" w:hAnsi="Times New Roman" w:cs="Times New Roman"/>
          <w:sz w:val="32"/>
          <w:szCs w:val="32"/>
          <w:u w:val="none"/>
        </w:rPr>
        <w:t>根</w:t>
      </w:r>
      <w:r>
        <w:rPr>
          <w:szCs w:val="32"/>
          <w:u w:val="none"/>
        </w:rPr>
        <w:t>据教育部制定的《全国中小学校舍安全工程技术指南》要求，完成校舍建筑进行抗震排查鉴定和加固改造工作，使校舍抗震设防类别</w:t>
      </w:r>
      <w:r>
        <w:rPr>
          <w:rFonts w:hint="eastAsia"/>
          <w:szCs w:val="32"/>
          <w:u w:val="none"/>
        </w:rPr>
        <w:t>达到</w:t>
      </w:r>
      <w:r>
        <w:rPr>
          <w:szCs w:val="32"/>
          <w:u w:val="none"/>
        </w:rPr>
        <w:t>重点设防类抗震设防标准。结合</w:t>
      </w:r>
      <w:r>
        <w:rPr>
          <w:szCs w:val="32"/>
        </w:rPr>
        <w:t>綦江区中小学校改造规划，对拟扩建和继续使用的校舍按照建筑安全等级二级建设，按建筑设防等级</w:t>
      </w:r>
      <w:r>
        <w:rPr>
          <w:rFonts w:hint="eastAsia" w:ascii="宋体" w:hAnsi="宋体" w:cs="宋体"/>
          <w:szCs w:val="32"/>
        </w:rPr>
        <w:t>Ⅶ</w:t>
      </w:r>
      <w:r>
        <w:rPr>
          <w:szCs w:val="32"/>
        </w:rPr>
        <w:t>度进行设防。根据綦江区中小学校舍抗震鉴定结论，对未满足抗震鉴定要求的建筑进行拆除或改造加固。</w:t>
      </w:r>
    </w:p>
    <w:p>
      <w:pPr>
        <w:numPr>
          <w:ilvl w:val="0"/>
          <w:numId w:val="0"/>
        </w:numPr>
        <w:spacing w:line="576" w:lineRule="exact"/>
        <w:ind w:firstLine="640" w:firstLineChars="200"/>
        <w:rPr>
          <w:szCs w:val="32"/>
        </w:rPr>
      </w:pPr>
      <w:r>
        <w:rPr>
          <w:rFonts w:hint="default" w:ascii="Times New Roman" w:hAnsi="Times New Roman" w:eastAsia="宋体" w:cs="Times New Roman"/>
          <w:kern w:val="2"/>
          <w:sz w:val="32"/>
          <w:szCs w:val="32"/>
          <w:lang w:val="en-US" w:eastAsia="zh-CN" w:bidi="ar-SA"/>
        </w:rPr>
        <w:t>2</w:t>
      </w:r>
      <w:r>
        <w:rPr>
          <w:rFonts w:hint="default" w:ascii="Times New Roman" w:hAnsi="Times New Roman" w:eastAsia="方正仿宋_GBK" w:cs="Times New Roman"/>
          <w:b w:val="0"/>
          <w:bCs w:val="0"/>
          <w:sz w:val="32"/>
          <w:szCs w:val="32"/>
          <w:lang w:val="en-US" w:eastAsia="zh-CN"/>
        </w:rPr>
        <w:t>．</w:t>
      </w:r>
      <w:r>
        <w:rPr>
          <w:rFonts w:hint="default" w:ascii="Times New Roman" w:hAnsi="Times New Roman" w:cs="Times New Roman"/>
          <w:sz w:val="32"/>
          <w:szCs w:val="32"/>
        </w:rPr>
        <w:t>建</w:t>
      </w:r>
      <w:r>
        <w:rPr>
          <w:szCs w:val="32"/>
        </w:rPr>
        <w:t>立校舍安全年检制度。对城乡各级各类中小学现有校舍每半年要组织一次安全隐患排查。经排查后需要鉴定的，由当地教育行政部门委托有资质的专业机构及时进行相关鉴定。对未达到重点设防类抗震设防标准或达到设计使用年限仍需继续使用的校舍，每年进行一次鉴定；达到重点设防类抗震设防标准的，每5年进行一次鉴定。校舍排查鉴定结果要及时录入中小学校舍信息管理系统以便查询。</w:t>
      </w:r>
    </w:p>
    <w:p>
      <w:pPr>
        <w:spacing w:line="576" w:lineRule="exact"/>
        <w:ind w:firstLine="640" w:firstLineChars="200"/>
        <w:rPr>
          <w:szCs w:val="32"/>
          <w:lang w:bidi="ar"/>
        </w:rPr>
      </w:pPr>
      <w:r>
        <w:rPr>
          <w:bCs/>
          <w:kern w:val="44"/>
          <w:szCs w:val="32"/>
        </w:rPr>
        <w:t>根据单体建筑（抽样）震害预测分析，对中小学校舍建筑提出抗震加固策略。（详见</w:t>
      </w:r>
      <w:r>
        <w:rPr>
          <w:szCs w:val="32"/>
        </w:rPr>
        <w:t>附</w:t>
      </w:r>
      <w:r>
        <w:rPr>
          <w:rFonts w:hint="eastAsia"/>
          <w:szCs w:val="32"/>
          <w:lang w:val="en-US" w:eastAsia="zh-CN"/>
        </w:rPr>
        <w:t>表3</w:t>
      </w:r>
      <w:r>
        <w:rPr>
          <w:bCs/>
          <w:kern w:val="44"/>
          <w:szCs w:val="32"/>
        </w:rPr>
        <w:t>）</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第二十五条  </w:t>
      </w:r>
      <w:bookmarkStart w:id="146" w:name="_Toc158038127"/>
      <w:bookmarkStart w:id="147" w:name="_Toc158038223"/>
      <w:bookmarkStart w:id="148" w:name="_Toc156307006"/>
      <w:r>
        <w:rPr>
          <w:rFonts w:hint="eastAsia" w:ascii="方正黑体_GBK" w:hAnsi="Times New Roman" w:eastAsia="方正黑体_GBK" w:cstheme="minorBidi"/>
          <w:b w:val="0"/>
          <w:bCs/>
          <w:kern w:val="0"/>
          <w:sz w:val="32"/>
          <w:szCs w:val="32"/>
          <w:lang w:val="en-US" w:eastAsia="zh-CN" w:bidi="ar-SA"/>
        </w:rPr>
        <w:t>文物保护单位与历史建筑的抗震保护</w:t>
      </w:r>
      <w:bookmarkEnd w:id="146"/>
      <w:bookmarkEnd w:id="147"/>
      <w:bookmarkEnd w:id="148"/>
    </w:p>
    <w:p>
      <w:pPr>
        <w:widowControl/>
        <w:spacing w:line="576" w:lineRule="exact"/>
        <w:ind w:firstLine="640" w:firstLineChars="200"/>
        <w:rPr>
          <w:szCs w:val="32"/>
        </w:rPr>
      </w:pPr>
      <w:r>
        <w:rPr>
          <w:szCs w:val="32"/>
        </w:rPr>
        <w:t>保护优秀历史文化遗产是抗震防灾规划的一项重要内容，地震</w:t>
      </w:r>
      <w:r>
        <w:rPr>
          <w:rFonts w:hint="eastAsia"/>
          <w:szCs w:val="32"/>
        </w:rPr>
        <w:t>会</w:t>
      </w:r>
      <w:r>
        <w:rPr>
          <w:szCs w:val="32"/>
        </w:rPr>
        <w:t>对各类古建筑带来许多灾难性的</w:t>
      </w:r>
      <w:r>
        <w:rPr>
          <w:rFonts w:hint="eastAsia"/>
          <w:szCs w:val="32"/>
        </w:rPr>
        <w:t>破坏</w:t>
      </w:r>
      <w:r>
        <w:rPr>
          <w:szCs w:val="32"/>
        </w:rPr>
        <w:t>，对文物古建筑要本着对后人负责的态度进行抗震保护，这对城市的可持续发展也具有重要意义。</w:t>
      </w:r>
    </w:p>
    <w:p>
      <w:pPr>
        <w:numPr>
          <w:ilvl w:val="0"/>
          <w:numId w:val="0"/>
        </w:numPr>
        <w:spacing w:line="576" w:lineRule="exact"/>
        <w:ind w:left="0" w:leftChars="0" w:firstLine="640" w:firstLineChars="200"/>
        <w:rPr>
          <w:szCs w:val="32"/>
        </w:rPr>
      </w:pPr>
      <w:r>
        <w:rPr>
          <w:rFonts w:ascii="Times New Roman" w:hAnsi="Times New Roman" w:eastAsia="方正仿宋_GBK" w:cs="Times New Roman"/>
          <w:kern w:val="2"/>
          <w:sz w:val="32"/>
          <w:szCs w:val="32"/>
          <w:lang w:val="en-US" w:eastAsia="zh-CN" w:bidi="ar-SA"/>
        </w:rPr>
        <w:t>1</w:t>
      </w:r>
      <w:r>
        <w:rPr>
          <w:rFonts w:hint="default" w:ascii="Times New Roman" w:hAnsi="Times New Roman" w:eastAsia="方正仿宋_GBK" w:cs="Times New Roman"/>
          <w:b w:val="0"/>
          <w:bCs w:val="0"/>
          <w:sz w:val="32"/>
          <w:szCs w:val="32"/>
          <w:lang w:val="en-US" w:eastAsia="zh-CN"/>
        </w:rPr>
        <w:t>．</w:t>
      </w:r>
      <w:r>
        <w:rPr>
          <w:szCs w:val="32"/>
        </w:rPr>
        <w:t>应逐步完善文物保护单位和历史建筑周围防灾设施的配置和管理，保护建筑密集区应加强消防措施，改善周边环境及供电线路，提高防御地震次生火灾的能力。</w:t>
      </w:r>
    </w:p>
    <w:p>
      <w:pPr>
        <w:numPr>
          <w:ilvl w:val="0"/>
          <w:numId w:val="0"/>
        </w:numPr>
        <w:spacing w:line="576" w:lineRule="exact"/>
        <w:ind w:left="0" w:leftChars="0" w:firstLine="640" w:firstLineChars="200"/>
        <w:rPr>
          <w:szCs w:val="32"/>
        </w:rPr>
      </w:pPr>
      <w:r>
        <w:rPr>
          <w:rFonts w:ascii="Times New Roman" w:hAnsi="Times New Roman" w:eastAsia="方正仿宋_GBK" w:cs="Times New Roman"/>
          <w:kern w:val="2"/>
          <w:sz w:val="32"/>
          <w:szCs w:val="32"/>
          <w:lang w:val="en-US" w:eastAsia="zh-CN" w:bidi="ar-SA"/>
        </w:rPr>
        <w:t>2</w:t>
      </w:r>
      <w:r>
        <w:rPr>
          <w:rFonts w:hint="default" w:ascii="Times New Roman" w:hAnsi="Times New Roman" w:eastAsia="方正仿宋_GBK" w:cs="Times New Roman"/>
          <w:b w:val="0"/>
          <w:bCs w:val="0"/>
          <w:sz w:val="32"/>
          <w:szCs w:val="32"/>
          <w:lang w:val="en-US" w:eastAsia="zh-CN"/>
        </w:rPr>
        <w:t>．</w:t>
      </w:r>
      <w:r>
        <w:rPr>
          <w:szCs w:val="32"/>
        </w:rPr>
        <w:t>制定计划逐一对文物保护单位与历史建筑进行抗震鉴定评价，在判定其抗震性能的基础上优先安排现状差、急需抢救保护的重要建筑进行抗震保护。</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第二十六条  </w:t>
      </w:r>
      <w:bookmarkStart w:id="149" w:name="_Toc156307007"/>
      <w:bookmarkStart w:id="150" w:name="_Toc158038224"/>
      <w:bookmarkStart w:id="151" w:name="_Toc158038128"/>
      <w:r>
        <w:rPr>
          <w:rFonts w:hint="eastAsia" w:ascii="方正黑体_GBK" w:hAnsi="Times New Roman" w:eastAsia="方正黑体_GBK" w:cstheme="minorBidi"/>
          <w:b w:val="0"/>
          <w:bCs/>
          <w:kern w:val="0"/>
          <w:sz w:val="32"/>
          <w:szCs w:val="32"/>
          <w:lang w:val="en-US" w:eastAsia="zh-CN" w:bidi="ar-SA"/>
        </w:rPr>
        <w:t>新建建筑抗震设防要求</w:t>
      </w:r>
      <w:bookmarkEnd w:id="149"/>
      <w:bookmarkEnd w:id="150"/>
      <w:bookmarkEnd w:id="151"/>
    </w:p>
    <w:p>
      <w:pPr>
        <w:pStyle w:val="14"/>
        <w:numPr>
          <w:ilvl w:val="0"/>
          <w:numId w:val="0"/>
        </w:numPr>
        <w:spacing w:beforeAutospacing="0" w:afterAutospacing="0" w:line="576" w:lineRule="exact"/>
        <w:ind w:left="0" w:leftChars="0" w:firstLine="640" w:firstLineChars="200"/>
        <w:jc w:val="both"/>
        <w:rPr>
          <w:rFonts w:eastAsia="方正仿宋_GBK"/>
          <w:bCs/>
          <w:kern w:val="44"/>
          <w:sz w:val="32"/>
          <w:u w:val="none"/>
        </w:rPr>
      </w:pPr>
      <w:r>
        <w:rPr>
          <w:rFonts w:hint="eastAsia" w:eastAsia="方正仿宋_GBK" w:cs="Times New Roman"/>
          <w:bCs/>
          <w:kern w:val="44"/>
          <w:sz w:val="32"/>
          <w:szCs w:val="32"/>
          <w:u w:val="none"/>
          <w:lang w:val="en-US" w:eastAsia="zh-CN" w:bidi="ar-SA"/>
        </w:rPr>
        <w:t>1</w:t>
      </w:r>
      <w:r>
        <w:rPr>
          <w:rFonts w:hint="default" w:ascii="Times New Roman" w:hAnsi="Times New Roman" w:eastAsia="方正仿宋_GBK" w:cs="Times New Roman"/>
          <w:b w:val="0"/>
          <w:bCs w:val="0"/>
          <w:sz w:val="32"/>
          <w:szCs w:val="32"/>
          <w:lang w:val="en-US" w:eastAsia="zh-CN"/>
        </w:rPr>
        <w:t>．</w:t>
      </w:r>
      <w:r>
        <w:rPr>
          <w:rFonts w:eastAsia="方正仿宋_GBK"/>
          <w:bCs/>
          <w:kern w:val="44"/>
          <w:sz w:val="32"/>
          <w:u w:val="none"/>
          <w:lang w:bidi="ar"/>
        </w:rPr>
        <w:t>规划区新建、改建、扩建房屋建筑工程应按照国家现行</w:t>
      </w:r>
      <w:r>
        <w:rPr>
          <w:rFonts w:hint="eastAsia" w:eastAsia="方正仿宋_GBK"/>
          <w:bCs/>
          <w:kern w:val="44"/>
          <w:sz w:val="32"/>
          <w:u w:val="none"/>
          <w:lang w:bidi="ar"/>
        </w:rPr>
        <w:t>法律法规</w:t>
      </w:r>
      <w:r>
        <w:rPr>
          <w:rFonts w:eastAsia="方正仿宋_GBK"/>
          <w:bCs/>
          <w:kern w:val="44"/>
          <w:sz w:val="32"/>
          <w:u w:val="none"/>
          <w:lang w:bidi="ar"/>
        </w:rPr>
        <w:t>和技术标准等要求进行抗震设防，采取抗震措施，不符合本规划规定的工程不得进行建设。</w:t>
      </w:r>
    </w:p>
    <w:p>
      <w:pPr>
        <w:pStyle w:val="14"/>
        <w:numPr>
          <w:ilvl w:val="0"/>
          <w:numId w:val="0"/>
        </w:numPr>
        <w:spacing w:beforeAutospacing="0" w:afterAutospacing="0" w:line="576" w:lineRule="exact"/>
        <w:ind w:left="0" w:leftChars="0" w:firstLine="640" w:firstLineChars="200"/>
        <w:jc w:val="both"/>
        <w:rPr>
          <w:rFonts w:eastAsia="方正仿宋_GBK"/>
          <w:bCs/>
          <w:kern w:val="44"/>
          <w:sz w:val="32"/>
          <w:u w:val="none"/>
        </w:rPr>
      </w:pPr>
      <w:r>
        <w:rPr>
          <w:rFonts w:ascii="Times New Roman" w:hAnsi="Times New Roman" w:eastAsia="方正仿宋_GBK" w:cs="Times New Roman"/>
          <w:bCs/>
          <w:kern w:val="44"/>
          <w:sz w:val="32"/>
          <w:szCs w:val="32"/>
          <w:u w:val="none"/>
          <w:lang w:val="en-US" w:eastAsia="zh-CN" w:bidi="ar-SA"/>
        </w:rPr>
        <w:t>2</w:t>
      </w:r>
      <w:r>
        <w:rPr>
          <w:rFonts w:hint="default" w:ascii="Times New Roman" w:hAnsi="Times New Roman" w:eastAsia="方正仿宋_GBK" w:cs="Times New Roman"/>
          <w:b w:val="0"/>
          <w:bCs w:val="0"/>
          <w:sz w:val="32"/>
          <w:szCs w:val="32"/>
          <w:lang w:val="en-US" w:eastAsia="zh-CN"/>
        </w:rPr>
        <w:t>．</w:t>
      </w:r>
      <w:r>
        <w:rPr>
          <w:rFonts w:eastAsia="方正仿宋_GBK"/>
          <w:bCs/>
          <w:kern w:val="44"/>
          <w:sz w:val="32"/>
          <w:u w:val="none"/>
          <w:lang w:bidi="ar"/>
        </w:rPr>
        <w:t>新建大型公共建筑、学校类建筑应考虑城市总体避震疏散场所的安排要求，确定作为防灾据点时，应按照防灾据点的抗震设防要求进行建设。</w:t>
      </w:r>
    </w:p>
    <w:p>
      <w:pPr>
        <w:pStyle w:val="14"/>
        <w:numPr>
          <w:ilvl w:val="0"/>
          <w:numId w:val="0"/>
        </w:numPr>
        <w:spacing w:beforeAutospacing="0" w:afterAutospacing="0" w:line="576" w:lineRule="exact"/>
        <w:ind w:left="0" w:leftChars="0" w:firstLine="640" w:firstLineChars="200"/>
        <w:jc w:val="both"/>
        <w:rPr>
          <w:rFonts w:eastAsia="方正仿宋_GBK"/>
          <w:bCs/>
          <w:kern w:val="44"/>
          <w:sz w:val="32"/>
          <w:u w:val="none"/>
        </w:rPr>
      </w:pPr>
      <w:r>
        <w:rPr>
          <w:rFonts w:ascii="Times New Roman" w:hAnsi="Times New Roman" w:eastAsia="方正仿宋_GBK" w:cs="Times New Roman"/>
          <w:bCs/>
          <w:kern w:val="44"/>
          <w:sz w:val="32"/>
          <w:szCs w:val="32"/>
          <w:u w:val="none"/>
          <w:lang w:val="en-US" w:eastAsia="zh-CN" w:bidi="ar-SA"/>
        </w:rPr>
        <w:t>3</w:t>
      </w:r>
      <w:r>
        <w:rPr>
          <w:rFonts w:hint="default" w:ascii="Times New Roman" w:hAnsi="Times New Roman" w:eastAsia="方正仿宋_GBK" w:cs="Times New Roman"/>
          <w:b w:val="0"/>
          <w:bCs w:val="0"/>
          <w:sz w:val="32"/>
          <w:szCs w:val="32"/>
          <w:lang w:val="en-US" w:eastAsia="zh-CN"/>
        </w:rPr>
        <w:t>．</w:t>
      </w:r>
      <w:r>
        <w:rPr>
          <w:rFonts w:eastAsia="方正仿宋_GBK"/>
          <w:bCs/>
          <w:kern w:val="44"/>
          <w:sz w:val="32"/>
          <w:u w:val="none"/>
          <w:lang w:bidi="ar"/>
        </w:rPr>
        <w:t>采用新结构、新技术和新材料的建筑应符合抗震性能要求，建设主管部门应按有关规定对其进行抗震性能鉴定和专项审查。新技术的应用必须经过建设行政主管部门确认符合现行国家规范后，设计、施工单位方可使用。</w:t>
      </w:r>
    </w:p>
    <w:p>
      <w:pPr>
        <w:pStyle w:val="14"/>
        <w:numPr>
          <w:ilvl w:val="0"/>
          <w:numId w:val="0"/>
        </w:numPr>
        <w:spacing w:beforeAutospacing="0" w:afterAutospacing="0" w:line="576" w:lineRule="exact"/>
        <w:ind w:left="0" w:leftChars="0" w:firstLine="640" w:firstLineChars="200"/>
        <w:jc w:val="both"/>
        <w:rPr>
          <w:rFonts w:eastAsia="方正仿宋_GBK"/>
          <w:bCs/>
          <w:kern w:val="44"/>
          <w:sz w:val="32"/>
          <w:u w:val="single"/>
        </w:rPr>
      </w:pPr>
      <w:r>
        <w:rPr>
          <w:rFonts w:hint="eastAsia" w:eastAsia="方正仿宋_GBK" w:cs="Times New Roman"/>
          <w:bCs/>
          <w:kern w:val="44"/>
          <w:sz w:val="32"/>
          <w:szCs w:val="32"/>
          <w:lang w:val="en-US" w:eastAsia="zh-CN" w:bidi="ar-SA"/>
        </w:rPr>
        <w:t>4</w:t>
      </w:r>
      <w:r>
        <w:rPr>
          <w:rFonts w:hint="default" w:ascii="Times New Roman" w:hAnsi="Times New Roman" w:eastAsia="方正仿宋_GBK" w:cs="Times New Roman"/>
          <w:b w:val="0"/>
          <w:bCs w:val="0"/>
          <w:sz w:val="32"/>
          <w:szCs w:val="32"/>
          <w:lang w:val="en-US" w:eastAsia="zh-CN"/>
        </w:rPr>
        <w:t>．</w:t>
      </w:r>
      <w:r>
        <w:rPr>
          <w:rFonts w:eastAsia="方正仿宋_GBK"/>
          <w:bCs/>
          <w:kern w:val="44"/>
          <w:sz w:val="32"/>
          <w:lang w:bidi="ar"/>
        </w:rPr>
        <w:t>新建的居住小区、新建厂区中的生活区、大型公共场所或相当规模的其他建筑在房屋间距、疏散道路、疏散场地、次生灾害防御等方面除应满足有关的规范、规定外，</w:t>
      </w:r>
      <w:r>
        <w:rPr>
          <w:rFonts w:eastAsia="方正仿宋_GBK"/>
          <w:bCs/>
          <w:kern w:val="2"/>
          <w:sz w:val="32"/>
          <w:lang w:bidi="ar"/>
        </w:rPr>
        <w:t>仍应满足本规划的抗震防灾要求。</w:t>
      </w:r>
    </w:p>
    <w:p>
      <w:pPr>
        <w:pStyle w:val="14"/>
        <w:spacing w:beforeAutospacing="0" w:afterAutospacing="0" w:line="576" w:lineRule="exact"/>
        <w:ind w:left="640"/>
        <w:jc w:val="both"/>
        <w:rPr>
          <w:rFonts w:eastAsia="方正仿宋_GBK"/>
          <w:bCs/>
          <w:kern w:val="44"/>
          <w:sz w:val="32"/>
          <w:u w:val="single"/>
        </w:rPr>
      </w:pPr>
    </w:p>
    <w:p>
      <w:pPr>
        <w:pStyle w:val="4"/>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ascii="方正黑体_GBK"/>
          <w:bCs/>
        </w:rPr>
      </w:pPr>
      <w:r>
        <w:rPr>
          <w:rFonts w:hint="eastAsia" w:ascii="方正黑体_GBK" w:hAnsi="Times New Roman" w:eastAsia="方正黑体_GBK" w:cstheme="minorBidi"/>
          <w:bCs/>
          <w:kern w:val="0"/>
          <w:sz w:val="32"/>
          <w:szCs w:val="32"/>
          <w:lang w:val="en-US" w:eastAsia="zh-CN" w:bidi="ar-SA"/>
        </w:rPr>
        <w:t>第七章</w:t>
      </w:r>
      <w:r>
        <w:rPr>
          <w:rFonts w:ascii="方正黑体_GBK"/>
          <w:bCs/>
        </w:rPr>
        <w:t xml:space="preserve">  </w:t>
      </w:r>
      <w:bookmarkStart w:id="152" w:name="_Toc156307008"/>
      <w:bookmarkStart w:id="153" w:name="_Toc158038129"/>
      <w:bookmarkStart w:id="154" w:name="_Toc158038225"/>
      <w:r>
        <w:rPr>
          <w:rFonts w:ascii="方正黑体_GBK"/>
          <w:bCs/>
        </w:rPr>
        <w:t>基础设施抗震防灾</w:t>
      </w:r>
      <w:bookmarkEnd w:id="152"/>
      <w:bookmarkEnd w:id="153"/>
      <w:bookmarkEnd w:id="154"/>
    </w:p>
    <w:p>
      <w:pPr>
        <w:keepNext/>
        <w:spacing w:line="576" w:lineRule="exact"/>
        <w:ind w:firstLine="640" w:firstLineChars="200"/>
        <w:rPr>
          <w:lang w:val="zh-CN"/>
        </w:rPr>
      </w:pP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第二十七条  </w:t>
      </w:r>
      <w:bookmarkStart w:id="155" w:name="_Toc158038130"/>
      <w:bookmarkStart w:id="156" w:name="_Toc158038226"/>
      <w:bookmarkStart w:id="157" w:name="_Toc156307009"/>
      <w:r>
        <w:rPr>
          <w:rFonts w:hint="eastAsia" w:ascii="方正黑体_GBK" w:hAnsi="Times New Roman" w:eastAsia="方正黑体_GBK" w:cstheme="minorBidi"/>
          <w:b w:val="0"/>
          <w:bCs/>
          <w:kern w:val="0"/>
          <w:sz w:val="32"/>
          <w:szCs w:val="32"/>
          <w:lang w:val="en-US" w:eastAsia="zh-CN" w:bidi="ar-SA"/>
        </w:rPr>
        <w:t>供电系统</w:t>
      </w:r>
      <w:bookmarkEnd w:id="155"/>
      <w:bookmarkEnd w:id="156"/>
      <w:bookmarkEnd w:id="157"/>
    </w:p>
    <w:p>
      <w:pPr>
        <w:spacing w:line="576" w:lineRule="exact"/>
        <w:ind w:firstLine="640" w:firstLineChars="200"/>
        <w:rPr>
          <w:bCs/>
          <w:kern w:val="28"/>
          <w:szCs w:val="32"/>
          <w:lang w:bidi="ar"/>
        </w:rPr>
      </w:pPr>
      <w:r>
        <w:rPr>
          <w:bCs/>
          <w:kern w:val="28"/>
          <w:szCs w:val="32"/>
          <w:lang w:bidi="ar"/>
        </w:rPr>
        <w:t>1</w:t>
      </w:r>
      <w:r>
        <w:rPr>
          <w:rFonts w:hint="default" w:ascii="Times New Roman" w:hAnsi="Times New Roman" w:eastAsia="方正仿宋_GBK" w:cs="Times New Roman"/>
          <w:b w:val="0"/>
          <w:bCs w:val="0"/>
          <w:sz w:val="32"/>
          <w:szCs w:val="32"/>
          <w:lang w:val="en-US" w:eastAsia="zh-CN"/>
        </w:rPr>
        <w:t>．</w:t>
      </w:r>
      <w:r>
        <w:rPr>
          <w:bCs/>
          <w:kern w:val="28"/>
          <w:szCs w:val="32"/>
          <w:lang w:bidi="ar"/>
        </w:rPr>
        <w:t>对于单机容量300MW及以上或容量为800MW的火力发电厂和地震时必须维持正常供电的</w:t>
      </w:r>
      <w:r>
        <w:rPr>
          <w:rFonts w:hint="eastAsia"/>
          <w:bCs/>
          <w:kern w:val="28"/>
          <w:szCs w:val="32"/>
          <w:lang w:bidi="ar"/>
        </w:rPr>
        <w:t>重要电力设施</w:t>
      </w:r>
      <w:r>
        <w:rPr>
          <w:bCs/>
          <w:kern w:val="28"/>
          <w:szCs w:val="32"/>
          <w:lang w:bidi="ar"/>
        </w:rPr>
        <w:t>的主厂房、电气综合楼、网控楼等重要建筑，应全部划入重点设防类，考虑抗震鉴定和加固等措施。</w:t>
      </w:r>
    </w:p>
    <w:p>
      <w:pPr>
        <w:spacing w:line="576" w:lineRule="exact"/>
        <w:ind w:firstLine="640" w:firstLineChars="200"/>
        <w:rPr>
          <w:bCs/>
          <w:kern w:val="28"/>
          <w:szCs w:val="32"/>
          <w:lang w:bidi="ar"/>
        </w:rPr>
      </w:pPr>
      <w:r>
        <w:rPr>
          <w:bCs/>
          <w:kern w:val="28"/>
          <w:szCs w:val="32"/>
          <w:lang w:bidi="ar"/>
        </w:rPr>
        <w:t>2</w:t>
      </w:r>
      <w:r>
        <w:rPr>
          <w:rFonts w:hint="default" w:ascii="Times New Roman" w:hAnsi="Times New Roman" w:eastAsia="方正仿宋_GBK" w:cs="Times New Roman"/>
          <w:b w:val="0"/>
          <w:bCs w:val="0"/>
          <w:sz w:val="32"/>
          <w:szCs w:val="32"/>
          <w:lang w:val="en-US" w:eastAsia="zh-CN"/>
        </w:rPr>
        <w:t>．</w:t>
      </w:r>
      <w:r>
        <w:rPr>
          <w:bCs/>
          <w:kern w:val="28"/>
          <w:szCs w:val="32"/>
          <w:lang w:bidi="ar"/>
        </w:rPr>
        <w:t>330kV及以上的变电所、330kV及以上的换流站工程和220kV及以下枢纽变电所的主控通信楼、配电装置楼、就地继电器室等建筑工程，应划入重点设防类。</w:t>
      </w:r>
    </w:p>
    <w:p>
      <w:pPr>
        <w:spacing w:line="576" w:lineRule="exact"/>
        <w:ind w:firstLine="640" w:firstLineChars="200"/>
        <w:rPr>
          <w:bCs/>
          <w:kern w:val="28"/>
          <w:szCs w:val="32"/>
          <w:lang w:bidi="ar"/>
        </w:rPr>
      </w:pPr>
      <w:r>
        <w:rPr>
          <w:bCs/>
          <w:kern w:val="28"/>
          <w:szCs w:val="32"/>
          <w:lang w:bidi="ar"/>
        </w:rPr>
        <w:t>3</w:t>
      </w:r>
      <w:r>
        <w:rPr>
          <w:rFonts w:hint="default" w:ascii="Times New Roman" w:hAnsi="Times New Roman" w:eastAsia="方正仿宋_GBK" w:cs="Times New Roman"/>
          <w:b w:val="0"/>
          <w:bCs w:val="0"/>
          <w:sz w:val="32"/>
          <w:szCs w:val="32"/>
          <w:lang w:val="en-US" w:eastAsia="zh-CN"/>
        </w:rPr>
        <w:t>．</w:t>
      </w:r>
      <w:r>
        <w:rPr>
          <w:bCs/>
          <w:kern w:val="28"/>
          <w:szCs w:val="32"/>
          <w:lang w:bidi="ar"/>
        </w:rPr>
        <w:t>对于具有可能发生严重次生灾害的建（构）筑物，其电力设施应做好地震应急预警保护系统的灾后应急供电保障。</w:t>
      </w:r>
    </w:p>
    <w:p>
      <w:pPr>
        <w:spacing w:line="576" w:lineRule="exact"/>
        <w:ind w:firstLine="640" w:firstLineChars="200"/>
        <w:rPr>
          <w:bCs/>
          <w:kern w:val="28"/>
          <w:szCs w:val="32"/>
          <w:lang w:bidi="ar"/>
        </w:rPr>
      </w:pPr>
      <w:r>
        <w:rPr>
          <w:bCs/>
          <w:kern w:val="28"/>
          <w:szCs w:val="32"/>
          <w:lang w:bidi="ar"/>
        </w:rPr>
        <w:t>4</w:t>
      </w:r>
      <w:bookmarkStart w:id="158" w:name="_Hlk155967077"/>
      <w:r>
        <w:rPr>
          <w:rFonts w:hint="default" w:ascii="Times New Roman" w:hAnsi="Times New Roman" w:eastAsia="方正仿宋_GBK" w:cs="Times New Roman"/>
          <w:b w:val="0"/>
          <w:bCs w:val="0"/>
          <w:sz w:val="32"/>
          <w:szCs w:val="32"/>
          <w:lang w:val="en-US" w:eastAsia="zh-CN"/>
        </w:rPr>
        <w:t>．</w:t>
      </w:r>
      <w:r>
        <w:rPr>
          <w:bCs/>
          <w:kern w:val="28"/>
          <w:szCs w:val="32"/>
          <w:lang w:bidi="ar"/>
        </w:rPr>
        <w:t>对新建220kV及以上变电站主控室内的控制盘、屏、柜的底部及高压电磁设备，必要时可通过设置减震装置等手段改善其抗震能力，保障其抗震安全</w:t>
      </w:r>
      <w:bookmarkEnd w:id="158"/>
      <w:r>
        <w:rPr>
          <w:bCs/>
          <w:kern w:val="28"/>
          <w:szCs w:val="32"/>
          <w:lang w:bidi="ar"/>
        </w:rPr>
        <w:t>。</w:t>
      </w:r>
    </w:p>
    <w:p>
      <w:pPr>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bCs/>
          <w:kern w:val="28"/>
          <w:szCs w:val="32"/>
          <w:lang w:bidi="ar"/>
        </w:rPr>
      </w:pPr>
      <w:r>
        <w:rPr>
          <w:bCs/>
          <w:kern w:val="28"/>
          <w:szCs w:val="32"/>
          <w:lang w:bidi="ar"/>
        </w:rPr>
        <w:t>5</w:t>
      </w:r>
      <w:bookmarkStart w:id="159" w:name="_Hlk155968263"/>
      <w:r>
        <w:rPr>
          <w:rFonts w:hint="default" w:ascii="Times New Roman" w:hAnsi="Times New Roman" w:eastAsia="方正仿宋_GBK" w:cs="Times New Roman"/>
          <w:b w:val="0"/>
          <w:bCs w:val="0"/>
          <w:sz w:val="32"/>
          <w:szCs w:val="32"/>
          <w:lang w:val="en-US" w:eastAsia="zh-CN"/>
        </w:rPr>
        <w:t>．</w:t>
      </w:r>
      <w:r>
        <w:rPr>
          <w:bCs/>
          <w:kern w:val="28"/>
          <w:szCs w:val="32"/>
          <w:lang w:bidi="ar"/>
        </w:rPr>
        <w:t>对需新埋地铺设的供电线路，建议在规划设计环节采用蛇形铺设方式，以增加线路的变形能力，并对相应埋设管线的管廊结构按照设计要求采取相应的抗震设计及措施</w:t>
      </w:r>
      <w:bookmarkEnd w:id="159"/>
      <w:r>
        <w:rPr>
          <w:bCs/>
          <w:kern w:val="28"/>
          <w:szCs w:val="32"/>
          <w:lang w:bidi="ar"/>
        </w:rPr>
        <w:t>。</w:t>
      </w:r>
    </w:p>
    <w:p>
      <w:pPr>
        <w:pStyle w:val="5"/>
        <w:keepNext/>
        <w:keepLines/>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第二十八条  </w:t>
      </w:r>
      <w:bookmarkStart w:id="160" w:name="_Toc156307010"/>
      <w:bookmarkStart w:id="161" w:name="_Toc158038227"/>
      <w:bookmarkStart w:id="162" w:name="_Toc158038131"/>
      <w:r>
        <w:rPr>
          <w:rFonts w:hint="eastAsia" w:ascii="方正黑体_GBK" w:hAnsi="Times New Roman" w:eastAsia="方正黑体_GBK" w:cstheme="minorBidi"/>
          <w:b w:val="0"/>
          <w:bCs/>
          <w:kern w:val="0"/>
          <w:sz w:val="32"/>
          <w:szCs w:val="32"/>
          <w:lang w:val="en-US" w:eastAsia="zh-CN" w:bidi="ar-SA"/>
        </w:rPr>
        <w:t>供水系统</w:t>
      </w:r>
      <w:bookmarkEnd w:id="160"/>
      <w:bookmarkEnd w:id="161"/>
      <w:bookmarkEnd w:id="162"/>
    </w:p>
    <w:p>
      <w:pPr>
        <w:pStyle w:val="2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Times New Roman" w:hAnsi="Times New Roman" w:eastAsia="方正仿宋_GBK"/>
          <w:sz w:val="32"/>
          <w:szCs w:val="32"/>
          <w:u w:val="none"/>
        </w:rPr>
      </w:pPr>
      <w:r>
        <w:rPr>
          <w:rFonts w:ascii="Times New Roman" w:hAnsi="Times New Roman" w:eastAsia="方正仿宋_GBK"/>
          <w:sz w:val="32"/>
          <w:szCs w:val="32"/>
          <w:u w:val="none"/>
        </w:rPr>
        <w:t>1</w:t>
      </w:r>
      <w:r>
        <w:rPr>
          <w:rFonts w:hint="default" w:ascii="Times New Roman" w:hAnsi="Times New Roman" w:eastAsia="方正仿宋_GBK" w:cs="Times New Roman"/>
          <w:b w:val="0"/>
          <w:bCs w:val="0"/>
          <w:sz w:val="32"/>
          <w:szCs w:val="32"/>
          <w:lang w:val="en-US" w:eastAsia="zh-CN"/>
        </w:rPr>
        <w:t>．</w:t>
      </w:r>
      <w:r>
        <w:rPr>
          <w:rFonts w:ascii="Times New Roman" w:hAnsi="Times New Roman" w:eastAsia="方正仿宋_GBK"/>
          <w:sz w:val="32"/>
          <w:szCs w:val="32"/>
          <w:u w:val="none"/>
        </w:rPr>
        <w:t>中心城区主要水厂的主要取水设施、输水管线及主要水处理建筑物、配水井、送水泵房、中控室、化验室等建筑工程，抗震设防等级不应低于重点设防类。对给水建（构）筑物应制定抗震鉴定和加固计划，制定抗震防灾对策和措施。</w:t>
      </w:r>
    </w:p>
    <w:p>
      <w:pPr>
        <w:pStyle w:val="2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Times New Roman" w:hAnsi="Times New Roman" w:eastAsia="方正仿宋_GBK"/>
          <w:sz w:val="32"/>
          <w:szCs w:val="32"/>
        </w:rPr>
      </w:pPr>
      <w:r>
        <w:rPr>
          <w:rFonts w:ascii="Times New Roman" w:hAnsi="Times New Roman" w:eastAsia="方正仿宋_GBK"/>
          <w:sz w:val="32"/>
          <w:szCs w:val="32"/>
          <w:u w:val="none"/>
        </w:rPr>
        <w:t>2</w:t>
      </w:r>
      <w:r>
        <w:rPr>
          <w:rFonts w:hint="default" w:ascii="Times New Roman" w:hAnsi="Times New Roman" w:eastAsia="方正仿宋_GBK" w:cs="Times New Roman"/>
          <w:b w:val="0"/>
          <w:bCs w:val="0"/>
          <w:sz w:val="32"/>
          <w:szCs w:val="32"/>
          <w:lang w:val="en-US" w:eastAsia="zh-CN"/>
        </w:rPr>
        <w:t>．</w:t>
      </w:r>
      <w:r>
        <w:rPr>
          <w:rFonts w:ascii="Times New Roman" w:hAnsi="Times New Roman" w:eastAsia="方正仿宋_GBK"/>
          <w:sz w:val="32"/>
          <w:szCs w:val="32"/>
          <w:u w:val="none"/>
        </w:rPr>
        <w:t>供水主干管网应布设为多连通环状管网；给水设施应采用对抗震有利的结构。对于独立节点的枝状管网，应逐步将枝状供水网改造为环状供水管网。</w:t>
      </w:r>
      <w:r>
        <w:rPr>
          <w:rFonts w:ascii="Times New Roman" w:hAnsi="Times New Roman" w:eastAsia="方正仿宋_GBK"/>
          <w:sz w:val="32"/>
          <w:szCs w:val="32"/>
        </w:rPr>
        <w:t>在进行管网改造和铺设新管网时，建议遵循下述抗震防灾要求：</w:t>
      </w:r>
    </w:p>
    <w:p>
      <w:pPr>
        <w:pStyle w:val="2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ascii="Times New Roman" w:hAnsi="Times New Roman" w:eastAsia="方正仿宋_GBK"/>
          <w:sz w:val="32"/>
          <w:szCs w:val="32"/>
        </w:rPr>
      </w:pPr>
      <w:r>
        <w:rPr>
          <w:rFonts w:ascii="Times New Roman" w:hAnsi="Times New Roman" w:eastAsia="方正仿宋_GBK"/>
          <w:sz w:val="32"/>
          <w:szCs w:val="32"/>
        </w:rPr>
        <w:t>（1）选用抗震性能较好的管材（如钢管、PE管、新型优质管材）和柔性管道接头；结合供水系统的整修，制定方案逐步淘汰小管径普通接头铸铁管，并对现有管网中此类管材和接头结合日常维修和城市建设进行全面改造；</w:t>
      </w:r>
    </w:p>
    <w:p>
      <w:pPr>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szCs w:val="32"/>
        </w:rPr>
      </w:pPr>
      <w:r>
        <w:rPr>
          <w:szCs w:val="32"/>
        </w:rPr>
        <w:t>（2）对于建设年代较长、管材为砼、铸铁管等抗震性能较差的管段结合城市建设逐步改造。</w:t>
      </w:r>
    </w:p>
    <w:p>
      <w:pPr>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szCs w:val="32"/>
        </w:rPr>
      </w:pPr>
      <w:r>
        <w:rPr>
          <w:szCs w:val="32"/>
        </w:rPr>
        <w:t>3</w:t>
      </w:r>
      <w:r>
        <w:rPr>
          <w:rFonts w:hint="default" w:ascii="Times New Roman" w:hAnsi="Times New Roman" w:eastAsia="方正仿宋_GBK" w:cs="Times New Roman"/>
          <w:b w:val="0"/>
          <w:bCs w:val="0"/>
          <w:sz w:val="32"/>
          <w:szCs w:val="32"/>
          <w:lang w:val="en-US" w:eastAsia="zh-CN"/>
        </w:rPr>
        <w:t>．</w:t>
      </w:r>
      <w:r>
        <w:rPr>
          <w:szCs w:val="32"/>
        </w:rPr>
        <w:t>定期监测特殊地带（如软土区、跨河）管道的运行状态，保障险情得到及时处理。</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第二十九条  </w:t>
      </w:r>
      <w:bookmarkStart w:id="163" w:name="_Toc156307011"/>
      <w:bookmarkStart w:id="164" w:name="_Toc158038228"/>
      <w:bookmarkStart w:id="165" w:name="_Toc158038132"/>
      <w:r>
        <w:rPr>
          <w:rFonts w:hint="eastAsia" w:ascii="方正黑体_GBK" w:hAnsi="Times New Roman" w:eastAsia="方正黑体_GBK" w:cstheme="minorBidi"/>
          <w:b w:val="0"/>
          <w:bCs/>
          <w:kern w:val="0"/>
          <w:sz w:val="32"/>
          <w:szCs w:val="32"/>
          <w:lang w:val="en-US" w:eastAsia="zh-CN" w:bidi="ar-SA"/>
        </w:rPr>
        <w:t>交通系统</w:t>
      </w:r>
      <w:bookmarkEnd w:id="163"/>
      <w:bookmarkEnd w:id="164"/>
      <w:bookmarkEnd w:id="165"/>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9"/>
        <w:rPr>
          <w:rFonts w:hint="default" w:ascii="Times New Roman" w:hAnsi="Times New Roman" w:eastAsia="方正仿宋_GBK" w:cs="Times New Roman"/>
          <w:szCs w:val="32"/>
          <w:u w:val="single"/>
          <w:lang w:eastAsia="zh-CN"/>
        </w:rPr>
      </w:pPr>
      <w:r>
        <w:rPr>
          <w:rFonts w:hint="default" w:ascii="Times New Roman" w:hAnsi="Times New Roman" w:eastAsia="方正仿宋_GBK" w:cs="Times New Roman"/>
          <w:szCs w:val="32"/>
        </w:rPr>
        <w:t>1</w:t>
      </w:r>
      <w:r>
        <w:rPr>
          <w:rFonts w:hint="default" w:ascii="Times New Roman" w:hAnsi="Times New Roman" w:eastAsia="方正仿宋_GBK" w:cs="Times New Roman"/>
          <w:b w:val="0"/>
          <w:bCs w:val="0"/>
          <w:sz w:val="32"/>
          <w:szCs w:val="32"/>
          <w:lang w:val="en-US" w:eastAsia="zh-CN"/>
        </w:rPr>
        <w:t>．</w:t>
      </w:r>
      <w:r>
        <w:rPr>
          <w:rFonts w:hint="default" w:ascii="Times New Roman" w:hAnsi="Times New Roman" w:eastAsia="方正仿宋_GBK" w:cs="Times New Roman"/>
          <w:szCs w:val="32"/>
        </w:rPr>
        <w:t>桥梁工程</w:t>
      </w:r>
      <w:r>
        <w:rPr>
          <w:rFonts w:hint="default" w:ascii="Times New Roman" w:hAnsi="Times New Roman" w:eastAsia="方正仿宋_GBK" w:cs="Times New Roman"/>
          <w:szCs w:val="32"/>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9"/>
        <w:rPr>
          <w:szCs w:val="32"/>
          <w:lang w:bidi="ar"/>
        </w:rPr>
      </w:pPr>
      <w:r>
        <w:rPr>
          <w:szCs w:val="32"/>
          <w:lang w:bidi="ar"/>
        </w:rPr>
        <w:t>中心城区内城北大桥、綦江大桥、沱湾大桥、转关口大桥、三江大桥、彩虹桥等大跨度桥梁，应做好桥梁定期检测和评估，制定相应的维修、加固和保护的措施。</w:t>
      </w: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9"/>
        <w:rPr>
          <w:szCs w:val="32"/>
          <w:lang w:bidi="ar"/>
        </w:rPr>
      </w:pPr>
      <w:r>
        <w:rPr>
          <w:szCs w:val="32"/>
          <w:lang w:bidi="ar"/>
        </w:rPr>
        <w:t>新建道路工程及桥梁（包括立交桥）建设严格按照国家有关规范标准的要求执行，在城市交通网络中占关键地位、承担交通量大的大跨度桥应按特殊设防类建筑工程设防，处于交通枢纽的其余桥梁应按重点设防类设防。</w:t>
      </w: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9"/>
        <w:rPr>
          <w:rFonts w:hint="eastAsia" w:ascii="Times New Roman" w:hAnsi="Times New Roman" w:eastAsia="方正仿宋_GBK" w:cs="Times New Roman"/>
          <w:szCs w:val="32"/>
          <w:lang w:eastAsia="zh-CN"/>
        </w:rPr>
      </w:pPr>
      <w:r>
        <w:rPr>
          <w:rFonts w:hint="eastAsia" w:ascii="Times New Roman" w:hAnsi="Times New Roman" w:eastAsia="方正仿宋_GBK" w:cs="Times New Roman"/>
          <w:szCs w:val="32"/>
        </w:rPr>
        <w:t>2</w:t>
      </w:r>
      <w:r>
        <w:rPr>
          <w:rFonts w:hint="default" w:ascii="Times New Roman" w:hAnsi="Times New Roman" w:eastAsia="方正仿宋_GBK" w:cs="Times New Roman"/>
          <w:szCs w:val="32"/>
          <w:lang w:val="en-US" w:eastAsia="zh-CN"/>
        </w:rPr>
        <w:t>．</w:t>
      </w:r>
      <w:r>
        <w:rPr>
          <w:rFonts w:hint="eastAsia" w:ascii="Times New Roman" w:hAnsi="Times New Roman" w:eastAsia="方正仿宋_GBK" w:cs="Times New Roman"/>
          <w:szCs w:val="32"/>
        </w:rPr>
        <w:t>公路、铁路及站场</w:t>
      </w:r>
      <w:r>
        <w:rPr>
          <w:rFonts w:hint="eastAsia" w:ascii="Times New Roman" w:hAnsi="Times New Roman" w:eastAsia="方正仿宋_GBK" w:cs="Times New Roman"/>
          <w:szCs w:val="32"/>
          <w:lang w:eastAsia="zh-CN"/>
        </w:rPr>
        <w:t>。</w:t>
      </w:r>
    </w:p>
    <w:p>
      <w:pPr>
        <w:pStyle w:val="20"/>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9"/>
        <w:rPr>
          <w:rFonts w:eastAsia="方正仿宋_GBK"/>
          <w:sz w:val="32"/>
          <w:szCs w:val="32"/>
          <w:lang w:bidi="ar"/>
        </w:rPr>
      </w:pPr>
      <w:r>
        <w:rPr>
          <w:rFonts w:eastAsia="方正仿宋_GBK"/>
          <w:sz w:val="32"/>
          <w:szCs w:val="32"/>
          <w:lang w:bidi="ar"/>
        </w:rPr>
        <w:t>对现状一、二、三级防灾道路进行抗震性能评价，并据此制定加固改造计划。</w:t>
      </w:r>
    </w:p>
    <w:p>
      <w:pPr>
        <w:pStyle w:val="20"/>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9"/>
        <w:rPr>
          <w:rFonts w:eastAsia="方正仿宋_GBK"/>
          <w:sz w:val="32"/>
          <w:szCs w:val="32"/>
          <w:lang w:bidi="ar"/>
        </w:rPr>
      </w:pPr>
      <w:r>
        <w:rPr>
          <w:rFonts w:eastAsia="方正仿宋_GBK"/>
          <w:sz w:val="32"/>
          <w:szCs w:val="32"/>
          <w:lang w:bidi="ar"/>
        </w:rPr>
        <w:t>新建公路、铁路站场的生产建筑应根据其在交通运输线路中的地位、修复难易程度和对抢险救灾、恢复生产所起的作用划分抗震设防类别。</w:t>
      </w:r>
    </w:p>
    <w:p>
      <w:pPr>
        <w:pStyle w:val="20"/>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9"/>
        <w:rPr>
          <w:rFonts w:eastAsia="方正仿宋_GBK"/>
          <w:sz w:val="32"/>
          <w:szCs w:val="32"/>
          <w:lang w:bidi="ar"/>
        </w:rPr>
      </w:pPr>
      <w:r>
        <w:rPr>
          <w:rFonts w:eastAsia="方正仿宋_GBK"/>
          <w:sz w:val="32"/>
          <w:szCs w:val="32"/>
          <w:lang w:bidi="ar"/>
        </w:rPr>
        <w:t>铁路建筑中，高速铁路、客运专线（含城际铁路）、客货共线</w:t>
      </w:r>
      <w:r>
        <w:rPr>
          <w:rFonts w:hint="eastAsia" w:ascii="宋体" w:hAnsi="宋体" w:cs="宋体"/>
          <w:sz w:val="32"/>
          <w:szCs w:val="32"/>
          <w:lang w:bidi="ar"/>
        </w:rPr>
        <w:t>Ⅰ</w:t>
      </w:r>
      <w:r>
        <w:rPr>
          <w:rFonts w:eastAsia="方正仿宋_GBK"/>
          <w:sz w:val="32"/>
          <w:szCs w:val="32"/>
          <w:lang w:bidi="ar"/>
        </w:rPr>
        <w:t>、</w:t>
      </w:r>
      <w:r>
        <w:rPr>
          <w:rFonts w:hint="eastAsia" w:ascii="宋体" w:hAnsi="宋体" w:cs="宋体"/>
          <w:sz w:val="32"/>
          <w:szCs w:val="32"/>
          <w:lang w:bidi="ar"/>
        </w:rPr>
        <w:t>Ⅱ</w:t>
      </w:r>
      <w:r>
        <w:rPr>
          <w:rFonts w:eastAsia="方正仿宋_GBK"/>
          <w:sz w:val="32"/>
          <w:szCs w:val="32"/>
          <w:lang w:bidi="ar"/>
        </w:rPr>
        <w:t>级干线和货运专线铁路枢纽的行车调度、转运、通信、信号、供电、供水建筑，以及特大型站和最高聚集人数很多的大型站的客运候车楼，抗震设防类别应划为重点设防类。</w:t>
      </w:r>
    </w:p>
    <w:p>
      <w:pPr>
        <w:pStyle w:val="20"/>
        <w:keepNext w:val="0"/>
        <w:keepLines w:val="0"/>
        <w:pageBreakBefore w:val="0"/>
        <w:widowControl w:val="0"/>
        <w:kinsoku/>
        <w:wordWrap/>
        <w:overflowPunct/>
        <w:topLinePunct w:val="0"/>
        <w:autoSpaceDE/>
        <w:autoSpaceDN/>
        <w:bidi w:val="0"/>
        <w:adjustRightInd/>
        <w:snapToGrid/>
        <w:spacing w:line="576" w:lineRule="exact"/>
        <w:ind w:right="0" w:rightChars="0"/>
        <w:jc w:val="both"/>
        <w:textAlignment w:val="auto"/>
        <w:outlineLvl w:val="9"/>
        <w:rPr>
          <w:rFonts w:eastAsia="方正仿宋_GBK"/>
          <w:sz w:val="32"/>
          <w:szCs w:val="32"/>
          <w:lang w:bidi="ar"/>
        </w:rPr>
      </w:pPr>
      <w:r>
        <w:rPr>
          <w:rFonts w:eastAsia="方正仿宋_GBK"/>
          <w:sz w:val="32"/>
          <w:szCs w:val="32"/>
          <w:lang w:bidi="ar"/>
        </w:rPr>
        <w:t>公路建筑中，一级长途汽车站客运候车楼，抗震设防类别应为重点设防类。</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第三十条  </w:t>
      </w:r>
      <w:bookmarkStart w:id="166" w:name="_Toc156307012"/>
      <w:bookmarkStart w:id="167" w:name="_Toc158038229"/>
      <w:bookmarkStart w:id="168" w:name="_Toc158038133"/>
      <w:r>
        <w:rPr>
          <w:rFonts w:hint="eastAsia" w:ascii="方正黑体_GBK" w:hAnsi="Times New Roman" w:eastAsia="方正黑体_GBK" w:cstheme="minorBidi"/>
          <w:b w:val="0"/>
          <w:bCs/>
          <w:kern w:val="0"/>
          <w:sz w:val="32"/>
          <w:szCs w:val="32"/>
          <w:lang w:val="en-US" w:eastAsia="zh-CN" w:bidi="ar-SA"/>
        </w:rPr>
        <w:t>医疗系统</w:t>
      </w:r>
      <w:bookmarkEnd w:id="166"/>
      <w:bookmarkEnd w:id="167"/>
      <w:bookmarkEnd w:id="168"/>
    </w:p>
    <w:p>
      <w:pPr>
        <w:pStyle w:val="22"/>
        <w:widowControl/>
        <w:spacing w:line="576" w:lineRule="exact"/>
        <w:ind w:left="0" w:firstLine="640"/>
        <w:rPr>
          <w:rFonts w:ascii="Times New Roman" w:hAnsi="Times New Roman" w:eastAsia="方正仿宋_GBK"/>
          <w:sz w:val="32"/>
          <w:szCs w:val="32"/>
          <w:lang w:bidi="ar"/>
        </w:rPr>
      </w:pPr>
      <w:r>
        <w:rPr>
          <w:rFonts w:ascii="Times New Roman" w:hAnsi="Times New Roman" w:eastAsia="方正仿宋_GBK"/>
          <w:sz w:val="32"/>
          <w:szCs w:val="32"/>
          <w:lang w:bidi="ar"/>
        </w:rPr>
        <w:t>医疗卫生系统中的新建和已建建筑应符合建筑物抗震设防</w:t>
      </w:r>
      <w:r>
        <w:rPr>
          <w:rFonts w:ascii="Times New Roman" w:hAnsi="Times New Roman" w:eastAsia="方正仿宋_GBK"/>
          <w:spacing w:val="-6"/>
          <w:sz w:val="32"/>
          <w:szCs w:val="32"/>
          <w:lang w:bidi="ar"/>
        </w:rPr>
        <w:t>的要求；对医疗卫生系统中的重要建筑，应满足下列抗震防灾要</w:t>
      </w:r>
      <w:r>
        <w:rPr>
          <w:rFonts w:ascii="Times New Roman" w:hAnsi="Times New Roman" w:eastAsia="方正仿宋_GBK"/>
          <w:sz w:val="32"/>
          <w:szCs w:val="32"/>
          <w:lang w:bidi="ar"/>
        </w:rPr>
        <w:t>求：</w:t>
      </w:r>
    </w:p>
    <w:p>
      <w:pPr>
        <w:pStyle w:val="22"/>
        <w:widowControl/>
        <w:spacing w:line="576" w:lineRule="exact"/>
        <w:ind w:left="0" w:firstLine="640"/>
        <w:rPr>
          <w:rFonts w:ascii="Times New Roman" w:hAnsi="Times New Roman" w:eastAsia="方正仿宋_GBK"/>
          <w:sz w:val="32"/>
          <w:szCs w:val="32"/>
          <w:lang w:bidi="ar"/>
        </w:rPr>
      </w:pPr>
      <w:r>
        <w:rPr>
          <w:rFonts w:hint="eastAsia" w:ascii="Times New Roman" w:hAnsi="Times New Roman" w:eastAsia="方正仿宋_GBK"/>
          <w:sz w:val="32"/>
          <w:szCs w:val="32"/>
          <w:lang w:val="en-US" w:eastAsia="zh-CN" w:bidi="ar"/>
        </w:rPr>
        <w:t>1</w:t>
      </w:r>
      <w:r>
        <w:rPr>
          <w:rFonts w:hint="default" w:ascii="Times New Roman" w:hAnsi="Times New Roman" w:eastAsia="方正仿宋_GBK" w:cs="Times New Roman"/>
          <w:b w:val="0"/>
          <w:bCs w:val="0"/>
          <w:sz w:val="32"/>
          <w:szCs w:val="32"/>
          <w:lang w:val="en-US" w:eastAsia="zh-CN"/>
        </w:rPr>
        <w:t>．</w:t>
      </w:r>
      <w:r>
        <w:rPr>
          <w:rFonts w:ascii="Times New Roman" w:hAnsi="Times New Roman" w:eastAsia="方正仿宋_GBK"/>
          <w:sz w:val="32"/>
          <w:szCs w:val="32"/>
          <w:lang w:bidi="ar"/>
        </w:rPr>
        <w:t>三级医院中承担特别重要医疗任务的门诊、医技、住院用房，应按特殊设防类进行抗震设防；</w:t>
      </w:r>
    </w:p>
    <w:p>
      <w:pPr>
        <w:pStyle w:val="22"/>
        <w:widowControl/>
        <w:spacing w:line="576" w:lineRule="exact"/>
        <w:ind w:left="0" w:firstLine="640"/>
        <w:rPr>
          <w:rFonts w:ascii="Times New Roman" w:hAnsi="Times New Roman" w:eastAsia="方正仿宋_GBK"/>
          <w:sz w:val="32"/>
          <w:szCs w:val="32"/>
          <w:lang w:bidi="ar"/>
        </w:rPr>
      </w:pPr>
      <w:r>
        <w:rPr>
          <w:rFonts w:hint="eastAsia" w:ascii="Times New Roman" w:hAnsi="Times New Roman" w:eastAsia="方正仿宋_GBK"/>
          <w:sz w:val="32"/>
          <w:szCs w:val="32"/>
          <w:lang w:val="en-US" w:eastAsia="zh-CN" w:bidi="ar"/>
        </w:rPr>
        <w:t>2</w:t>
      </w:r>
      <w:r>
        <w:rPr>
          <w:rFonts w:hint="default" w:ascii="Times New Roman" w:hAnsi="Times New Roman" w:eastAsia="方正仿宋_GBK" w:cs="Times New Roman"/>
          <w:b w:val="0"/>
          <w:bCs w:val="0"/>
          <w:sz w:val="32"/>
          <w:szCs w:val="32"/>
          <w:lang w:val="en-US" w:eastAsia="zh-CN"/>
        </w:rPr>
        <w:t>．</w:t>
      </w:r>
      <w:r>
        <w:rPr>
          <w:rFonts w:ascii="Times New Roman" w:hAnsi="Times New Roman" w:eastAsia="方正仿宋_GBK"/>
          <w:sz w:val="32"/>
          <w:szCs w:val="32"/>
          <w:lang w:bidi="ar"/>
        </w:rPr>
        <w:t>二、三级医院的门诊、医技、住院用房，具有外科手术室或急诊科的乡镇卫生院的医疗用房，县级及以上急救中心的指挥、通信、运输系统的重要建筑，区级及以上的独立采供血机构的建筑，应按重点设防类进行抗震设防。</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第三十一条  </w:t>
      </w:r>
      <w:bookmarkStart w:id="169" w:name="_Toc156307013"/>
      <w:bookmarkStart w:id="170" w:name="_Toc158038230"/>
      <w:bookmarkStart w:id="171" w:name="_Toc158038134"/>
      <w:r>
        <w:rPr>
          <w:rFonts w:hint="eastAsia" w:ascii="方正黑体_GBK" w:hAnsi="Times New Roman" w:eastAsia="方正黑体_GBK" w:cstheme="minorBidi"/>
          <w:b w:val="0"/>
          <w:bCs/>
          <w:kern w:val="0"/>
          <w:sz w:val="32"/>
          <w:szCs w:val="32"/>
          <w:lang w:val="en-US" w:eastAsia="zh-CN" w:bidi="ar-SA"/>
        </w:rPr>
        <w:t>通</w:t>
      </w:r>
      <w:r>
        <w:rPr>
          <w:rFonts w:hint="eastAsia" w:ascii="方正黑体_GBK" w:eastAsia="方正黑体_GBK" w:cstheme="minorBidi"/>
          <w:b w:val="0"/>
          <w:bCs/>
          <w:kern w:val="0"/>
          <w:sz w:val="32"/>
          <w:szCs w:val="32"/>
          <w:lang w:val="en-US" w:eastAsia="zh-CN" w:bidi="ar-SA"/>
        </w:rPr>
        <w:t>信</w:t>
      </w:r>
      <w:r>
        <w:rPr>
          <w:rFonts w:hint="eastAsia" w:ascii="方正黑体_GBK" w:hAnsi="Times New Roman" w:eastAsia="方正黑体_GBK" w:cstheme="minorBidi"/>
          <w:b w:val="0"/>
          <w:bCs/>
          <w:kern w:val="0"/>
          <w:sz w:val="32"/>
          <w:szCs w:val="32"/>
          <w:lang w:val="en-US" w:eastAsia="zh-CN" w:bidi="ar-SA"/>
        </w:rPr>
        <w:t>系统</w:t>
      </w:r>
      <w:bookmarkEnd w:id="169"/>
      <w:bookmarkEnd w:id="170"/>
      <w:bookmarkEnd w:id="171"/>
    </w:p>
    <w:p>
      <w:pPr>
        <w:spacing w:line="576" w:lineRule="exact"/>
        <w:ind w:firstLine="640" w:firstLineChars="200"/>
        <w:rPr>
          <w:kern w:val="44"/>
          <w:szCs w:val="32"/>
        </w:rPr>
      </w:pPr>
      <w:r>
        <w:rPr>
          <w:kern w:val="44"/>
          <w:szCs w:val="32"/>
        </w:rPr>
        <w:t>通信建筑中的新建和在役建筑应符合建筑物抗震设防要求，通信枢纽楼及通信生产楼、应急通信用房均应划为重点设防类。</w:t>
      </w:r>
    </w:p>
    <w:p>
      <w:pPr>
        <w:spacing w:line="576" w:lineRule="exact"/>
        <w:ind w:firstLine="640" w:firstLineChars="200"/>
        <w:rPr>
          <w:rFonts w:hint="eastAsia" w:ascii="Times New Roman" w:hAnsi="Times New Roman" w:eastAsia="方正仿宋_GBK" w:cs="Calibri"/>
          <w:kern w:val="2"/>
          <w:sz w:val="32"/>
          <w:szCs w:val="32"/>
          <w:lang w:val="en-US" w:eastAsia="zh-CN" w:bidi="ar"/>
        </w:rPr>
      </w:pPr>
      <w:r>
        <w:rPr>
          <w:rFonts w:hint="default" w:ascii="Times New Roman" w:hAnsi="Times New Roman" w:eastAsia="方正仿宋_GBK" w:cs="Calibri"/>
          <w:kern w:val="2"/>
          <w:sz w:val="32"/>
          <w:szCs w:val="32"/>
          <w:lang w:val="en-US" w:eastAsia="zh-CN" w:bidi="ar"/>
        </w:rPr>
        <w:t>1．保障通</w:t>
      </w:r>
      <w:r>
        <w:rPr>
          <w:rFonts w:hint="eastAsia" w:cs="Calibri"/>
          <w:kern w:val="2"/>
          <w:sz w:val="32"/>
          <w:szCs w:val="32"/>
          <w:lang w:val="en-US" w:eastAsia="zh-CN" w:bidi="ar"/>
        </w:rPr>
        <w:t>信</w:t>
      </w:r>
      <w:r>
        <w:rPr>
          <w:rFonts w:hint="default" w:ascii="Times New Roman" w:hAnsi="Times New Roman" w:eastAsia="方正仿宋_GBK" w:cs="Calibri"/>
          <w:kern w:val="2"/>
          <w:sz w:val="32"/>
          <w:szCs w:val="32"/>
          <w:lang w:val="en-US" w:eastAsia="zh-CN" w:bidi="ar"/>
        </w:rPr>
        <w:t>系统建设工程的抗震能力。</w:t>
      </w:r>
    </w:p>
    <w:p>
      <w:pPr>
        <w:numPr>
          <w:ilvl w:val="0"/>
          <w:numId w:val="0"/>
        </w:numPr>
        <w:spacing w:line="576" w:lineRule="exact"/>
        <w:ind w:leftChars="200"/>
        <w:rPr>
          <w:kern w:val="44"/>
          <w:szCs w:val="32"/>
        </w:rPr>
      </w:pPr>
      <w:r>
        <w:rPr>
          <w:rFonts w:hint="default" w:ascii="Times New Roman" w:hAnsi="Times New Roman" w:cs="Times New Roman"/>
          <w:kern w:val="44"/>
          <w:szCs w:val="32"/>
          <w:lang w:eastAsia="zh-CN"/>
        </w:rPr>
        <w:t>（</w:t>
      </w:r>
      <w:r>
        <w:rPr>
          <w:rFonts w:hint="default" w:ascii="Times New Roman" w:hAnsi="Times New Roman" w:cs="Times New Roman"/>
          <w:kern w:val="44"/>
          <w:szCs w:val="32"/>
          <w:lang w:val="en-US" w:eastAsia="zh-CN"/>
        </w:rPr>
        <w:t>1</w:t>
      </w:r>
      <w:r>
        <w:rPr>
          <w:rFonts w:hint="default" w:ascii="Times New Roman" w:hAnsi="Times New Roman" w:cs="Times New Roman"/>
          <w:kern w:val="44"/>
          <w:szCs w:val="32"/>
          <w:lang w:eastAsia="zh-CN"/>
        </w:rPr>
        <w:t>）</w:t>
      </w:r>
      <w:r>
        <w:rPr>
          <w:kern w:val="44"/>
          <w:szCs w:val="32"/>
        </w:rPr>
        <w:t>对重要的通信建筑制定抗震鉴定和加固计划；</w:t>
      </w:r>
    </w:p>
    <w:p>
      <w:pPr>
        <w:numPr>
          <w:ilvl w:val="0"/>
          <w:numId w:val="0"/>
        </w:numPr>
        <w:spacing w:line="576" w:lineRule="exact"/>
        <w:ind w:firstLine="640" w:firstLineChars="200"/>
        <w:rPr>
          <w:kern w:val="44"/>
          <w:szCs w:val="32"/>
        </w:rPr>
      </w:pPr>
      <w:r>
        <w:rPr>
          <w:rFonts w:hint="eastAsia"/>
          <w:kern w:val="44"/>
          <w:szCs w:val="32"/>
          <w:lang w:eastAsia="zh-CN"/>
        </w:rPr>
        <w:t>（</w:t>
      </w:r>
      <w:r>
        <w:rPr>
          <w:rFonts w:hint="eastAsia"/>
          <w:kern w:val="44"/>
          <w:szCs w:val="32"/>
          <w:lang w:val="en-US" w:eastAsia="zh-CN"/>
        </w:rPr>
        <w:t>2</w:t>
      </w:r>
      <w:r>
        <w:rPr>
          <w:rFonts w:hint="eastAsia"/>
          <w:kern w:val="44"/>
          <w:szCs w:val="32"/>
          <w:lang w:eastAsia="zh-CN"/>
        </w:rPr>
        <w:t>）</w:t>
      </w:r>
      <w:r>
        <w:rPr>
          <w:kern w:val="44"/>
          <w:szCs w:val="32"/>
        </w:rPr>
        <w:t>对重点地段和杆路的特殊设备增设拉线撑杆和绑桩等措施；</w:t>
      </w:r>
    </w:p>
    <w:p>
      <w:pPr>
        <w:numPr>
          <w:ilvl w:val="0"/>
          <w:numId w:val="0"/>
        </w:numPr>
        <w:spacing w:line="576" w:lineRule="exact"/>
        <w:ind w:left="0" w:leftChars="0" w:firstLine="640" w:firstLineChars="200"/>
        <w:rPr>
          <w:kern w:val="44"/>
          <w:szCs w:val="32"/>
        </w:rPr>
      </w:pPr>
      <w:r>
        <w:rPr>
          <w:rFonts w:hint="eastAsia" w:ascii="Times New Roman" w:hAnsi="Times New Roman" w:cs="Times New Roman"/>
          <w:kern w:val="44"/>
          <w:szCs w:val="32"/>
          <w:lang w:eastAsia="zh-CN"/>
        </w:rPr>
        <w:t>（</w:t>
      </w:r>
      <w:r>
        <w:rPr>
          <w:rFonts w:hint="eastAsia" w:ascii="Times New Roman" w:hAnsi="Times New Roman" w:cs="Times New Roman"/>
          <w:kern w:val="44"/>
          <w:szCs w:val="32"/>
          <w:lang w:val="en-US" w:eastAsia="zh-CN"/>
        </w:rPr>
        <w:t>3</w:t>
      </w:r>
      <w:r>
        <w:rPr>
          <w:rFonts w:hint="eastAsia" w:ascii="Times New Roman" w:hAnsi="Times New Roman" w:cs="Times New Roman"/>
          <w:kern w:val="44"/>
          <w:szCs w:val="32"/>
          <w:lang w:eastAsia="zh-CN"/>
        </w:rPr>
        <w:t>）</w:t>
      </w:r>
      <w:r>
        <w:rPr>
          <w:kern w:val="44"/>
          <w:szCs w:val="32"/>
        </w:rPr>
        <w:t>结合通信网络的发展规划，部署落实地下管网建设，逐步发展地下综合管道；</w:t>
      </w:r>
    </w:p>
    <w:p>
      <w:pPr>
        <w:numPr>
          <w:ilvl w:val="0"/>
          <w:numId w:val="0"/>
        </w:numPr>
        <w:spacing w:line="576" w:lineRule="exact"/>
        <w:ind w:left="0" w:leftChars="0" w:firstLine="640" w:firstLineChars="200"/>
        <w:rPr>
          <w:kern w:val="44"/>
          <w:szCs w:val="32"/>
        </w:rPr>
      </w:pPr>
      <w:r>
        <w:rPr>
          <w:rFonts w:hint="eastAsia" w:ascii="Times New Roman" w:hAnsi="Times New Roman" w:cs="Times New Roman"/>
          <w:kern w:val="44"/>
          <w:szCs w:val="32"/>
          <w:lang w:eastAsia="zh-CN"/>
        </w:rPr>
        <w:t>（</w:t>
      </w:r>
      <w:r>
        <w:rPr>
          <w:rFonts w:hint="eastAsia" w:ascii="Times New Roman" w:hAnsi="Times New Roman" w:cs="Times New Roman"/>
          <w:kern w:val="44"/>
          <w:szCs w:val="32"/>
          <w:lang w:val="en-US" w:eastAsia="zh-CN"/>
        </w:rPr>
        <w:t>4</w:t>
      </w:r>
      <w:r>
        <w:rPr>
          <w:rFonts w:hint="eastAsia" w:ascii="Times New Roman" w:hAnsi="Times New Roman" w:cs="Times New Roman"/>
          <w:kern w:val="44"/>
          <w:szCs w:val="32"/>
          <w:lang w:eastAsia="zh-CN"/>
        </w:rPr>
        <w:t>）</w:t>
      </w:r>
      <w:r>
        <w:rPr>
          <w:kern w:val="44"/>
          <w:szCs w:val="32"/>
        </w:rPr>
        <w:t>通信线路应采用多路由化，采用通信中心多局制，对长途通信枢纽进行分散设置；</w:t>
      </w:r>
    </w:p>
    <w:p>
      <w:pPr>
        <w:numPr>
          <w:ilvl w:val="0"/>
          <w:numId w:val="0"/>
        </w:numPr>
        <w:spacing w:line="576" w:lineRule="exact"/>
        <w:ind w:left="0" w:leftChars="0" w:firstLine="640" w:firstLineChars="200"/>
        <w:rPr>
          <w:kern w:val="44"/>
          <w:szCs w:val="32"/>
        </w:rPr>
      </w:pPr>
      <w:r>
        <w:rPr>
          <w:rFonts w:hint="eastAsia"/>
          <w:kern w:val="44"/>
          <w:szCs w:val="32"/>
          <w:lang w:eastAsia="zh-CN"/>
        </w:rPr>
        <w:t>（</w:t>
      </w:r>
      <w:r>
        <w:rPr>
          <w:rFonts w:hint="eastAsia"/>
          <w:kern w:val="44"/>
          <w:szCs w:val="32"/>
          <w:lang w:val="en-US" w:eastAsia="zh-CN"/>
        </w:rPr>
        <w:t>5</w:t>
      </w:r>
      <w:r>
        <w:rPr>
          <w:rFonts w:hint="eastAsia"/>
          <w:kern w:val="44"/>
          <w:szCs w:val="32"/>
          <w:lang w:eastAsia="zh-CN"/>
        </w:rPr>
        <w:t>）</w:t>
      </w:r>
      <w:r>
        <w:rPr>
          <w:kern w:val="44"/>
          <w:szCs w:val="32"/>
        </w:rPr>
        <w:t>在一定的覆盖区域内建设骨干站点，并备份干线电路，提高通信设备抗毁能力；</w:t>
      </w:r>
    </w:p>
    <w:p>
      <w:pPr>
        <w:numPr>
          <w:ilvl w:val="0"/>
          <w:numId w:val="0"/>
        </w:numPr>
        <w:spacing w:line="576" w:lineRule="exact"/>
        <w:ind w:left="0" w:leftChars="0" w:firstLine="640" w:firstLineChars="200"/>
        <w:rPr>
          <w:kern w:val="44"/>
          <w:szCs w:val="32"/>
        </w:rPr>
      </w:pPr>
      <w:r>
        <w:rPr>
          <w:rFonts w:hint="eastAsia"/>
          <w:kern w:val="44"/>
          <w:szCs w:val="32"/>
          <w:lang w:eastAsia="zh-CN"/>
        </w:rPr>
        <w:t>（</w:t>
      </w:r>
      <w:r>
        <w:rPr>
          <w:rFonts w:hint="eastAsia"/>
          <w:kern w:val="44"/>
          <w:szCs w:val="32"/>
          <w:lang w:val="en-US" w:eastAsia="zh-CN"/>
        </w:rPr>
        <w:t>6</w:t>
      </w:r>
      <w:r>
        <w:rPr>
          <w:rFonts w:hint="eastAsia"/>
          <w:kern w:val="44"/>
          <w:szCs w:val="32"/>
          <w:lang w:eastAsia="zh-CN"/>
        </w:rPr>
        <w:t>）</w:t>
      </w:r>
      <w:r>
        <w:rPr>
          <w:kern w:val="44"/>
          <w:szCs w:val="32"/>
        </w:rPr>
        <w:t>新建基站应充分考虑基站附着物的负载情况，不具备承载能力的应不予建设；</w:t>
      </w:r>
    </w:p>
    <w:p>
      <w:pPr>
        <w:numPr>
          <w:ilvl w:val="0"/>
          <w:numId w:val="0"/>
        </w:numPr>
        <w:spacing w:line="576" w:lineRule="exact"/>
        <w:ind w:left="0" w:leftChars="0" w:firstLine="640" w:firstLineChars="200"/>
        <w:rPr>
          <w:kern w:val="44"/>
          <w:szCs w:val="32"/>
        </w:rPr>
      </w:pPr>
      <w:r>
        <w:rPr>
          <w:rFonts w:hint="eastAsia"/>
          <w:kern w:val="44"/>
          <w:szCs w:val="32"/>
          <w:lang w:eastAsia="zh-CN"/>
        </w:rPr>
        <w:t>（</w:t>
      </w:r>
      <w:r>
        <w:rPr>
          <w:rFonts w:hint="eastAsia"/>
          <w:kern w:val="44"/>
          <w:szCs w:val="32"/>
          <w:lang w:val="en-US" w:eastAsia="zh-CN"/>
        </w:rPr>
        <w:t>7</w:t>
      </w:r>
      <w:r>
        <w:rPr>
          <w:rFonts w:hint="eastAsia"/>
          <w:kern w:val="44"/>
          <w:szCs w:val="32"/>
          <w:lang w:eastAsia="zh-CN"/>
        </w:rPr>
        <w:t>）</w:t>
      </w:r>
      <w:r>
        <w:rPr>
          <w:kern w:val="44"/>
          <w:szCs w:val="32"/>
        </w:rPr>
        <w:t>通</w:t>
      </w:r>
      <w:r>
        <w:rPr>
          <w:rFonts w:hint="eastAsia"/>
          <w:kern w:val="44"/>
          <w:szCs w:val="32"/>
          <w:lang w:eastAsia="zh-CN"/>
        </w:rPr>
        <w:t>信</w:t>
      </w:r>
      <w:r>
        <w:rPr>
          <w:kern w:val="44"/>
          <w:szCs w:val="32"/>
        </w:rPr>
        <w:t>线路的重要节点机房应全部实现</w:t>
      </w:r>
      <w:r>
        <w:rPr>
          <w:rFonts w:hint="eastAsia"/>
          <w:kern w:val="44"/>
          <w:szCs w:val="32"/>
          <w:lang w:eastAsia="zh-CN"/>
        </w:rPr>
        <w:t>“</w:t>
      </w:r>
      <w:r>
        <w:rPr>
          <w:kern w:val="44"/>
          <w:szCs w:val="32"/>
        </w:rPr>
        <w:t>双电源</w:t>
      </w:r>
      <w:r>
        <w:rPr>
          <w:rFonts w:hint="eastAsia"/>
          <w:kern w:val="44"/>
          <w:szCs w:val="32"/>
          <w:lang w:eastAsia="zh-CN"/>
        </w:rPr>
        <w:t>”</w:t>
      </w:r>
      <w:r>
        <w:rPr>
          <w:kern w:val="44"/>
          <w:szCs w:val="32"/>
        </w:rPr>
        <w:t>供电。</w:t>
      </w:r>
    </w:p>
    <w:p>
      <w:pPr>
        <w:spacing w:line="576" w:lineRule="exact"/>
        <w:ind w:firstLine="640" w:firstLineChars="200"/>
        <w:rPr>
          <w:rFonts w:hint="eastAsia" w:ascii="Times New Roman" w:hAnsi="Times New Roman" w:eastAsia="方正仿宋_GBK" w:cs="Calibri"/>
          <w:kern w:val="2"/>
          <w:sz w:val="32"/>
          <w:szCs w:val="32"/>
          <w:lang w:val="en-US" w:eastAsia="zh-CN" w:bidi="ar"/>
        </w:rPr>
      </w:pPr>
      <w:r>
        <w:rPr>
          <w:rFonts w:hint="eastAsia" w:ascii="Times New Roman" w:hAnsi="Times New Roman" w:eastAsia="方正仿宋_GBK" w:cs="Calibri"/>
          <w:kern w:val="2"/>
          <w:sz w:val="32"/>
          <w:szCs w:val="32"/>
          <w:lang w:val="en-US" w:eastAsia="zh-CN" w:bidi="ar"/>
        </w:rPr>
        <w:t>2</w:t>
      </w:r>
      <w:r>
        <w:rPr>
          <w:rFonts w:hint="default" w:ascii="Times New Roman" w:hAnsi="Times New Roman" w:eastAsia="方正仿宋_GBK" w:cs="Calibri"/>
          <w:kern w:val="2"/>
          <w:sz w:val="32"/>
          <w:szCs w:val="32"/>
          <w:lang w:val="en-US" w:eastAsia="zh-CN" w:bidi="ar"/>
        </w:rPr>
        <w:t>．</w:t>
      </w:r>
      <w:r>
        <w:rPr>
          <w:rFonts w:hint="eastAsia" w:ascii="Times New Roman" w:hAnsi="Times New Roman" w:eastAsia="方正仿宋_GBK" w:cs="Calibri"/>
          <w:kern w:val="2"/>
          <w:sz w:val="32"/>
          <w:szCs w:val="32"/>
          <w:lang w:val="en-US" w:eastAsia="zh-CN" w:bidi="ar"/>
        </w:rPr>
        <w:t>加强通</w:t>
      </w:r>
      <w:r>
        <w:rPr>
          <w:rFonts w:hint="eastAsia" w:cs="Calibri"/>
          <w:kern w:val="2"/>
          <w:sz w:val="32"/>
          <w:szCs w:val="32"/>
          <w:lang w:val="en-US" w:eastAsia="zh-CN" w:bidi="ar"/>
        </w:rPr>
        <w:t>信</w:t>
      </w:r>
      <w:r>
        <w:rPr>
          <w:rFonts w:hint="eastAsia" w:ascii="Times New Roman" w:hAnsi="Times New Roman" w:eastAsia="方正仿宋_GBK" w:cs="Calibri"/>
          <w:kern w:val="2"/>
          <w:sz w:val="32"/>
          <w:szCs w:val="32"/>
          <w:lang w:val="en-US" w:eastAsia="zh-CN" w:bidi="ar"/>
        </w:rPr>
        <w:t>基站建筑用房的抗震选择。</w:t>
      </w:r>
    </w:p>
    <w:p>
      <w:pPr>
        <w:numPr>
          <w:ilvl w:val="0"/>
          <w:numId w:val="0"/>
        </w:numPr>
        <w:spacing w:line="576" w:lineRule="exact"/>
        <w:ind w:left="0" w:leftChars="0" w:firstLine="640" w:firstLineChars="200"/>
        <w:rPr>
          <w:kern w:val="44"/>
          <w:szCs w:val="32"/>
        </w:rPr>
      </w:pPr>
      <w:r>
        <w:rPr>
          <w:rFonts w:hint="eastAsia"/>
          <w:kern w:val="44"/>
          <w:szCs w:val="32"/>
          <w:lang w:eastAsia="zh-CN"/>
        </w:rPr>
        <w:t>（</w:t>
      </w:r>
      <w:r>
        <w:rPr>
          <w:rFonts w:hint="eastAsia"/>
          <w:kern w:val="44"/>
          <w:szCs w:val="32"/>
          <w:lang w:val="en-US" w:eastAsia="zh-CN"/>
        </w:rPr>
        <w:t>1</w:t>
      </w:r>
      <w:r>
        <w:rPr>
          <w:rFonts w:hint="eastAsia"/>
          <w:kern w:val="44"/>
          <w:szCs w:val="32"/>
          <w:lang w:eastAsia="zh-CN"/>
        </w:rPr>
        <w:t>）</w:t>
      </w:r>
      <w:r>
        <w:rPr>
          <w:kern w:val="44"/>
          <w:szCs w:val="32"/>
        </w:rPr>
        <w:t>选择抗震能力强的建筑和不易造成设备损坏的房间作为机房；</w:t>
      </w:r>
    </w:p>
    <w:p>
      <w:pPr>
        <w:spacing w:line="576" w:lineRule="exact"/>
        <w:ind w:firstLine="640" w:firstLineChars="200"/>
        <w:rPr>
          <w:kern w:val="44"/>
          <w:szCs w:val="32"/>
        </w:rPr>
      </w:pPr>
      <w:r>
        <w:rPr>
          <w:rFonts w:hint="eastAsia"/>
          <w:kern w:val="44"/>
          <w:szCs w:val="32"/>
          <w:lang w:eastAsia="zh-CN"/>
        </w:rPr>
        <w:t>（</w:t>
      </w:r>
      <w:r>
        <w:rPr>
          <w:rFonts w:hint="eastAsia"/>
          <w:kern w:val="44"/>
          <w:szCs w:val="32"/>
          <w:lang w:val="en-US" w:eastAsia="zh-CN"/>
        </w:rPr>
        <w:t>2</w:t>
      </w:r>
      <w:r>
        <w:rPr>
          <w:rFonts w:hint="eastAsia"/>
          <w:kern w:val="44"/>
          <w:szCs w:val="32"/>
          <w:lang w:eastAsia="zh-CN"/>
        </w:rPr>
        <w:t>）</w:t>
      </w:r>
      <w:r>
        <w:rPr>
          <w:kern w:val="44"/>
          <w:szCs w:val="32"/>
        </w:rPr>
        <w:t>基站机房选在非电信行业专用房屋时，应对楼面荷载进行核算，并采取必要的加固措施。</w:t>
      </w:r>
    </w:p>
    <w:p>
      <w:pPr>
        <w:spacing w:line="576" w:lineRule="exact"/>
        <w:ind w:firstLine="640" w:firstLineChars="200"/>
        <w:rPr>
          <w:rFonts w:hint="eastAsia" w:ascii="Times New Roman" w:hAnsi="Times New Roman" w:eastAsia="方正仿宋_GBK" w:cs="Calibri"/>
          <w:kern w:val="2"/>
          <w:sz w:val="32"/>
          <w:szCs w:val="32"/>
          <w:lang w:val="en-US" w:eastAsia="zh-CN" w:bidi="ar"/>
        </w:rPr>
      </w:pPr>
      <w:r>
        <w:rPr>
          <w:rFonts w:hint="eastAsia" w:ascii="Times New Roman" w:hAnsi="Times New Roman" w:eastAsia="方正仿宋_GBK" w:cs="Calibri"/>
          <w:kern w:val="2"/>
          <w:sz w:val="32"/>
          <w:szCs w:val="32"/>
          <w:lang w:val="en-US" w:eastAsia="zh-CN" w:bidi="ar"/>
        </w:rPr>
        <w:t>3</w:t>
      </w:r>
      <w:r>
        <w:rPr>
          <w:rFonts w:hint="default" w:ascii="Times New Roman" w:hAnsi="Times New Roman" w:eastAsia="方正仿宋_GBK" w:cs="Calibri"/>
          <w:kern w:val="2"/>
          <w:sz w:val="32"/>
          <w:szCs w:val="32"/>
          <w:lang w:val="en-US" w:eastAsia="zh-CN" w:bidi="ar"/>
        </w:rPr>
        <w:t>．</w:t>
      </w:r>
      <w:r>
        <w:rPr>
          <w:rFonts w:hint="eastAsia" w:ascii="Times New Roman" w:hAnsi="Times New Roman" w:eastAsia="方正仿宋_GBK" w:cs="Calibri"/>
          <w:kern w:val="2"/>
          <w:sz w:val="32"/>
          <w:szCs w:val="32"/>
          <w:lang w:val="en-US" w:eastAsia="zh-CN" w:bidi="ar"/>
        </w:rPr>
        <w:t>加强通</w:t>
      </w:r>
      <w:r>
        <w:rPr>
          <w:rFonts w:hint="eastAsia" w:cs="Calibri"/>
          <w:kern w:val="2"/>
          <w:sz w:val="32"/>
          <w:szCs w:val="32"/>
          <w:lang w:val="en-US" w:eastAsia="zh-CN" w:bidi="ar"/>
        </w:rPr>
        <w:t>信</w:t>
      </w:r>
      <w:r>
        <w:rPr>
          <w:rFonts w:hint="eastAsia" w:ascii="Times New Roman" w:hAnsi="Times New Roman" w:eastAsia="方正仿宋_GBK" w:cs="Calibri"/>
          <w:kern w:val="2"/>
          <w:sz w:val="32"/>
          <w:szCs w:val="32"/>
          <w:lang w:val="en-US" w:eastAsia="zh-CN" w:bidi="ar"/>
        </w:rPr>
        <w:t>设备的抗震安全。</w:t>
      </w:r>
    </w:p>
    <w:p>
      <w:pPr>
        <w:spacing w:line="576" w:lineRule="exact"/>
        <w:ind w:firstLine="640" w:firstLineChars="200"/>
        <w:rPr>
          <w:kern w:val="44"/>
          <w:szCs w:val="32"/>
        </w:rPr>
      </w:pPr>
      <w:r>
        <w:rPr>
          <w:rFonts w:hint="eastAsia"/>
          <w:kern w:val="44"/>
          <w:szCs w:val="32"/>
          <w:lang w:eastAsia="zh-CN"/>
        </w:rPr>
        <w:t>（</w:t>
      </w:r>
      <w:r>
        <w:rPr>
          <w:rFonts w:hint="eastAsia"/>
          <w:kern w:val="44"/>
          <w:szCs w:val="32"/>
          <w:lang w:val="en-US" w:eastAsia="zh-CN"/>
        </w:rPr>
        <w:t>1</w:t>
      </w:r>
      <w:r>
        <w:rPr>
          <w:rFonts w:hint="eastAsia"/>
          <w:kern w:val="44"/>
          <w:szCs w:val="32"/>
          <w:lang w:eastAsia="zh-CN"/>
        </w:rPr>
        <w:t>）</w:t>
      </w:r>
      <w:r>
        <w:rPr>
          <w:kern w:val="44"/>
          <w:szCs w:val="32"/>
        </w:rPr>
        <w:t>室内设备的安装和固定时，应尽量放置于专用的设施中进行固定，如需安置于</w:t>
      </w:r>
      <w:r>
        <w:rPr>
          <w:rFonts w:hint="eastAsia"/>
          <w:kern w:val="44"/>
          <w:szCs w:val="32"/>
        </w:rPr>
        <w:t>其他</w:t>
      </w:r>
      <w:r>
        <w:rPr>
          <w:kern w:val="44"/>
          <w:szCs w:val="32"/>
        </w:rPr>
        <w:t>位置，则应对设备基础予足够强度的固定，防止震时滑落。</w:t>
      </w:r>
    </w:p>
    <w:p>
      <w:pPr>
        <w:spacing w:line="576" w:lineRule="exact"/>
        <w:ind w:firstLine="640" w:firstLineChars="200"/>
        <w:rPr>
          <w:kern w:val="44"/>
          <w:szCs w:val="32"/>
        </w:rPr>
      </w:pPr>
      <w:r>
        <w:rPr>
          <w:rFonts w:hint="eastAsia"/>
          <w:kern w:val="44"/>
          <w:szCs w:val="32"/>
          <w:lang w:eastAsia="zh-CN"/>
        </w:rPr>
        <w:t>（</w:t>
      </w:r>
      <w:r>
        <w:rPr>
          <w:rFonts w:hint="eastAsia"/>
          <w:kern w:val="44"/>
          <w:szCs w:val="32"/>
          <w:lang w:val="en-US" w:eastAsia="zh-CN"/>
        </w:rPr>
        <w:t>2</w:t>
      </w:r>
      <w:r>
        <w:rPr>
          <w:rFonts w:hint="eastAsia"/>
          <w:kern w:val="44"/>
          <w:szCs w:val="32"/>
          <w:lang w:eastAsia="zh-CN"/>
        </w:rPr>
        <w:t>）</w:t>
      </w:r>
      <w:r>
        <w:rPr>
          <w:kern w:val="44"/>
          <w:szCs w:val="32"/>
        </w:rPr>
        <w:t>通信缆线在室内设置时，应当依附于负载</w:t>
      </w:r>
      <w:r>
        <w:rPr>
          <w:rFonts w:hint="eastAsia"/>
          <w:kern w:val="44"/>
          <w:szCs w:val="32"/>
        </w:rPr>
        <w:t>能力较强</w:t>
      </w:r>
      <w:r>
        <w:rPr>
          <w:kern w:val="44"/>
          <w:szCs w:val="32"/>
        </w:rPr>
        <w:t>的物体进行延伸；当缆线进行跨越行为时，应使用固定铁架维护走线安全。</w:t>
      </w:r>
    </w:p>
    <w:p>
      <w:pPr>
        <w:spacing w:line="576" w:lineRule="exact"/>
        <w:ind w:firstLine="640" w:firstLineChars="200"/>
        <w:rPr>
          <w:kern w:val="44"/>
          <w:szCs w:val="32"/>
        </w:rPr>
      </w:pPr>
      <w:r>
        <w:rPr>
          <w:rFonts w:hint="eastAsia"/>
          <w:kern w:val="44"/>
          <w:szCs w:val="32"/>
          <w:lang w:eastAsia="zh-CN"/>
        </w:rPr>
        <w:t>（</w:t>
      </w:r>
      <w:r>
        <w:rPr>
          <w:rFonts w:hint="eastAsia"/>
          <w:kern w:val="44"/>
          <w:szCs w:val="32"/>
          <w:lang w:val="en-US" w:eastAsia="zh-CN"/>
        </w:rPr>
        <w:t>3</w:t>
      </w:r>
      <w:r>
        <w:rPr>
          <w:rFonts w:hint="eastAsia"/>
          <w:kern w:val="44"/>
          <w:szCs w:val="32"/>
          <w:lang w:eastAsia="zh-CN"/>
        </w:rPr>
        <w:t>）</w:t>
      </w:r>
      <w:r>
        <w:rPr>
          <w:kern w:val="44"/>
          <w:szCs w:val="32"/>
        </w:rPr>
        <w:t>发射天线的安置应尽量避让尖锐、突出的物体。</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第三十二条  </w:t>
      </w:r>
      <w:bookmarkStart w:id="172" w:name="_Toc158038135"/>
      <w:bookmarkStart w:id="173" w:name="_Toc158038231"/>
      <w:bookmarkStart w:id="174" w:name="_Toc156307014"/>
      <w:r>
        <w:rPr>
          <w:rFonts w:hint="eastAsia" w:ascii="方正黑体_GBK" w:hAnsi="Times New Roman" w:eastAsia="方正黑体_GBK" w:cstheme="minorBidi"/>
          <w:b w:val="0"/>
          <w:bCs/>
          <w:kern w:val="0"/>
          <w:sz w:val="32"/>
          <w:szCs w:val="32"/>
          <w:lang w:val="en-US" w:eastAsia="zh-CN" w:bidi="ar-SA"/>
        </w:rPr>
        <w:t>粮食系统</w:t>
      </w:r>
      <w:bookmarkEnd w:id="172"/>
      <w:bookmarkEnd w:id="173"/>
      <w:bookmarkEnd w:id="174"/>
    </w:p>
    <w:p>
      <w:pPr>
        <w:spacing w:line="576" w:lineRule="exact"/>
        <w:ind w:firstLine="640" w:firstLineChars="200"/>
        <w:rPr>
          <w:w w:val="97"/>
          <w:szCs w:val="32"/>
        </w:rPr>
      </w:pPr>
      <w:r>
        <w:rPr>
          <w:szCs w:val="32"/>
        </w:rPr>
        <w:t>1</w:t>
      </w:r>
      <w:r>
        <w:rPr>
          <w:rFonts w:hint="default" w:ascii="Times New Roman" w:hAnsi="Times New Roman" w:eastAsia="方正仿宋_GBK" w:cs="Times New Roman"/>
          <w:b w:val="0"/>
          <w:bCs w:val="0"/>
          <w:sz w:val="32"/>
          <w:szCs w:val="32"/>
          <w:lang w:val="en-US" w:eastAsia="zh-CN"/>
        </w:rPr>
        <w:t>．</w:t>
      </w:r>
      <w:r>
        <w:rPr>
          <w:szCs w:val="32"/>
        </w:rPr>
        <w:t>中心城区储备粮仓房宜配置先进的消防、安保系统，实</w:t>
      </w:r>
      <w:r>
        <w:rPr>
          <w:w w:val="97"/>
          <w:szCs w:val="32"/>
        </w:rPr>
        <w:t>行红外线报警和远程监控，对于震后次生灾害的监控具有重要作用。</w:t>
      </w:r>
    </w:p>
    <w:p>
      <w:pPr>
        <w:spacing w:line="576" w:lineRule="exact"/>
        <w:ind w:firstLine="640" w:firstLineChars="200"/>
        <w:rPr>
          <w:szCs w:val="32"/>
        </w:rPr>
      </w:pPr>
      <w:r>
        <w:rPr>
          <w:szCs w:val="32"/>
        </w:rPr>
        <w:t>2</w:t>
      </w:r>
      <w:r>
        <w:rPr>
          <w:rFonts w:hint="default" w:ascii="Times New Roman" w:hAnsi="Times New Roman" w:eastAsia="方正仿宋_GBK" w:cs="Times New Roman"/>
          <w:b w:val="0"/>
          <w:bCs w:val="0"/>
          <w:sz w:val="32"/>
          <w:szCs w:val="32"/>
          <w:lang w:val="en-US" w:eastAsia="zh-CN"/>
        </w:rPr>
        <w:t>．</w:t>
      </w:r>
      <w:r>
        <w:rPr>
          <w:szCs w:val="32"/>
        </w:rPr>
        <w:t>根据《城市抗震防灾规划标准》对储备粮仓房提高一度设防，即按照</w:t>
      </w:r>
      <w:r>
        <w:rPr>
          <w:rFonts w:hint="eastAsia" w:ascii="宋体" w:hAnsi="宋体" w:cs="宋体"/>
          <w:szCs w:val="32"/>
        </w:rPr>
        <w:t>Ⅶ</w:t>
      </w:r>
      <w:r>
        <w:rPr>
          <w:szCs w:val="32"/>
        </w:rPr>
        <w:t>度设防。对老旧的粮库、仓库、物资储备站等抗震性能较差的近期进行鉴定和加固改造。</w:t>
      </w:r>
    </w:p>
    <w:p>
      <w:pPr>
        <w:spacing w:line="576" w:lineRule="exact"/>
        <w:ind w:firstLine="640" w:firstLineChars="200"/>
        <w:rPr>
          <w:szCs w:val="32"/>
        </w:rPr>
      </w:pPr>
      <w:r>
        <w:rPr>
          <w:szCs w:val="32"/>
        </w:rPr>
        <w:t>3</w:t>
      </w:r>
      <w:r>
        <w:rPr>
          <w:rFonts w:hint="default" w:ascii="Times New Roman" w:hAnsi="Times New Roman" w:eastAsia="方正仿宋_GBK" w:cs="Times New Roman"/>
          <w:b w:val="0"/>
          <w:bCs w:val="0"/>
          <w:sz w:val="32"/>
          <w:szCs w:val="32"/>
          <w:lang w:val="en-US" w:eastAsia="zh-CN"/>
        </w:rPr>
        <w:t>．</w:t>
      </w:r>
      <w:r>
        <w:rPr>
          <w:szCs w:val="32"/>
        </w:rPr>
        <w:t>严格按照《建筑工程抗震设防分类标准</w:t>
      </w:r>
      <w:r>
        <w:rPr>
          <w:rFonts w:hint="eastAsia"/>
          <w:szCs w:val="32"/>
        </w:rPr>
        <w:t>》《</w:t>
      </w:r>
      <w:r>
        <w:rPr>
          <w:szCs w:val="32"/>
        </w:rPr>
        <w:t>建筑防火设计规范》等相关要求对粮站、仓库进行抗震设防类别划分，提高工程建设抗震设防和耐火水平，保障灾后应急供应要求。</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bookmarkStart w:id="175" w:name="_Hlk114230877"/>
      <w:r>
        <w:rPr>
          <w:rFonts w:hint="eastAsia" w:ascii="方正黑体_GBK" w:hAnsi="Times New Roman" w:eastAsia="方正黑体_GBK" w:cstheme="minorBidi"/>
          <w:b w:val="0"/>
          <w:bCs/>
          <w:kern w:val="0"/>
          <w:sz w:val="32"/>
          <w:szCs w:val="32"/>
          <w:lang w:val="en-US" w:eastAsia="zh-CN" w:bidi="ar-SA"/>
        </w:rPr>
        <w:t xml:space="preserve">第三十三条  </w:t>
      </w:r>
      <w:bookmarkStart w:id="176" w:name="_Toc156307015"/>
      <w:bookmarkStart w:id="177" w:name="_Toc158038136"/>
      <w:bookmarkStart w:id="178" w:name="_Toc158038232"/>
      <w:r>
        <w:rPr>
          <w:rFonts w:hint="eastAsia" w:ascii="方正黑体_GBK" w:hAnsi="Times New Roman" w:eastAsia="方正黑体_GBK" w:cstheme="minorBidi"/>
          <w:b w:val="0"/>
          <w:bCs/>
          <w:kern w:val="0"/>
          <w:sz w:val="32"/>
          <w:szCs w:val="32"/>
          <w:lang w:val="en-US" w:eastAsia="zh-CN" w:bidi="ar-SA"/>
        </w:rPr>
        <w:t>燃气系统</w:t>
      </w:r>
      <w:bookmarkEnd w:id="176"/>
      <w:bookmarkEnd w:id="177"/>
      <w:bookmarkEnd w:id="178"/>
    </w:p>
    <w:bookmarkEnd w:id="175"/>
    <w:p>
      <w:pPr>
        <w:spacing w:line="576" w:lineRule="exact"/>
        <w:ind w:firstLine="640" w:firstLineChars="200"/>
        <w:rPr>
          <w:szCs w:val="32"/>
        </w:rPr>
      </w:pPr>
      <w:r>
        <w:rPr>
          <w:szCs w:val="32"/>
        </w:rPr>
        <w:t>1</w:t>
      </w:r>
      <w:r>
        <w:rPr>
          <w:rFonts w:hint="default" w:ascii="Times New Roman" w:hAnsi="Times New Roman" w:eastAsia="方正仿宋_GBK" w:cs="Times New Roman"/>
          <w:b w:val="0"/>
          <w:bCs w:val="0"/>
          <w:sz w:val="32"/>
          <w:szCs w:val="32"/>
          <w:lang w:val="en-US" w:eastAsia="zh-CN"/>
        </w:rPr>
        <w:t>．</w:t>
      </w:r>
      <w:r>
        <w:rPr>
          <w:szCs w:val="32"/>
        </w:rPr>
        <w:t>燃气建筑中，主要燃气厂的主厂房、贮气罐、加压泵房和压缩间、调度楼及相应的超高压和高压调压间、高压和次高压输配气管道等主要设施，抗震设防类别应按重点设防类建筑进行设防，不满足要求的需安排抗震加固。</w:t>
      </w:r>
    </w:p>
    <w:p>
      <w:pPr>
        <w:spacing w:line="576" w:lineRule="exact"/>
        <w:ind w:firstLine="640" w:firstLineChars="200"/>
        <w:rPr>
          <w:szCs w:val="32"/>
        </w:rPr>
      </w:pPr>
      <w:r>
        <w:rPr>
          <w:szCs w:val="32"/>
        </w:rPr>
        <w:t>2</w:t>
      </w:r>
      <w:r>
        <w:rPr>
          <w:rFonts w:hint="default" w:ascii="Times New Roman" w:hAnsi="Times New Roman" w:eastAsia="方正仿宋_GBK" w:cs="Times New Roman"/>
          <w:b w:val="0"/>
          <w:bCs w:val="0"/>
          <w:sz w:val="32"/>
          <w:szCs w:val="32"/>
          <w:lang w:val="en-US" w:eastAsia="zh-CN"/>
        </w:rPr>
        <w:t>．</w:t>
      </w:r>
      <w:r>
        <w:rPr>
          <w:szCs w:val="32"/>
        </w:rPr>
        <w:t>结合燃气系统专项规划整治，逐步完成燃气管网的抗震改造，采用抗震性能好的管材</w:t>
      </w:r>
      <w:r>
        <w:rPr>
          <w:rFonts w:hint="eastAsia"/>
          <w:szCs w:val="32"/>
          <w:lang w:eastAsia="zh-CN"/>
        </w:rPr>
        <w:t>，</w:t>
      </w:r>
      <w:r>
        <w:rPr>
          <w:szCs w:val="32"/>
        </w:rPr>
        <w:t>如钢管、PE管和柔性接头。管线穿过抗震危险地段以及河道、液化和软土震陷等抗震不利地段时，应优先进行改造。</w:t>
      </w:r>
    </w:p>
    <w:p>
      <w:pPr>
        <w:spacing w:line="576" w:lineRule="exact"/>
        <w:ind w:firstLine="640" w:firstLineChars="200"/>
        <w:rPr>
          <w:szCs w:val="32"/>
        </w:rPr>
      </w:pPr>
      <w:r>
        <w:rPr>
          <w:szCs w:val="32"/>
        </w:rPr>
        <w:t>3</w:t>
      </w:r>
      <w:r>
        <w:rPr>
          <w:rFonts w:hint="default" w:ascii="Times New Roman" w:hAnsi="Times New Roman" w:eastAsia="方正仿宋_GBK" w:cs="Times New Roman"/>
          <w:b w:val="0"/>
          <w:bCs w:val="0"/>
          <w:sz w:val="32"/>
          <w:szCs w:val="32"/>
          <w:lang w:val="en-US" w:eastAsia="zh-CN"/>
        </w:rPr>
        <w:t>．</w:t>
      </w:r>
      <w:r>
        <w:rPr>
          <w:szCs w:val="32"/>
        </w:rPr>
        <w:t>逐步建立和发展健康监测及地震紧急自动处置系统，震时应能快速有效地控制气源供应，防止次生灾害的发生；震后应能迅速判断发生震害的区域，实现分层次、有步骤、安全快速地实施恢复供气。</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第三十四条  </w:t>
      </w:r>
      <w:bookmarkStart w:id="179" w:name="_Toc158038137"/>
      <w:bookmarkStart w:id="180" w:name="_Toc158038233"/>
      <w:bookmarkStart w:id="181" w:name="_Toc156307016"/>
      <w:r>
        <w:rPr>
          <w:rFonts w:hint="eastAsia" w:ascii="方正黑体_GBK" w:hAnsi="Times New Roman" w:eastAsia="方正黑体_GBK" w:cstheme="minorBidi"/>
          <w:b w:val="0"/>
          <w:bCs/>
          <w:kern w:val="0"/>
          <w:sz w:val="32"/>
          <w:szCs w:val="32"/>
          <w:lang w:val="en-US" w:eastAsia="zh-CN" w:bidi="ar-SA"/>
        </w:rPr>
        <w:t>消防救援系统</w:t>
      </w:r>
      <w:bookmarkEnd w:id="179"/>
      <w:bookmarkEnd w:id="180"/>
      <w:bookmarkEnd w:id="181"/>
    </w:p>
    <w:p>
      <w:pPr>
        <w:spacing w:line="576" w:lineRule="exact"/>
        <w:ind w:firstLine="640" w:firstLineChars="200"/>
        <w:rPr>
          <w:kern w:val="44"/>
          <w:szCs w:val="32"/>
        </w:rPr>
      </w:pPr>
      <w:r>
        <w:rPr>
          <w:kern w:val="44"/>
          <w:szCs w:val="32"/>
        </w:rPr>
        <w:t>1</w:t>
      </w:r>
      <w:r>
        <w:rPr>
          <w:rFonts w:hint="default" w:ascii="Times New Roman" w:hAnsi="Times New Roman" w:eastAsia="方正仿宋_GBK" w:cs="Times New Roman"/>
          <w:b w:val="0"/>
          <w:bCs w:val="0"/>
          <w:sz w:val="32"/>
          <w:szCs w:val="32"/>
          <w:lang w:val="en-US" w:eastAsia="zh-CN"/>
        </w:rPr>
        <w:t>．</w:t>
      </w:r>
      <w:r>
        <w:rPr>
          <w:kern w:val="44"/>
          <w:szCs w:val="32"/>
        </w:rPr>
        <w:t>消防建筑中，消防指挥中心、消防车库及其值班用房，抗震设防类别应不低于重点设防类。</w:t>
      </w:r>
    </w:p>
    <w:p>
      <w:pPr>
        <w:tabs>
          <w:tab w:val="left" w:pos="312"/>
        </w:tabs>
        <w:spacing w:line="576" w:lineRule="exact"/>
        <w:ind w:firstLine="640" w:firstLineChars="200"/>
        <w:rPr>
          <w:kern w:val="44"/>
          <w:szCs w:val="32"/>
        </w:rPr>
      </w:pPr>
      <w:r>
        <w:rPr>
          <w:kern w:val="44"/>
          <w:szCs w:val="32"/>
        </w:rPr>
        <w:t>2</w:t>
      </w:r>
      <w:r>
        <w:rPr>
          <w:rFonts w:hint="default" w:ascii="Times New Roman" w:hAnsi="Times New Roman" w:eastAsia="方正仿宋_GBK" w:cs="Times New Roman"/>
          <w:b w:val="0"/>
          <w:bCs w:val="0"/>
          <w:sz w:val="32"/>
          <w:szCs w:val="32"/>
          <w:lang w:val="en-US" w:eastAsia="zh-CN"/>
        </w:rPr>
        <w:t>．</w:t>
      </w:r>
      <w:r>
        <w:rPr>
          <w:kern w:val="44"/>
          <w:szCs w:val="32"/>
        </w:rPr>
        <w:t>新建消防站应严格按照相关要求进行抗震设防与抗震设计，对于在役消防站应按照规范要求进行抗震鉴定与加固。</w:t>
      </w:r>
    </w:p>
    <w:p>
      <w:pPr>
        <w:spacing w:line="576" w:lineRule="exact"/>
        <w:ind w:firstLine="640" w:firstLineChars="200"/>
        <w:rPr>
          <w:b/>
          <w:kern w:val="44"/>
          <w:szCs w:val="32"/>
        </w:rPr>
      </w:pPr>
      <w:bookmarkStart w:id="182" w:name="_Hlk110956637"/>
      <w:bookmarkEnd w:id="182"/>
      <w:r>
        <w:rPr>
          <w:kern w:val="44"/>
          <w:szCs w:val="32"/>
        </w:rPr>
        <w:t>3</w:t>
      </w:r>
      <w:r>
        <w:rPr>
          <w:rFonts w:hint="default" w:ascii="Times New Roman" w:hAnsi="Times New Roman" w:eastAsia="方正仿宋_GBK" w:cs="Times New Roman"/>
          <w:b w:val="0"/>
          <w:bCs w:val="0"/>
          <w:sz w:val="32"/>
          <w:szCs w:val="32"/>
          <w:lang w:val="en-US" w:eastAsia="zh-CN"/>
        </w:rPr>
        <w:t>．</w:t>
      </w:r>
      <w:r>
        <w:rPr>
          <w:kern w:val="44"/>
          <w:szCs w:val="32"/>
        </w:rPr>
        <w:t>加强</w:t>
      </w:r>
      <w:r>
        <w:rPr>
          <w:bCs/>
          <w:kern w:val="44"/>
          <w:szCs w:val="32"/>
        </w:rPr>
        <w:t>道路网建设，疏通老城区的消防通道，优先改造建设通往次生灾害易发区的道路。</w:t>
      </w:r>
    </w:p>
    <w:p>
      <w:pPr>
        <w:spacing w:line="576" w:lineRule="exact"/>
        <w:ind w:firstLine="640" w:firstLineChars="200"/>
        <w:rPr>
          <w:bCs/>
          <w:kern w:val="44"/>
          <w:szCs w:val="32"/>
        </w:rPr>
      </w:pPr>
      <w:r>
        <w:rPr>
          <w:bCs/>
          <w:kern w:val="44"/>
          <w:szCs w:val="32"/>
        </w:rPr>
        <w:t>4</w:t>
      </w:r>
      <w:r>
        <w:rPr>
          <w:rFonts w:hint="default" w:ascii="Times New Roman" w:hAnsi="Times New Roman" w:eastAsia="方正仿宋_GBK" w:cs="Times New Roman"/>
          <w:b w:val="0"/>
          <w:bCs w:val="0"/>
          <w:sz w:val="32"/>
          <w:szCs w:val="32"/>
          <w:lang w:val="en-US" w:eastAsia="zh-CN"/>
        </w:rPr>
        <w:t>．</w:t>
      </w:r>
      <w:r>
        <w:rPr>
          <w:bCs/>
          <w:kern w:val="44"/>
          <w:szCs w:val="32"/>
        </w:rPr>
        <w:t>对不符合建筑安全防护距离的次生灾害单位严格按照规范要求整改，同时新建加油加气站应严格按照规范要求建设。</w:t>
      </w:r>
    </w:p>
    <w:p>
      <w:pPr>
        <w:spacing w:line="576" w:lineRule="exact"/>
        <w:ind w:firstLine="640" w:firstLineChars="200"/>
        <w:rPr>
          <w:bCs/>
          <w:kern w:val="44"/>
          <w:szCs w:val="32"/>
        </w:rPr>
      </w:pPr>
      <w:r>
        <w:rPr>
          <w:bCs/>
          <w:kern w:val="44"/>
          <w:szCs w:val="32"/>
        </w:rPr>
        <w:t>5</w:t>
      </w:r>
      <w:r>
        <w:rPr>
          <w:rFonts w:hint="default" w:ascii="Times New Roman" w:hAnsi="Times New Roman" w:eastAsia="方正仿宋_GBK" w:cs="Times New Roman"/>
          <w:b w:val="0"/>
          <w:bCs w:val="0"/>
          <w:sz w:val="32"/>
          <w:szCs w:val="32"/>
          <w:lang w:val="en-US" w:eastAsia="zh-CN"/>
        </w:rPr>
        <w:t>．</w:t>
      </w:r>
      <w:r>
        <w:rPr>
          <w:bCs/>
          <w:kern w:val="44"/>
          <w:szCs w:val="32"/>
        </w:rPr>
        <w:t>加强应急避难场所的消防设施的建设和管理工作，对消防设施未设置固定及有效护栏的情况，进行加固处理。</w:t>
      </w:r>
    </w:p>
    <w:p>
      <w:pPr>
        <w:spacing w:line="576" w:lineRule="exact"/>
        <w:ind w:firstLine="640" w:firstLineChars="200"/>
        <w:rPr>
          <w:szCs w:val="32"/>
        </w:rPr>
      </w:pPr>
    </w:p>
    <w:p>
      <w:pPr>
        <w:pStyle w:val="4"/>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ascii="方正黑体_GBK"/>
          <w:bCs/>
        </w:rPr>
      </w:pPr>
      <w:r>
        <w:rPr>
          <w:rFonts w:hint="eastAsia" w:ascii="方正黑体_GBK" w:hAnsi="Times New Roman" w:eastAsia="方正黑体_GBK" w:cstheme="minorBidi"/>
          <w:bCs/>
          <w:kern w:val="0"/>
          <w:sz w:val="32"/>
          <w:szCs w:val="32"/>
          <w:lang w:val="en-US" w:eastAsia="zh-CN" w:bidi="ar-SA"/>
        </w:rPr>
        <w:t>第八章</w:t>
      </w:r>
      <w:r>
        <w:rPr>
          <w:rFonts w:ascii="方正黑体_GBK"/>
          <w:bCs/>
        </w:rPr>
        <w:t xml:space="preserve">  </w:t>
      </w:r>
      <w:bookmarkStart w:id="183" w:name="_Toc158038234"/>
      <w:bookmarkStart w:id="184" w:name="_Toc158038138"/>
      <w:bookmarkStart w:id="185" w:name="_Toc156307018"/>
      <w:r>
        <w:rPr>
          <w:rFonts w:ascii="方正黑体_GBK"/>
          <w:bCs/>
        </w:rPr>
        <w:t>地震次生灾害防御</w:t>
      </w:r>
      <w:bookmarkEnd w:id="183"/>
      <w:bookmarkEnd w:id="184"/>
      <w:bookmarkEnd w:id="185"/>
    </w:p>
    <w:p>
      <w:pPr>
        <w:keepNext/>
        <w:spacing w:line="576" w:lineRule="exact"/>
        <w:ind w:firstLine="640" w:firstLineChars="200"/>
        <w:rPr>
          <w:lang w:val="zh-CN"/>
        </w:rPr>
      </w:pP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第三十五条  </w:t>
      </w:r>
      <w:bookmarkStart w:id="186" w:name="_Toc156307019"/>
      <w:bookmarkStart w:id="187" w:name="_Toc158038235"/>
      <w:bookmarkStart w:id="188" w:name="_Toc158038139"/>
      <w:r>
        <w:rPr>
          <w:rFonts w:hint="eastAsia" w:ascii="方正黑体_GBK" w:hAnsi="Times New Roman" w:eastAsia="方正黑体_GBK" w:cstheme="minorBidi"/>
          <w:b w:val="0"/>
          <w:bCs/>
          <w:kern w:val="0"/>
          <w:sz w:val="32"/>
          <w:szCs w:val="32"/>
          <w:lang w:val="en-US" w:eastAsia="zh-CN" w:bidi="ar-SA"/>
        </w:rPr>
        <w:t>次生火灾防御</w:t>
      </w:r>
      <w:bookmarkEnd w:id="186"/>
      <w:bookmarkEnd w:id="187"/>
      <w:bookmarkEnd w:id="188"/>
    </w:p>
    <w:p>
      <w:pPr>
        <w:spacing w:line="576" w:lineRule="exact"/>
        <w:ind w:firstLine="640" w:firstLineChars="200"/>
        <w:rPr>
          <w:bCs/>
          <w:kern w:val="44"/>
          <w:szCs w:val="32"/>
        </w:rPr>
      </w:pPr>
      <w:r>
        <w:rPr>
          <w:rFonts w:hint="eastAsia"/>
          <w:bCs/>
          <w:kern w:val="44"/>
          <w:szCs w:val="32"/>
          <w:lang w:val="en-US" w:eastAsia="zh-CN"/>
        </w:rPr>
        <w:t>1</w:t>
      </w:r>
      <w:r>
        <w:rPr>
          <w:rFonts w:hint="default"/>
          <w:bCs/>
          <w:kern w:val="44"/>
          <w:szCs w:val="32"/>
          <w:lang w:val="en-US" w:eastAsia="zh-CN"/>
        </w:rPr>
        <w:t>．</w:t>
      </w:r>
      <w:r>
        <w:rPr>
          <w:rFonts w:hint="eastAsia"/>
          <w:bCs/>
          <w:kern w:val="44"/>
          <w:szCs w:val="32"/>
        </w:rPr>
        <w:t>提高设防标准</w:t>
      </w:r>
      <w:r>
        <w:rPr>
          <w:rFonts w:hint="eastAsia"/>
          <w:bCs/>
          <w:kern w:val="44"/>
          <w:szCs w:val="32"/>
          <w:lang w:eastAsia="zh-CN"/>
        </w:rPr>
        <w:t>。</w:t>
      </w:r>
    </w:p>
    <w:p>
      <w:pPr>
        <w:spacing w:line="576" w:lineRule="exact"/>
        <w:ind w:firstLine="640" w:firstLineChars="200"/>
        <w:rPr>
          <w:szCs w:val="32"/>
        </w:rPr>
      </w:pPr>
      <w:r>
        <w:rPr>
          <w:bCs/>
          <w:kern w:val="44"/>
          <w:szCs w:val="32"/>
        </w:rPr>
        <w:t>各易燃、易爆及存放化学危险品的仓库、油罐厂房等，必须按基</w:t>
      </w:r>
      <w:r>
        <w:rPr>
          <w:szCs w:val="32"/>
        </w:rPr>
        <w:t>本烈度标准提高一度进行设防和加固，并严格执行危险品的生产、储存管理条例，由专人负责。</w:t>
      </w:r>
    </w:p>
    <w:p>
      <w:pPr>
        <w:spacing w:line="576" w:lineRule="exact"/>
        <w:ind w:firstLine="640" w:firstLineChars="200"/>
        <w:rPr>
          <w:rFonts w:hint="eastAsia"/>
          <w:bCs/>
          <w:kern w:val="44"/>
          <w:szCs w:val="32"/>
          <w:lang w:val="en-US" w:eastAsia="zh-CN"/>
        </w:rPr>
      </w:pPr>
      <w:r>
        <w:rPr>
          <w:rFonts w:hint="eastAsia"/>
          <w:bCs/>
          <w:kern w:val="44"/>
          <w:szCs w:val="32"/>
          <w:lang w:val="en-US" w:eastAsia="zh-CN"/>
        </w:rPr>
        <w:t>2</w:t>
      </w:r>
      <w:r>
        <w:rPr>
          <w:rFonts w:hint="default"/>
          <w:bCs/>
          <w:kern w:val="44"/>
          <w:szCs w:val="32"/>
          <w:lang w:val="en-US" w:eastAsia="zh-CN"/>
        </w:rPr>
        <w:t>．</w:t>
      </w:r>
      <w:r>
        <w:rPr>
          <w:rFonts w:hint="eastAsia"/>
          <w:bCs/>
          <w:kern w:val="44"/>
          <w:szCs w:val="32"/>
          <w:lang w:val="en-US" w:eastAsia="zh-CN"/>
        </w:rPr>
        <w:t>加快旧城改造，提高消防条件。</w:t>
      </w:r>
    </w:p>
    <w:p>
      <w:pPr>
        <w:tabs>
          <w:tab w:val="left" w:pos="312"/>
        </w:tabs>
        <w:spacing w:line="576" w:lineRule="exact"/>
        <w:ind w:firstLine="640" w:firstLineChars="200"/>
        <w:rPr>
          <w:szCs w:val="32"/>
        </w:rPr>
      </w:pPr>
      <w:r>
        <w:rPr>
          <w:szCs w:val="32"/>
        </w:rPr>
        <w:t>结合城市建设，积极改造旧城区。拓宽救援通道，合理设置消防设施，为抢救创造良好条件。改善房屋结构，逐步缩小易燃房屋区。城市新建建筑一般应达到一、二级耐火等级，控制三级，严格限制四级耐火建筑。</w:t>
      </w:r>
    </w:p>
    <w:p>
      <w:pPr>
        <w:spacing w:line="576" w:lineRule="exact"/>
        <w:ind w:firstLine="640" w:firstLineChars="200"/>
        <w:rPr>
          <w:rFonts w:hint="eastAsia"/>
          <w:bCs/>
          <w:kern w:val="44"/>
          <w:szCs w:val="32"/>
          <w:lang w:val="en-US" w:eastAsia="zh-CN"/>
        </w:rPr>
      </w:pPr>
      <w:r>
        <w:rPr>
          <w:rFonts w:hint="eastAsia"/>
          <w:bCs/>
          <w:kern w:val="44"/>
          <w:szCs w:val="32"/>
          <w:lang w:val="en-US" w:eastAsia="zh-CN"/>
        </w:rPr>
        <w:t>3</w:t>
      </w:r>
      <w:r>
        <w:rPr>
          <w:rFonts w:hint="default"/>
          <w:bCs/>
          <w:kern w:val="44"/>
          <w:szCs w:val="32"/>
          <w:lang w:val="en-US" w:eastAsia="zh-CN"/>
        </w:rPr>
        <w:t>．</w:t>
      </w:r>
      <w:r>
        <w:rPr>
          <w:rFonts w:hint="eastAsia"/>
          <w:bCs/>
          <w:kern w:val="44"/>
          <w:szCs w:val="32"/>
          <w:lang w:val="en-US" w:eastAsia="zh-CN"/>
        </w:rPr>
        <w:t>完善液化气储配站和加油站防火制度和相关措施。</w:t>
      </w:r>
    </w:p>
    <w:p>
      <w:pPr>
        <w:tabs>
          <w:tab w:val="left" w:pos="312"/>
        </w:tabs>
        <w:spacing w:line="576" w:lineRule="exact"/>
        <w:ind w:firstLine="640" w:firstLineChars="200"/>
        <w:rPr>
          <w:szCs w:val="32"/>
        </w:rPr>
      </w:pPr>
      <w:r>
        <w:rPr>
          <w:szCs w:val="32"/>
        </w:rPr>
        <w:t>液化气储配站和加油站要远离城市密集区，应布局在城市外围，严格执行部门安全规范和管理要求，并不断完善和改进瓶装液化气管理制度，定期开展安全检查，严格落实安全责任制。同时，更新陈旧设备，保障设备的安全运行。</w:t>
      </w:r>
    </w:p>
    <w:p>
      <w:pPr>
        <w:spacing w:line="576" w:lineRule="exact"/>
        <w:ind w:firstLine="640" w:firstLineChars="200"/>
        <w:rPr>
          <w:rFonts w:hint="eastAsia"/>
          <w:bCs/>
          <w:kern w:val="44"/>
          <w:szCs w:val="32"/>
          <w:lang w:val="en-US" w:eastAsia="zh-CN"/>
        </w:rPr>
      </w:pPr>
      <w:r>
        <w:rPr>
          <w:rFonts w:hint="eastAsia"/>
          <w:bCs/>
          <w:kern w:val="44"/>
          <w:szCs w:val="32"/>
          <w:lang w:val="en-US" w:eastAsia="zh-CN"/>
        </w:rPr>
        <w:t>4</w:t>
      </w:r>
      <w:r>
        <w:rPr>
          <w:rFonts w:hint="default"/>
          <w:bCs/>
          <w:kern w:val="44"/>
          <w:szCs w:val="32"/>
          <w:lang w:val="en-US" w:eastAsia="zh-CN"/>
        </w:rPr>
        <w:t>．</w:t>
      </w:r>
      <w:r>
        <w:rPr>
          <w:rFonts w:hint="eastAsia"/>
          <w:bCs/>
          <w:kern w:val="44"/>
          <w:szCs w:val="32"/>
          <w:lang w:val="en-US" w:eastAsia="zh-CN"/>
        </w:rPr>
        <w:t>完善燃气设施、设备防火制度。</w:t>
      </w:r>
    </w:p>
    <w:p>
      <w:pPr>
        <w:tabs>
          <w:tab w:val="left" w:pos="312"/>
        </w:tabs>
        <w:spacing w:line="576" w:lineRule="exact"/>
        <w:ind w:firstLine="640" w:firstLineChars="200"/>
        <w:rPr>
          <w:szCs w:val="32"/>
        </w:rPr>
      </w:pPr>
      <w:r>
        <w:rPr>
          <w:szCs w:val="32"/>
        </w:rPr>
        <w:t>对于现状LPG燃气储配站应尽快按设防标准开展抗震性能鉴定，并开展加固改造；对于安全间距不足的天然气门站等燃气设施有条件搬迁。新建天然气门站和液化气站等重要燃气设施，应按相关标准进行建设；天然气门站、液化气站应采用开辟绿化隔离带、控制防火安全距离等措施，保障其消防安全。</w:t>
      </w:r>
    </w:p>
    <w:p>
      <w:pPr>
        <w:spacing w:line="576" w:lineRule="exact"/>
        <w:ind w:firstLine="640" w:firstLineChars="200"/>
        <w:rPr>
          <w:rFonts w:hint="eastAsia"/>
          <w:bCs/>
          <w:kern w:val="44"/>
          <w:szCs w:val="32"/>
          <w:lang w:val="en-US" w:eastAsia="zh-CN"/>
        </w:rPr>
      </w:pPr>
      <w:r>
        <w:rPr>
          <w:rFonts w:hint="eastAsia"/>
          <w:bCs/>
          <w:kern w:val="44"/>
          <w:szCs w:val="32"/>
          <w:lang w:val="en-US" w:eastAsia="zh-CN"/>
        </w:rPr>
        <w:t>5</w:t>
      </w:r>
      <w:r>
        <w:rPr>
          <w:rFonts w:hint="default"/>
          <w:bCs/>
          <w:kern w:val="44"/>
          <w:szCs w:val="32"/>
          <w:lang w:val="en-US" w:eastAsia="zh-CN"/>
        </w:rPr>
        <w:t>．</w:t>
      </w:r>
      <w:r>
        <w:rPr>
          <w:rFonts w:hint="eastAsia"/>
          <w:bCs/>
          <w:kern w:val="44"/>
          <w:szCs w:val="32"/>
          <w:lang w:val="en-US" w:eastAsia="zh-CN"/>
        </w:rPr>
        <w:t>加强危险化学品重大危险源监控体系。</w:t>
      </w:r>
    </w:p>
    <w:p>
      <w:pPr>
        <w:tabs>
          <w:tab w:val="left" w:pos="312"/>
        </w:tabs>
        <w:spacing w:line="576" w:lineRule="exact"/>
        <w:ind w:firstLine="640" w:firstLineChars="200"/>
        <w:rPr>
          <w:rFonts w:hint="eastAsia" w:ascii="方正仿宋_GBK" w:hAnsi="方正仿宋_GBK" w:eastAsia="方正仿宋_GBK" w:cs="方正仿宋_GBK"/>
          <w:szCs w:val="32"/>
        </w:rPr>
      </w:pPr>
      <w:r>
        <w:rPr>
          <w:szCs w:val="32"/>
        </w:rPr>
        <w:t>加强危险化学品重大危险源监控体系，实施重大事故隐患排查、登记、建档工作。搬迁城区内安全距离不达标的危险化学品生产和储存企业。易产生次生灾害的企业，新建和改建时必须按</w:t>
      </w:r>
      <w:r>
        <w:rPr>
          <w:rFonts w:hint="eastAsia" w:ascii="方正仿宋_GBK" w:hAnsi="方正仿宋_GBK" w:eastAsia="方正仿宋_GBK" w:cs="方正仿宋_GBK"/>
          <w:szCs w:val="32"/>
        </w:rPr>
        <w:t>有关规定，进行抗震设防。选择抗震有利场地，避开城区和城区的上风、上水方向，并严格遵照“设在城市边缘的独立安全地区，并与人员密集的公共建筑保持规定的防火安全距离”的要求设置。</w:t>
      </w:r>
    </w:p>
    <w:p>
      <w:pPr>
        <w:spacing w:line="576" w:lineRule="exact"/>
        <w:ind w:firstLine="640" w:firstLineChars="200"/>
        <w:rPr>
          <w:rFonts w:hint="eastAsia"/>
          <w:bCs/>
          <w:kern w:val="44"/>
          <w:szCs w:val="32"/>
          <w:lang w:val="en-US" w:eastAsia="zh-CN"/>
        </w:rPr>
      </w:pPr>
      <w:r>
        <w:rPr>
          <w:rFonts w:hint="eastAsia"/>
          <w:bCs/>
          <w:kern w:val="44"/>
          <w:szCs w:val="32"/>
          <w:lang w:val="en-US" w:eastAsia="zh-CN"/>
        </w:rPr>
        <w:t>6</w:t>
      </w:r>
      <w:r>
        <w:rPr>
          <w:rFonts w:hint="default"/>
          <w:bCs/>
          <w:kern w:val="44"/>
          <w:szCs w:val="32"/>
          <w:lang w:val="en-US" w:eastAsia="zh-CN"/>
        </w:rPr>
        <w:t>．</w:t>
      </w:r>
      <w:r>
        <w:rPr>
          <w:rFonts w:hint="eastAsia"/>
          <w:bCs/>
          <w:kern w:val="44"/>
          <w:szCs w:val="32"/>
          <w:lang w:val="en-US" w:eastAsia="zh-CN"/>
        </w:rPr>
        <w:t>完善大型公建消防设施。</w:t>
      </w:r>
    </w:p>
    <w:p>
      <w:pPr>
        <w:tabs>
          <w:tab w:val="left" w:pos="312"/>
        </w:tabs>
        <w:spacing w:line="576" w:lineRule="exact"/>
        <w:ind w:firstLine="640" w:firstLineChars="200"/>
        <w:rPr>
          <w:szCs w:val="32"/>
        </w:rPr>
      </w:pPr>
      <w:r>
        <w:rPr>
          <w:szCs w:val="32"/>
        </w:rPr>
        <w:t>加强对大型商场、酒店、娱乐场所等人员密集场所地震次生火灾可能发生的隐患控制，保证周边交通畅通，严禁占用消防通道。远离易燃、易爆、化工危险品生产、储存区域，并与周边建、构筑物保持一定的防火间距。</w:t>
      </w:r>
    </w:p>
    <w:p>
      <w:pPr>
        <w:spacing w:line="576" w:lineRule="exact"/>
        <w:ind w:firstLine="640" w:firstLineChars="200"/>
        <w:rPr>
          <w:rFonts w:hint="eastAsia"/>
          <w:bCs/>
          <w:kern w:val="44"/>
          <w:szCs w:val="32"/>
          <w:lang w:val="en-US" w:eastAsia="zh-CN"/>
        </w:rPr>
      </w:pPr>
      <w:r>
        <w:rPr>
          <w:rFonts w:hint="eastAsia"/>
          <w:bCs/>
          <w:kern w:val="44"/>
          <w:szCs w:val="32"/>
          <w:lang w:val="en-US" w:eastAsia="zh-CN"/>
        </w:rPr>
        <w:t>7</w:t>
      </w:r>
      <w:r>
        <w:rPr>
          <w:rFonts w:hint="default"/>
          <w:bCs/>
          <w:kern w:val="44"/>
          <w:szCs w:val="32"/>
          <w:lang w:val="en-US" w:eastAsia="zh-CN"/>
        </w:rPr>
        <w:t>．</w:t>
      </w:r>
      <w:r>
        <w:rPr>
          <w:rFonts w:hint="eastAsia"/>
          <w:bCs/>
          <w:kern w:val="44"/>
          <w:szCs w:val="32"/>
          <w:lang w:val="en-US" w:eastAsia="zh-CN"/>
        </w:rPr>
        <w:t>建立应急预案，加强临场指挥安排。</w:t>
      </w:r>
    </w:p>
    <w:p>
      <w:pPr>
        <w:tabs>
          <w:tab w:val="left" w:pos="312"/>
        </w:tabs>
        <w:spacing w:line="576" w:lineRule="exact"/>
        <w:ind w:firstLine="640" w:firstLineChars="200"/>
        <w:rPr>
          <w:szCs w:val="32"/>
        </w:rPr>
      </w:pPr>
      <w:r>
        <w:rPr>
          <w:szCs w:val="32"/>
        </w:rPr>
        <w:t>结合各级政府建立安全生产应急救援指挥中心，整合现有应急救援资源，组建应急救援队伍，配备相应救援装备。地震来临预报发布后，石油公司、液化气站应停止营业或限制营业。</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第三十六条  </w:t>
      </w:r>
      <w:bookmarkStart w:id="189" w:name="_Toc156307020"/>
      <w:bookmarkStart w:id="190" w:name="_Toc158038236"/>
      <w:bookmarkStart w:id="191" w:name="_Toc158038140"/>
      <w:r>
        <w:rPr>
          <w:rFonts w:hint="eastAsia" w:ascii="方正黑体_GBK" w:hAnsi="Times New Roman" w:eastAsia="方正黑体_GBK" w:cstheme="minorBidi"/>
          <w:b w:val="0"/>
          <w:bCs/>
          <w:kern w:val="0"/>
          <w:sz w:val="32"/>
          <w:szCs w:val="32"/>
          <w:lang w:val="en-US" w:eastAsia="zh-CN" w:bidi="ar-SA"/>
        </w:rPr>
        <w:t>次生水灾防御</w:t>
      </w:r>
      <w:bookmarkEnd w:id="189"/>
      <w:bookmarkEnd w:id="190"/>
      <w:bookmarkEnd w:id="191"/>
    </w:p>
    <w:p>
      <w:pPr>
        <w:numPr>
          <w:ilvl w:val="0"/>
          <w:numId w:val="0"/>
        </w:numPr>
        <w:tabs>
          <w:tab w:val="left" w:pos="312"/>
        </w:tabs>
        <w:spacing w:line="576" w:lineRule="exact"/>
        <w:ind w:firstLine="640" w:firstLineChars="200"/>
        <w:rPr>
          <w:szCs w:val="32"/>
        </w:rPr>
      </w:pPr>
      <w:r>
        <w:rPr>
          <w:rFonts w:ascii="Times New Roman" w:hAnsi="Times New Roman" w:eastAsia="方正仿宋_GBK" w:cs="Times New Roman"/>
          <w:kern w:val="2"/>
          <w:sz w:val="32"/>
          <w:szCs w:val="32"/>
          <w:lang w:val="en-US" w:eastAsia="zh-CN" w:bidi="ar-SA"/>
        </w:rPr>
        <w:t>1</w:t>
      </w:r>
      <w:r>
        <w:rPr>
          <w:rFonts w:hint="default" w:ascii="Times New Roman" w:hAnsi="Times New Roman" w:eastAsia="方正仿宋_GBK" w:cs="Times New Roman"/>
          <w:b w:val="0"/>
          <w:bCs w:val="0"/>
          <w:sz w:val="32"/>
          <w:szCs w:val="32"/>
          <w:lang w:val="en-US" w:eastAsia="zh-CN"/>
        </w:rPr>
        <w:t>．</w:t>
      </w:r>
      <w:r>
        <w:rPr>
          <w:szCs w:val="32"/>
        </w:rPr>
        <w:t>对地震次生水灾要贯彻以预防为主，重视薄弱环节的原则。对本地区的地震水灾危险性进行评估，确定其危险地段或薄弱环节，制定并实施防灾计划。对水库、湖泊、河流沿岸</w:t>
      </w:r>
      <w:r>
        <w:rPr>
          <w:rFonts w:hint="eastAsia"/>
          <w:szCs w:val="32"/>
        </w:rPr>
        <w:t>的</w:t>
      </w:r>
      <w:r>
        <w:rPr>
          <w:szCs w:val="32"/>
        </w:rPr>
        <w:t>滑坡、泥石流危险段进行综合治理。</w:t>
      </w:r>
    </w:p>
    <w:p>
      <w:pPr>
        <w:pageBreakBefore w:val="0"/>
        <w:widowControl w:val="0"/>
        <w:numPr>
          <w:ilvl w:val="0"/>
          <w:numId w:val="0"/>
        </w:numPr>
        <w:tabs>
          <w:tab w:val="left" w:pos="312"/>
        </w:tabs>
        <w:kinsoku/>
        <w:wordWrap/>
        <w:overflowPunct/>
        <w:topLinePunct w:val="0"/>
        <w:autoSpaceDE/>
        <w:autoSpaceDN/>
        <w:bidi w:val="0"/>
        <w:adjustRightInd/>
        <w:snapToGrid/>
        <w:spacing w:line="576" w:lineRule="exact"/>
        <w:ind w:left="0" w:leftChars="0" w:right="0" w:rightChars="0" w:firstLine="640" w:firstLineChars="200"/>
        <w:jc w:val="both"/>
        <w:textAlignment w:val="auto"/>
        <w:rPr>
          <w:szCs w:val="32"/>
        </w:rPr>
      </w:pPr>
      <w:r>
        <w:rPr>
          <w:rFonts w:ascii="Times New Roman" w:hAnsi="Times New Roman" w:eastAsia="方正仿宋_GBK" w:cs="Times New Roman"/>
          <w:kern w:val="2"/>
          <w:sz w:val="32"/>
          <w:szCs w:val="32"/>
          <w:lang w:val="en-US" w:eastAsia="zh-CN" w:bidi="ar-SA"/>
        </w:rPr>
        <w:t>2</w:t>
      </w:r>
      <w:r>
        <w:rPr>
          <w:rFonts w:hint="default" w:ascii="Times New Roman" w:hAnsi="Times New Roman" w:eastAsia="方正仿宋_GBK" w:cs="Times New Roman"/>
          <w:b w:val="0"/>
          <w:bCs w:val="0"/>
          <w:sz w:val="32"/>
          <w:szCs w:val="32"/>
          <w:lang w:val="en-US" w:eastAsia="zh-CN"/>
        </w:rPr>
        <w:t>．</w:t>
      </w:r>
      <w:r>
        <w:rPr>
          <w:szCs w:val="32"/>
        </w:rPr>
        <w:t>加固城市防洪设施，城市防洪设施抗震设防等级按不低于6度设防，对地质活动带周边的防洪设施至少提高1度设防。</w:t>
      </w:r>
    </w:p>
    <w:p>
      <w:pPr>
        <w:pageBreakBefore w:val="0"/>
        <w:widowControl w:val="0"/>
        <w:numPr>
          <w:ilvl w:val="0"/>
          <w:numId w:val="0"/>
        </w:numPr>
        <w:tabs>
          <w:tab w:val="left" w:pos="312"/>
        </w:tabs>
        <w:kinsoku/>
        <w:wordWrap/>
        <w:overflowPunct/>
        <w:topLinePunct w:val="0"/>
        <w:autoSpaceDE/>
        <w:autoSpaceDN/>
        <w:bidi w:val="0"/>
        <w:adjustRightInd/>
        <w:snapToGrid/>
        <w:spacing w:line="576" w:lineRule="exact"/>
        <w:ind w:left="0" w:leftChars="0" w:right="0" w:rightChars="0" w:firstLine="640" w:firstLineChars="200"/>
        <w:jc w:val="both"/>
        <w:textAlignment w:val="auto"/>
        <w:rPr>
          <w:szCs w:val="32"/>
        </w:rPr>
      </w:pPr>
      <w:r>
        <w:rPr>
          <w:rFonts w:ascii="Times New Roman" w:hAnsi="Times New Roman" w:eastAsia="方正仿宋_GBK" w:cs="Times New Roman"/>
          <w:kern w:val="2"/>
          <w:sz w:val="32"/>
          <w:szCs w:val="32"/>
          <w:lang w:val="en-US" w:eastAsia="zh-CN" w:bidi="ar-SA"/>
        </w:rPr>
        <w:t>3</w:t>
      </w:r>
      <w:r>
        <w:rPr>
          <w:rFonts w:hint="default" w:ascii="Times New Roman" w:hAnsi="Times New Roman" w:eastAsia="方正仿宋_GBK" w:cs="Times New Roman"/>
          <w:b w:val="0"/>
          <w:bCs w:val="0"/>
          <w:sz w:val="32"/>
          <w:szCs w:val="32"/>
          <w:lang w:val="en-US" w:eastAsia="zh-CN"/>
        </w:rPr>
        <w:t>．</w:t>
      </w:r>
      <w:r>
        <w:rPr>
          <w:szCs w:val="32"/>
        </w:rPr>
        <w:t>疏解重要河流两岸受洪水威胁居民点。</w:t>
      </w:r>
    </w:p>
    <w:p>
      <w:pPr>
        <w:pageBreakBefore w:val="0"/>
        <w:widowControl w:val="0"/>
        <w:numPr>
          <w:ilvl w:val="0"/>
          <w:numId w:val="0"/>
        </w:numPr>
        <w:tabs>
          <w:tab w:val="left" w:pos="312"/>
        </w:tabs>
        <w:kinsoku/>
        <w:wordWrap/>
        <w:overflowPunct/>
        <w:topLinePunct w:val="0"/>
        <w:autoSpaceDE/>
        <w:autoSpaceDN/>
        <w:bidi w:val="0"/>
        <w:adjustRightInd/>
        <w:snapToGrid/>
        <w:spacing w:line="576" w:lineRule="exact"/>
        <w:ind w:left="0" w:leftChars="0" w:right="0" w:rightChars="0" w:firstLine="640" w:firstLineChars="200"/>
        <w:jc w:val="both"/>
        <w:textAlignment w:val="auto"/>
        <w:rPr>
          <w:szCs w:val="32"/>
        </w:rPr>
      </w:pPr>
      <w:r>
        <w:rPr>
          <w:rFonts w:ascii="Times New Roman" w:hAnsi="Times New Roman" w:eastAsia="方正仿宋_GBK" w:cs="Times New Roman"/>
          <w:kern w:val="2"/>
          <w:sz w:val="32"/>
          <w:szCs w:val="32"/>
          <w:lang w:val="en-US" w:eastAsia="zh-CN" w:bidi="ar-SA"/>
        </w:rPr>
        <w:t>4</w:t>
      </w:r>
      <w:r>
        <w:rPr>
          <w:rFonts w:hint="default" w:ascii="Times New Roman" w:hAnsi="Times New Roman" w:eastAsia="方正仿宋_GBK" w:cs="Times New Roman"/>
          <w:b w:val="0"/>
          <w:bCs w:val="0"/>
          <w:sz w:val="32"/>
          <w:szCs w:val="32"/>
          <w:lang w:val="en-US" w:eastAsia="zh-CN"/>
        </w:rPr>
        <w:t>．</w:t>
      </w:r>
      <w:r>
        <w:rPr>
          <w:szCs w:val="32"/>
        </w:rPr>
        <w:t>加强水环境治理，疏浚河道淤泥，提升河道通流能力。</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第三十七条  </w:t>
      </w:r>
      <w:bookmarkStart w:id="192" w:name="_Toc158038141"/>
      <w:bookmarkStart w:id="193" w:name="_Toc156307021"/>
      <w:bookmarkStart w:id="194" w:name="_Toc158038237"/>
      <w:r>
        <w:rPr>
          <w:rFonts w:hint="eastAsia" w:ascii="方正黑体_GBK" w:hAnsi="Times New Roman" w:eastAsia="方正黑体_GBK" w:cstheme="minorBidi"/>
          <w:b w:val="0"/>
          <w:bCs/>
          <w:kern w:val="0"/>
          <w:sz w:val="32"/>
          <w:szCs w:val="32"/>
          <w:lang w:val="en-US" w:eastAsia="zh-CN" w:bidi="ar-SA"/>
        </w:rPr>
        <w:t>次生爆炸防御</w:t>
      </w:r>
      <w:bookmarkEnd w:id="192"/>
      <w:bookmarkEnd w:id="193"/>
      <w:bookmarkEnd w:id="194"/>
    </w:p>
    <w:p>
      <w:pPr>
        <w:pageBreakBefore w:val="0"/>
        <w:widowControl w:val="0"/>
        <w:numPr>
          <w:ilvl w:val="0"/>
          <w:numId w:val="0"/>
        </w:numPr>
        <w:tabs>
          <w:tab w:val="left" w:pos="312"/>
        </w:tabs>
        <w:kinsoku/>
        <w:wordWrap/>
        <w:overflowPunct/>
        <w:topLinePunct w:val="0"/>
        <w:autoSpaceDE/>
        <w:autoSpaceDN/>
        <w:bidi w:val="0"/>
        <w:adjustRightInd/>
        <w:snapToGrid/>
        <w:spacing w:line="576" w:lineRule="exact"/>
        <w:ind w:left="0" w:leftChars="0" w:right="0" w:rightChars="0" w:firstLine="640" w:firstLineChars="200"/>
        <w:jc w:val="both"/>
        <w:textAlignment w:val="auto"/>
        <w:rPr>
          <w:szCs w:val="32"/>
        </w:rPr>
      </w:pPr>
      <w:r>
        <w:rPr>
          <w:rFonts w:ascii="Times New Roman" w:hAnsi="Times New Roman" w:eastAsia="方正仿宋_GBK" w:cs="Times New Roman"/>
          <w:kern w:val="2"/>
          <w:sz w:val="32"/>
          <w:szCs w:val="32"/>
          <w:lang w:val="en-US" w:eastAsia="zh-CN" w:bidi="ar-SA"/>
        </w:rPr>
        <w:t>1</w:t>
      </w:r>
      <w:r>
        <w:rPr>
          <w:rFonts w:hint="default" w:ascii="Times New Roman" w:hAnsi="Times New Roman" w:eastAsia="方正仿宋_GBK" w:cs="Times New Roman"/>
          <w:b w:val="0"/>
          <w:bCs w:val="0"/>
          <w:sz w:val="32"/>
          <w:szCs w:val="32"/>
          <w:lang w:val="en-US" w:eastAsia="zh-CN"/>
        </w:rPr>
        <w:t>．</w:t>
      </w:r>
      <w:r>
        <w:rPr>
          <w:szCs w:val="32"/>
        </w:rPr>
        <w:t>化工、石化等企业和储存仓库应做好安全防范工作，防止地震发生时产生毒气泄漏或引发爆炸事故。</w:t>
      </w:r>
    </w:p>
    <w:p>
      <w:pPr>
        <w:pageBreakBefore w:val="0"/>
        <w:widowControl w:val="0"/>
        <w:numPr>
          <w:ilvl w:val="0"/>
          <w:numId w:val="0"/>
        </w:numPr>
        <w:tabs>
          <w:tab w:val="left" w:pos="312"/>
        </w:tabs>
        <w:kinsoku/>
        <w:wordWrap/>
        <w:overflowPunct/>
        <w:topLinePunct w:val="0"/>
        <w:autoSpaceDE/>
        <w:autoSpaceDN/>
        <w:bidi w:val="0"/>
        <w:adjustRightInd/>
        <w:snapToGrid/>
        <w:spacing w:line="576" w:lineRule="exact"/>
        <w:ind w:left="0" w:leftChars="0" w:right="0" w:rightChars="0" w:firstLine="640" w:firstLineChars="200"/>
        <w:jc w:val="both"/>
        <w:textAlignment w:val="auto"/>
        <w:rPr>
          <w:szCs w:val="32"/>
        </w:rPr>
      </w:pPr>
      <w:r>
        <w:rPr>
          <w:rFonts w:ascii="Times New Roman" w:hAnsi="Times New Roman" w:eastAsia="方正仿宋_GBK" w:cs="Times New Roman"/>
          <w:kern w:val="2"/>
          <w:sz w:val="32"/>
          <w:szCs w:val="32"/>
          <w:lang w:val="en-US" w:eastAsia="zh-CN" w:bidi="ar-SA"/>
        </w:rPr>
        <w:t>2</w:t>
      </w:r>
      <w:r>
        <w:rPr>
          <w:rFonts w:hint="default" w:ascii="Times New Roman" w:hAnsi="Times New Roman" w:eastAsia="方正仿宋_GBK" w:cs="Times New Roman"/>
          <w:b w:val="0"/>
          <w:bCs w:val="0"/>
          <w:sz w:val="32"/>
          <w:szCs w:val="32"/>
          <w:lang w:val="en-US" w:eastAsia="zh-CN"/>
        </w:rPr>
        <w:t>．</w:t>
      </w:r>
      <w:r>
        <w:rPr>
          <w:szCs w:val="32"/>
        </w:rPr>
        <w:t>对易燃易爆、有毒有害物质的生产、储存装置及管道进行抗震鉴定和抗震加固，防止由于工程原因造成地震次生灾害。</w:t>
      </w:r>
    </w:p>
    <w:p>
      <w:pPr>
        <w:pageBreakBefore w:val="0"/>
        <w:widowControl w:val="0"/>
        <w:numPr>
          <w:ilvl w:val="0"/>
          <w:numId w:val="0"/>
        </w:numPr>
        <w:tabs>
          <w:tab w:val="left" w:pos="312"/>
        </w:tabs>
        <w:kinsoku/>
        <w:wordWrap/>
        <w:overflowPunct/>
        <w:topLinePunct w:val="0"/>
        <w:autoSpaceDE/>
        <w:autoSpaceDN/>
        <w:bidi w:val="0"/>
        <w:adjustRightInd/>
        <w:snapToGrid/>
        <w:spacing w:line="600" w:lineRule="exact"/>
        <w:ind w:left="0" w:leftChars="0" w:right="0" w:rightChars="0" w:firstLine="560" w:firstLineChars="0"/>
        <w:jc w:val="both"/>
        <w:textAlignment w:val="auto"/>
        <w:rPr>
          <w:spacing w:val="6"/>
          <w:w w:val="102"/>
          <w:szCs w:val="32"/>
        </w:rPr>
      </w:pPr>
      <w:r>
        <w:rPr>
          <w:rFonts w:ascii="Times New Roman" w:hAnsi="Times New Roman" w:eastAsia="方正仿宋_GBK" w:cs="Times New Roman"/>
          <w:kern w:val="2"/>
          <w:sz w:val="32"/>
          <w:szCs w:val="32"/>
          <w:lang w:val="en-US" w:eastAsia="zh-CN" w:bidi="ar-SA"/>
        </w:rPr>
        <w:t>3</w:t>
      </w:r>
      <w:r>
        <w:rPr>
          <w:rFonts w:hint="default" w:ascii="Times New Roman" w:hAnsi="Times New Roman" w:eastAsia="方正仿宋_GBK" w:cs="Times New Roman"/>
          <w:b w:val="0"/>
          <w:bCs w:val="0"/>
          <w:sz w:val="32"/>
          <w:szCs w:val="32"/>
          <w:lang w:val="en-US" w:eastAsia="zh-CN"/>
        </w:rPr>
        <w:t>．</w:t>
      </w:r>
      <w:r>
        <w:rPr>
          <w:spacing w:val="6"/>
          <w:w w:val="102"/>
          <w:szCs w:val="32"/>
        </w:rPr>
        <w:t>做好油库、液化气储罐站、加油站等</w:t>
      </w:r>
      <w:r>
        <w:rPr>
          <w:rFonts w:hint="eastAsia"/>
          <w:spacing w:val="6"/>
          <w:w w:val="102"/>
          <w:szCs w:val="32"/>
        </w:rPr>
        <w:t>设施</w:t>
      </w:r>
      <w:r>
        <w:rPr>
          <w:spacing w:val="6"/>
          <w:w w:val="102"/>
          <w:szCs w:val="32"/>
        </w:rPr>
        <w:t>的消防</w:t>
      </w:r>
      <w:r>
        <w:rPr>
          <w:rFonts w:hint="eastAsia"/>
          <w:spacing w:val="6"/>
          <w:w w:val="102"/>
          <w:szCs w:val="32"/>
        </w:rPr>
        <w:t>防护措施</w:t>
      </w:r>
      <w:r>
        <w:rPr>
          <w:spacing w:val="6"/>
          <w:w w:val="102"/>
          <w:szCs w:val="32"/>
        </w:rPr>
        <w:t>。</w:t>
      </w:r>
    </w:p>
    <w:p>
      <w:pPr>
        <w:pageBreakBefore w:val="0"/>
        <w:widowControl w:val="0"/>
        <w:numPr>
          <w:ilvl w:val="0"/>
          <w:numId w:val="0"/>
        </w:numPr>
        <w:tabs>
          <w:tab w:val="left" w:pos="312"/>
        </w:tabs>
        <w:kinsoku/>
        <w:wordWrap/>
        <w:overflowPunct/>
        <w:topLinePunct w:val="0"/>
        <w:autoSpaceDE/>
        <w:autoSpaceDN/>
        <w:bidi w:val="0"/>
        <w:adjustRightInd/>
        <w:snapToGrid/>
        <w:spacing w:line="600" w:lineRule="exact"/>
        <w:ind w:left="0" w:leftChars="0" w:right="0" w:rightChars="0" w:firstLine="560" w:firstLineChars="0"/>
        <w:jc w:val="both"/>
        <w:textAlignment w:val="auto"/>
        <w:rPr>
          <w:szCs w:val="32"/>
          <w:u w:val="none"/>
        </w:rPr>
      </w:pPr>
      <w:r>
        <w:rPr>
          <w:rFonts w:ascii="Times New Roman" w:hAnsi="Times New Roman" w:eastAsia="方正仿宋_GBK" w:cs="Times New Roman"/>
          <w:kern w:val="2"/>
          <w:sz w:val="32"/>
          <w:szCs w:val="32"/>
          <w:lang w:val="en-US" w:eastAsia="zh-CN" w:bidi="ar-SA"/>
        </w:rPr>
        <w:t>4</w:t>
      </w:r>
      <w:r>
        <w:rPr>
          <w:rFonts w:hint="default" w:ascii="Times New Roman" w:hAnsi="Times New Roman" w:eastAsia="方正仿宋_GBK" w:cs="Times New Roman"/>
          <w:b w:val="0"/>
          <w:bCs w:val="0"/>
          <w:sz w:val="32"/>
          <w:szCs w:val="32"/>
          <w:lang w:val="en-US" w:eastAsia="zh-CN"/>
        </w:rPr>
        <w:t>．</w:t>
      </w:r>
      <w:r>
        <w:rPr>
          <w:szCs w:val="32"/>
          <w:u w:val="none"/>
        </w:rPr>
        <w:t>对处于居住区、城市建成区、人员密集地带附近贮有危险品、化学品的企业，规划应进行调整搬迁，严格执行《危险化学品安全管理条例》（2023修订）。</w:t>
      </w:r>
    </w:p>
    <w:p>
      <w:pPr>
        <w:pageBreakBefore w:val="0"/>
        <w:widowControl w:val="0"/>
        <w:numPr>
          <w:ilvl w:val="0"/>
          <w:numId w:val="0"/>
        </w:numPr>
        <w:tabs>
          <w:tab w:val="left" w:pos="312"/>
        </w:tabs>
        <w:kinsoku/>
        <w:wordWrap/>
        <w:overflowPunct/>
        <w:topLinePunct w:val="0"/>
        <w:autoSpaceDE/>
        <w:autoSpaceDN/>
        <w:bidi w:val="0"/>
        <w:adjustRightInd/>
        <w:snapToGrid/>
        <w:spacing w:line="600" w:lineRule="exact"/>
        <w:ind w:left="0" w:leftChars="0" w:right="0" w:rightChars="0" w:firstLine="560" w:firstLineChars="0"/>
        <w:jc w:val="both"/>
        <w:textAlignment w:val="auto"/>
        <w:rPr>
          <w:rFonts w:ascii="方正仿宋_GBK" w:hAnsi="方正仿宋_GBK" w:cs="方正仿宋_GBK"/>
          <w:szCs w:val="32"/>
          <w:u w:val="none"/>
        </w:rPr>
      </w:pPr>
      <w:r>
        <w:rPr>
          <w:rFonts w:hint="default" w:ascii="Times New Roman" w:hAnsi="Times New Roman" w:eastAsia="方正仿宋_GBK" w:cs="Times New Roman"/>
          <w:kern w:val="2"/>
          <w:sz w:val="32"/>
          <w:szCs w:val="32"/>
          <w:lang w:val="en-US" w:eastAsia="zh-CN" w:bidi="ar-SA"/>
        </w:rPr>
        <w:t>5</w:t>
      </w:r>
      <w:r>
        <w:rPr>
          <w:rFonts w:hint="default" w:ascii="Times New Roman" w:hAnsi="Times New Roman" w:eastAsia="方正仿宋_GBK" w:cs="Times New Roman"/>
          <w:b w:val="0"/>
          <w:bCs w:val="0"/>
          <w:sz w:val="32"/>
          <w:szCs w:val="32"/>
          <w:lang w:val="en-US" w:eastAsia="zh-CN"/>
        </w:rPr>
        <w:t>．</w:t>
      </w:r>
      <w:r>
        <w:rPr>
          <w:rFonts w:hint="default" w:ascii="Times New Roman" w:hAnsi="Times New Roman" w:cs="Times New Roman"/>
          <w:szCs w:val="32"/>
          <w:u w:val="none"/>
        </w:rPr>
        <w:t>对</w:t>
      </w:r>
      <w:r>
        <w:rPr>
          <w:szCs w:val="32"/>
          <w:u w:val="none"/>
        </w:rPr>
        <w:t>于新建的易燃易爆生产、经营、储存使用单位在选址定点过程中，应严格</w:t>
      </w:r>
      <w:r>
        <w:rPr>
          <w:rFonts w:hint="eastAsia" w:ascii="方正仿宋_GBK" w:hAnsi="方正仿宋_GBK" w:cs="方正仿宋_GBK"/>
          <w:szCs w:val="32"/>
          <w:u w:val="none"/>
        </w:rPr>
        <w:t>遵照“设在城市边缘的独立安全地区，并与人员密集的公共建筑保持规定的防火安全间距”的原则，妥善合理地进行选址，并强化安全管理。</w:t>
      </w:r>
    </w:p>
    <w:p>
      <w:pPr>
        <w:pStyle w:val="5"/>
        <w:keepNext/>
        <w:keepLines/>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第三十八条  </w:t>
      </w:r>
      <w:bookmarkStart w:id="195" w:name="_Toc158038238"/>
      <w:bookmarkStart w:id="196" w:name="_Toc156307022"/>
      <w:bookmarkStart w:id="197" w:name="_Toc158038142"/>
      <w:r>
        <w:rPr>
          <w:rFonts w:hint="eastAsia" w:ascii="方正黑体_GBK" w:hAnsi="Times New Roman" w:eastAsia="方正黑体_GBK" w:cstheme="minorBidi"/>
          <w:b w:val="0"/>
          <w:bCs/>
          <w:kern w:val="0"/>
          <w:sz w:val="32"/>
          <w:szCs w:val="32"/>
          <w:lang w:val="en-US" w:eastAsia="zh-CN" w:bidi="ar-SA"/>
        </w:rPr>
        <w:t>次生地质灾害防御</w:t>
      </w:r>
      <w:bookmarkEnd w:id="195"/>
      <w:bookmarkEnd w:id="196"/>
      <w:bookmarkEnd w:id="197"/>
    </w:p>
    <w:p>
      <w:pPr>
        <w:pageBreakBefore w:val="0"/>
        <w:widowControl w:val="0"/>
        <w:numPr>
          <w:ilvl w:val="0"/>
          <w:numId w:val="0"/>
        </w:numPr>
        <w:tabs>
          <w:tab w:val="left" w:pos="312"/>
        </w:tabs>
        <w:kinsoku/>
        <w:wordWrap/>
        <w:overflowPunct/>
        <w:topLinePunct w:val="0"/>
        <w:autoSpaceDE/>
        <w:autoSpaceDN/>
        <w:bidi w:val="0"/>
        <w:adjustRightInd/>
        <w:snapToGrid/>
        <w:spacing w:line="600" w:lineRule="exact"/>
        <w:ind w:left="0" w:leftChars="0" w:right="0" w:rightChars="0" w:firstLine="560" w:firstLineChars="0"/>
        <w:jc w:val="both"/>
        <w:textAlignment w:val="auto"/>
        <w:rPr>
          <w:szCs w:val="32"/>
        </w:rPr>
      </w:pPr>
      <w:r>
        <w:rPr>
          <w:rFonts w:ascii="Times New Roman" w:hAnsi="Times New Roman" w:eastAsia="方正仿宋_GBK" w:cs="Times New Roman"/>
          <w:kern w:val="2"/>
          <w:sz w:val="32"/>
          <w:szCs w:val="32"/>
          <w:lang w:val="en-US" w:eastAsia="zh-CN" w:bidi="ar-SA"/>
        </w:rPr>
        <w:t>1</w:t>
      </w:r>
      <w:r>
        <w:rPr>
          <w:rFonts w:hint="default" w:ascii="Times New Roman" w:hAnsi="Times New Roman" w:eastAsia="方正仿宋_GBK" w:cs="Times New Roman"/>
          <w:b w:val="0"/>
          <w:bCs w:val="0"/>
          <w:sz w:val="32"/>
          <w:szCs w:val="32"/>
          <w:lang w:val="en-US" w:eastAsia="zh-CN"/>
        </w:rPr>
        <w:t>．</w:t>
      </w:r>
      <w:r>
        <w:rPr>
          <w:szCs w:val="32"/>
        </w:rPr>
        <w:t>要积极贯彻落实《地质灾害防治条例》（国务院令第394号）文件要求。</w:t>
      </w:r>
    </w:p>
    <w:p>
      <w:pPr>
        <w:pageBreakBefore w:val="0"/>
        <w:widowControl w:val="0"/>
        <w:numPr>
          <w:ilvl w:val="0"/>
          <w:numId w:val="0"/>
        </w:numPr>
        <w:tabs>
          <w:tab w:val="left" w:pos="312"/>
        </w:tabs>
        <w:kinsoku/>
        <w:wordWrap/>
        <w:overflowPunct/>
        <w:topLinePunct w:val="0"/>
        <w:autoSpaceDE/>
        <w:autoSpaceDN/>
        <w:bidi w:val="0"/>
        <w:adjustRightInd/>
        <w:snapToGrid/>
        <w:spacing w:line="600" w:lineRule="exact"/>
        <w:ind w:left="0" w:leftChars="0" w:right="0" w:rightChars="0" w:firstLine="560" w:firstLineChars="0"/>
        <w:jc w:val="both"/>
        <w:textAlignment w:val="auto"/>
        <w:rPr>
          <w:szCs w:val="32"/>
        </w:rPr>
      </w:pPr>
      <w:r>
        <w:rPr>
          <w:rFonts w:ascii="Times New Roman" w:hAnsi="Times New Roman" w:eastAsia="方正仿宋_GBK" w:cs="Times New Roman"/>
          <w:kern w:val="2"/>
          <w:sz w:val="32"/>
          <w:szCs w:val="32"/>
          <w:lang w:val="en-US" w:eastAsia="zh-CN" w:bidi="ar-SA"/>
        </w:rPr>
        <w:t>2</w:t>
      </w:r>
      <w:r>
        <w:rPr>
          <w:rFonts w:hint="default" w:ascii="Times New Roman" w:hAnsi="Times New Roman" w:eastAsia="方正仿宋_GBK" w:cs="Times New Roman"/>
          <w:b w:val="0"/>
          <w:bCs w:val="0"/>
          <w:sz w:val="32"/>
          <w:szCs w:val="32"/>
          <w:lang w:val="en-US" w:eastAsia="zh-CN"/>
        </w:rPr>
        <w:t>．</w:t>
      </w:r>
      <w:r>
        <w:rPr>
          <w:szCs w:val="32"/>
        </w:rPr>
        <w:t>开展年度地质灾害动态排查和专项排查，确定地质灾害隐患点及区域风险等级，针对性提出地质灾害风险防控措施。</w:t>
      </w:r>
    </w:p>
    <w:p>
      <w:pPr>
        <w:pageBreakBefore w:val="0"/>
        <w:widowControl w:val="0"/>
        <w:numPr>
          <w:ilvl w:val="0"/>
          <w:numId w:val="0"/>
        </w:numPr>
        <w:tabs>
          <w:tab w:val="left" w:pos="312"/>
        </w:tabs>
        <w:kinsoku/>
        <w:wordWrap/>
        <w:overflowPunct/>
        <w:topLinePunct w:val="0"/>
        <w:autoSpaceDE/>
        <w:autoSpaceDN/>
        <w:bidi w:val="0"/>
        <w:adjustRightInd/>
        <w:snapToGrid/>
        <w:spacing w:line="600" w:lineRule="exact"/>
        <w:ind w:left="0" w:leftChars="0" w:right="0" w:rightChars="0" w:firstLine="560" w:firstLineChars="0"/>
        <w:jc w:val="both"/>
        <w:textAlignment w:val="auto"/>
        <w:rPr>
          <w:szCs w:val="32"/>
        </w:rPr>
      </w:pPr>
      <w:r>
        <w:rPr>
          <w:rFonts w:ascii="Times New Roman" w:hAnsi="Times New Roman" w:eastAsia="方正仿宋_GBK" w:cs="Times New Roman"/>
          <w:kern w:val="2"/>
          <w:sz w:val="32"/>
          <w:szCs w:val="32"/>
          <w:lang w:val="en-US" w:eastAsia="zh-CN" w:bidi="ar-SA"/>
        </w:rPr>
        <w:t>3</w:t>
      </w:r>
      <w:r>
        <w:rPr>
          <w:rFonts w:hint="default" w:ascii="Times New Roman" w:hAnsi="Times New Roman" w:eastAsia="方正仿宋_GBK" w:cs="Times New Roman"/>
          <w:b w:val="0"/>
          <w:bCs w:val="0"/>
          <w:sz w:val="32"/>
          <w:szCs w:val="32"/>
          <w:lang w:val="en-US" w:eastAsia="zh-CN"/>
        </w:rPr>
        <w:t>．</w:t>
      </w:r>
      <w:r>
        <w:rPr>
          <w:szCs w:val="32"/>
        </w:rPr>
        <w:t>整治或逐步消除地质灾害点。采取有效的工程治理措施，防止水土流失，避免滑坡和泥石流的发生。</w:t>
      </w:r>
    </w:p>
    <w:p>
      <w:pPr>
        <w:pageBreakBefore w:val="0"/>
        <w:widowControl w:val="0"/>
        <w:numPr>
          <w:ilvl w:val="0"/>
          <w:numId w:val="0"/>
        </w:numPr>
        <w:tabs>
          <w:tab w:val="left" w:pos="312"/>
        </w:tabs>
        <w:kinsoku/>
        <w:wordWrap/>
        <w:overflowPunct/>
        <w:topLinePunct w:val="0"/>
        <w:autoSpaceDE/>
        <w:autoSpaceDN/>
        <w:bidi w:val="0"/>
        <w:adjustRightInd/>
        <w:snapToGrid/>
        <w:spacing w:line="600" w:lineRule="exact"/>
        <w:ind w:left="0" w:leftChars="0" w:right="0" w:rightChars="0" w:firstLine="560" w:firstLineChars="0"/>
        <w:jc w:val="both"/>
        <w:textAlignment w:val="auto"/>
        <w:rPr>
          <w:szCs w:val="32"/>
        </w:rPr>
      </w:pPr>
      <w:r>
        <w:rPr>
          <w:rFonts w:ascii="Times New Roman" w:hAnsi="Times New Roman" w:eastAsia="方正仿宋_GBK" w:cs="Times New Roman"/>
          <w:kern w:val="2"/>
          <w:sz w:val="32"/>
          <w:szCs w:val="32"/>
          <w:lang w:val="en-US" w:eastAsia="zh-CN" w:bidi="ar-SA"/>
        </w:rPr>
        <w:t>4</w:t>
      </w:r>
      <w:r>
        <w:rPr>
          <w:rFonts w:hint="default" w:ascii="Times New Roman" w:hAnsi="Times New Roman" w:eastAsia="方正仿宋_GBK" w:cs="Times New Roman"/>
          <w:b w:val="0"/>
          <w:bCs w:val="0"/>
          <w:sz w:val="32"/>
          <w:szCs w:val="32"/>
          <w:lang w:val="en-US" w:eastAsia="zh-CN"/>
        </w:rPr>
        <w:t>．</w:t>
      </w:r>
      <w:r>
        <w:rPr>
          <w:szCs w:val="32"/>
        </w:rPr>
        <w:t>树立预警标志。采用专业仪器进行监测，如果出现有临灾征兆的应及时发出预警信息，提醒救援及群众撤离，以降低危险性。在滑坡危险区设置警示标志。</w:t>
      </w:r>
    </w:p>
    <w:p>
      <w:pPr>
        <w:pStyle w:val="4"/>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ascii="方正黑体_GBK"/>
          <w:bCs/>
        </w:rPr>
      </w:pPr>
      <w:r>
        <w:rPr>
          <w:rFonts w:hint="eastAsia" w:ascii="方正黑体_GBK" w:hAnsi="Times New Roman" w:eastAsia="方正黑体_GBK" w:cstheme="minorBidi"/>
          <w:bCs/>
          <w:kern w:val="0"/>
          <w:sz w:val="32"/>
          <w:szCs w:val="32"/>
          <w:lang w:val="en-US" w:eastAsia="zh-CN" w:bidi="ar-SA"/>
        </w:rPr>
        <w:t>第九章</w:t>
      </w:r>
      <w:r>
        <w:rPr>
          <w:rFonts w:ascii="方正黑体_GBK"/>
          <w:bCs/>
        </w:rPr>
        <w:t xml:space="preserve">  </w:t>
      </w:r>
      <w:bookmarkStart w:id="198" w:name="_Toc158038239"/>
      <w:bookmarkStart w:id="199" w:name="_Toc158038143"/>
      <w:bookmarkStart w:id="200" w:name="_Toc156307023"/>
      <w:r>
        <w:rPr>
          <w:rFonts w:ascii="方正黑体_GBK"/>
          <w:bCs/>
        </w:rPr>
        <w:t>避震疏散规划</w:t>
      </w:r>
      <w:bookmarkEnd w:id="198"/>
      <w:bookmarkEnd w:id="199"/>
      <w:bookmarkEnd w:id="200"/>
    </w:p>
    <w:p>
      <w:pPr>
        <w:keepNext/>
        <w:spacing w:line="576" w:lineRule="exact"/>
        <w:ind w:firstLine="640" w:firstLineChars="200"/>
        <w:rPr>
          <w:lang w:val="zh-CN"/>
        </w:rPr>
      </w:pP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第三十九条  </w:t>
      </w:r>
      <w:bookmarkStart w:id="201" w:name="_Toc158038240"/>
      <w:bookmarkStart w:id="202" w:name="_Toc156307024"/>
      <w:bookmarkStart w:id="203" w:name="_Toc158038144"/>
      <w:r>
        <w:rPr>
          <w:rFonts w:hint="eastAsia" w:ascii="方正黑体_GBK" w:hAnsi="Times New Roman" w:eastAsia="方正黑体_GBK" w:cstheme="minorBidi"/>
          <w:b w:val="0"/>
          <w:bCs/>
          <w:kern w:val="0"/>
          <w:sz w:val="32"/>
          <w:szCs w:val="32"/>
          <w:lang w:val="en-US" w:eastAsia="zh-CN" w:bidi="ar-SA"/>
        </w:rPr>
        <w:t>城市避震疏散体系</w:t>
      </w:r>
      <w:bookmarkEnd w:id="201"/>
      <w:bookmarkEnd w:id="202"/>
      <w:bookmarkEnd w:id="203"/>
    </w:p>
    <w:p>
      <w:pPr>
        <w:spacing w:line="576" w:lineRule="exact"/>
        <w:ind w:firstLine="640" w:firstLineChars="200"/>
        <w:rPr>
          <w:rFonts w:ascii="方正仿宋_GBK"/>
          <w:szCs w:val="32"/>
        </w:rPr>
      </w:pPr>
      <w:r>
        <w:rPr>
          <w:rFonts w:hint="eastAsia" w:ascii="方正仿宋_GBK"/>
          <w:kern w:val="0"/>
          <w:szCs w:val="32"/>
          <w:lang w:val="zh-CN"/>
        </w:rPr>
        <w:t>避震疏散体系主要包括三部分：应急避难场所、疏散通</w:t>
      </w:r>
      <w:r>
        <w:rPr>
          <w:rFonts w:hint="eastAsia" w:ascii="方正仿宋_GBK"/>
          <w:szCs w:val="32"/>
        </w:rPr>
        <w:t>道、配套设施。按照暂时避难、短期避难、中长期避难的要求，根据疏散安全、足够的灾民容纳数量、疏散时间合理、顺利疏散等原则，构建点、线、面相互结合的城市避震疏散体系。</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第四十条  </w:t>
      </w:r>
      <w:bookmarkStart w:id="204" w:name="_Toc158038241"/>
      <w:bookmarkStart w:id="205" w:name="_Toc158038145"/>
      <w:bookmarkStart w:id="206" w:name="_Toc156307025"/>
      <w:r>
        <w:rPr>
          <w:rFonts w:hint="eastAsia" w:ascii="方正黑体_GBK" w:hAnsi="Times New Roman" w:eastAsia="方正黑体_GBK" w:cstheme="minorBidi"/>
          <w:b w:val="0"/>
          <w:bCs/>
          <w:kern w:val="0"/>
          <w:sz w:val="32"/>
          <w:szCs w:val="32"/>
          <w:lang w:val="en-US" w:eastAsia="zh-CN" w:bidi="ar-SA"/>
        </w:rPr>
        <w:t>应急避难场所选址要求</w:t>
      </w:r>
      <w:bookmarkEnd w:id="204"/>
      <w:bookmarkEnd w:id="205"/>
      <w:bookmarkEnd w:id="206"/>
    </w:p>
    <w:p>
      <w:pPr>
        <w:spacing w:line="576" w:lineRule="exact"/>
        <w:ind w:firstLine="640" w:firstLineChars="200"/>
        <w:rPr>
          <w:szCs w:val="32"/>
          <w:u w:val="none"/>
        </w:rPr>
      </w:pPr>
      <w:r>
        <w:rPr>
          <w:szCs w:val="32"/>
          <w:u w:val="none"/>
        </w:rPr>
        <w:t>用作应急避难场所的场地、建筑物需要保证在地震来临时的抗震安全性，避免二次震害带来更多的人员伤亡，同时符合城市防止火灾、水灾、场地液化等其他防灾要求。一般包括以下几个方面：</w:t>
      </w:r>
    </w:p>
    <w:p>
      <w:pPr>
        <w:spacing w:line="576" w:lineRule="exact"/>
        <w:ind w:firstLine="640" w:firstLineChars="200"/>
        <w:rPr>
          <w:szCs w:val="32"/>
          <w:u w:val="none"/>
        </w:rPr>
      </w:pPr>
      <w:r>
        <w:rPr>
          <w:szCs w:val="32"/>
          <w:u w:val="none"/>
        </w:rPr>
        <w:t>1</w:t>
      </w:r>
      <w:r>
        <w:rPr>
          <w:rFonts w:hint="default" w:ascii="Times New Roman" w:hAnsi="Times New Roman" w:eastAsia="方正仿宋_GBK" w:cs="Times New Roman"/>
          <w:b w:val="0"/>
          <w:bCs w:val="0"/>
          <w:sz w:val="32"/>
          <w:szCs w:val="32"/>
          <w:lang w:val="en-US" w:eastAsia="zh-CN"/>
        </w:rPr>
        <w:t>．</w:t>
      </w:r>
      <w:r>
        <w:rPr>
          <w:szCs w:val="32"/>
          <w:u w:val="none"/>
        </w:rPr>
        <w:t>地震地质环境安全。应急避难场所应避开发震断层、地下水采空区和场地容易发生液化的地区以及地震次生灾害（特别是火灾）源的地区，尽量不在危险地段和不利地段规划建设应急避难场所，当无法避开时应采取有效的保障措施。</w:t>
      </w:r>
    </w:p>
    <w:p>
      <w:pPr>
        <w:spacing w:line="576" w:lineRule="exact"/>
        <w:ind w:firstLine="640" w:firstLineChars="200"/>
        <w:rPr>
          <w:szCs w:val="32"/>
          <w:u w:val="none"/>
        </w:rPr>
      </w:pPr>
      <w:r>
        <w:rPr>
          <w:szCs w:val="32"/>
          <w:u w:val="none"/>
        </w:rPr>
        <w:t>2</w:t>
      </w:r>
      <w:r>
        <w:rPr>
          <w:rFonts w:hint="default" w:ascii="Times New Roman" w:hAnsi="Times New Roman" w:eastAsia="方正仿宋_GBK" w:cs="Times New Roman"/>
          <w:b w:val="0"/>
          <w:bCs w:val="0"/>
          <w:sz w:val="32"/>
          <w:szCs w:val="32"/>
          <w:lang w:val="en-US" w:eastAsia="zh-CN"/>
        </w:rPr>
        <w:t>．</w:t>
      </w:r>
      <w:r>
        <w:rPr>
          <w:szCs w:val="32"/>
          <w:u w:val="none"/>
        </w:rPr>
        <w:t>自然环境安全。应急避难场所不会被地震次生水灾（河流决堤）淹没；地势平坦、开阔；应避开烂泥地、低洼地以及沟渠和水塘较多的地带。</w:t>
      </w:r>
    </w:p>
    <w:p>
      <w:pPr>
        <w:spacing w:line="576" w:lineRule="exact"/>
        <w:ind w:firstLine="640" w:firstLineChars="200"/>
        <w:rPr>
          <w:szCs w:val="32"/>
          <w:u w:val="none"/>
        </w:rPr>
      </w:pPr>
      <w:r>
        <w:rPr>
          <w:szCs w:val="32"/>
          <w:u w:val="none"/>
        </w:rPr>
        <w:t>3</w:t>
      </w:r>
      <w:r>
        <w:rPr>
          <w:rFonts w:hint="default" w:ascii="Times New Roman" w:hAnsi="Times New Roman" w:eastAsia="方正仿宋_GBK" w:cs="Times New Roman"/>
          <w:b w:val="0"/>
          <w:bCs w:val="0"/>
          <w:sz w:val="32"/>
          <w:szCs w:val="32"/>
          <w:lang w:val="en-US" w:eastAsia="zh-CN"/>
        </w:rPr>
        <w:t>．</w:t>
      </w:r>
      <w:r>
        <w:rPr>
          <w:szCs w:val="32"/>
          <w:u w:val="none"/>
        </w:rPr>
        <w:t>人工环境安全。应急避难场所必须远离易燃易爆物品生产工厂与仓库、高压输电线路、高层建筑及可能震毁的建筑物；有便利的交通环境、较高的生命线供应保证能力以及必需的配套设施，配备必要的消防设施、消防通道，安排应对突发次生灾害的应急撤退路线，筹划一定的伤病人员及时治疗与转移的能力；与火灾危险源之间应设防火隔离带或防火树林带。</w:t>
      </w:r>
    </w:p>
    <w:p>
      <w:pPr>
        <w:spacing w:line="576" w:lineRule="exact"/>
        <w:ind w:firstLine="640" w:firstLineChars="200"/>
        <w:rPr>
          <w:szCs w:val="32"/>
          <w:u w:val="none"/>
        </w:rPr>
      </w:pPr>
      <w:r>
        <w:rPr>
          <w:szCs w:val="32"/>
          <w:u w:val="none"/>
        </w:rPr>
        <w:t>4</w:t>
      </w:r>
      <w:r>
        <w:rPr>
          <w:rFonts w:hint="default" w:ascii="Times New Roman" w:hAnsi="Times New Roman" w:eastAsia="方正仿宋_GBK" w:cs="Times New Roman"/>
          <w:b w:val="0"/>
          <w:bCs w:val="0"/>
          <w:sz w:val="32"/>
          <w:szCs w:val="32"/>
          <w:lang w:val="en-US" w:eastAsia="zh-CN"/>
        </w:rPr>
        <w:t>．</w:t>
      </w:r>
      <w:r>
        <w:rPr>
          <w:szCs w:val="32"/>
          <w:u w:val="none"/>
        </w:rPr>
        <w:t>有必要的保障配套设施。中长期应急避难场所和短期应急避难场所应方便安排应急供水、供电等应急保障基础设施。暂时应急避难场所可提供临时用水、照明设施以及临时厕所，中长期应急避难场所和短期应急避难场所通常设置疏散人员的栖身场所、生活必需品与药品储备库、消防设施、应急通信设施与广播设施、临时发电与照明设备、医疗设施等。</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第四十一条  </w:t>
      </w:r>
      <w:bookmarkStart w:id="207" w:name="_Toc156307026"/>
      <w:bookmarkStart w:id="208" w:name="_Toc158038242"/>
      <w:bookmarkStart w:id="209" w:name="_Toc158038146"/>
      <w:r>
        <w:rPr>
          <w:rFonts w:hint="eastAsia" w:ascii="方正黑体_GBK" w:hAnsi="Times New Roman" w:eastAsia="方正黑体_GBK" w:cstheme="minorBidi"/>
          <w:b w:val="0"/>
          <w:bCs/>
          <w:kern w:val="0"/>
          <w:sz w:val="32"/>
          <w:szCs w:val="32"/>
          <w:lang w:val="en-US" w:eastAsia="zh-CN" w:bidi="ar-SA"/>
        </w:rPr>
        <w:t>应急避难场所分类与设置标准</w:t>
      </w:r>
      <w:bookmarkEnd w:id="207"/>
      <w:bookmarkEnd w:id="208"/>
      <w:bookmarkEnd w:id="209"/>
    </w:p>
    <w:p>
      <w:pPr>
        <w:spacing w:line="576" w:lineRule="exact"/>
        <w:ind w:firstLine="640" w:firstLineChars="200"/>
        <w:rPr>
          <w:rFonts w:hint="eastAsia"/>
          <w:szCs w:val="32"/>
          <w:u w:val="none"/>
          <w:lang w:eastAsia="zh-CN"/>
        </w:rPr>
      </w:pPr>
      <w:r>
        <w:rPr>
          <w:rFonts w:hint="eastAsia"/>
          <w:szCs w:val="32"/>
          <w:u w:val="none"/>
          <w:lang w:val="en-US" w:eastAsia="zh-CN"/>
        </w:rPr>
        <w:t>1</w:t>
      </w:r>
      <w:r>
        <w:rPr>
          <w:rFonts w:hint="default"/>
          <w:szCs w:val="32"/>
          <w:u w:val="none"/>
          <w:lang w:val="en-US" w:eastAsia="zh-CN"/>
        </w:rPr>
        <w:t>．</w:t>
      </w:r>
      <w:r>
        <w:rPr>
          <w:rFonts w:hint="eastAsia"/>
          <w:szCs w:val="32"/>
          <w:u w:val="none"/>
        </w:rPr>
        <w:t>应急避难场所分类</w:t>
      </w:r>
      <w:r>
        <w:rPr>
          <w:rFonts w:hint="eastAsia"/>
          <w:szCs w:val="32"/>
          <w:u w:val="none"/>
          <w:lang w:eastAsia="zh-CN"/>
        </w:rPr>
        <w:t>。</w:t>
      </w:r>
    </w:p>
    <w:p>
      <w:pPr>
        <w:spacing w:line="576" w:lineRule="exact"/>
        <w:ind w:firstLine="640" w:firstLineChars="200"/>
        <w:rPr>
          <w:szCs w:val="32"/>
        </w:rPr>
      </w:pPr>
      <w:r>
        <w:rPr>
          <w:szCs w:val="32"/>
        </w:rPr>
        <w:t>应急避难场所按照避难期限分为中长期应急避难场所、短期应急避难场所、暂时应急避难场所。</w:t>
      </w:r>
    </w:p>
    <w:p>
      <w:pPr>
        <w:spacing w:line="576" w:lineRule="exact"/>
        <w:ind w:firstLine="640" w:firstLineChars="200"/>
        <w:rPr>
          <w:rFonts w:hint="eastAsia"/>
          <w:szCs w:val="32"/>
          <w:u w:val="none"/>
          <w:lang w:eastAsia="zh-CN"/>
        </w:rPr>
      </w:pPr>
      <w:r>
        <w:rPr>
          <w:rFonts w:hint="eastAsia"/>
          <w:szCs w:val="32"/>
          <w:u w:val="none"/>
          <w:lang w:val="en-US" w:eastAsia="zh-CN"/>
        </w:rPr>
        <w:t>2</w:t>
      </w:r>
      <w:r>
        <w:rPr>
          <w:rFonts w:hint="default"/>
          <w:szCs w:val="32"/>
          <w:u w:val="none"/>
          <w:lang w:val="en-US" w:eastAsia="zh-CN"/>
        </w:rPr>
        <w:t>．</w:t>
      </w:r>
      <w:r>
        <w:rPr>
          <w:rFonts w:hint="eastAsia"/>
          <w:szCs w:val="32"/>
          <w:u w:val="none"/>
        </w:rPr>
        <w:t>应急避难场所设置标准</w:t>
      </w:r>
      <w:r>
        <w:rPr>
          <w:rFonts w:hint="eastAsia"/>
          <w:szCs w:val="32"/>
          <w:u w:val="none"/>
          <w:lang w:eastAsia="zh-CN"/>
        </w:rPr>
        <w:t>。</w:t>
      </w:r>
    </w:p>
    <w:p>
      <w:pPr>
        <w:spacing w:line="576" w:lineRule="exact"/>
        <w:ind w:firstLine="640" w:firstLineChars="200"/>
        <w:rPr>
          <w:szCs w:val="32"/>
          <w:u w:val="none"/>
        </w:rPr>
      </w:pPr>
      <w:r>
        <w:rPr>
          <w:szCs w:val="32"/>
          <w:u w:val="none"/>
        </w:rPr>
        <w:t>根据《重庆市应急避难场所规划编制导则</w:t>
      </w:r>
      <w:r>
        <w:rPr>
          <w:rFonts w:hint="eastAsia"/>
          <w:szCs w:val="32"/>
          <w:u w:val="none"/>
        </w:rPr>
        <w:t>》《</w:t>
      </w:r>
      <w:r>
        <w:rPr>
          <w:szCs w:val="32"/>
          <w:u w:val="none"/>
        </w:rPr>
        <w:t>重庆市应急避难场所管理办法（试行）》等相关规范要求，应急避难场所设置标准应符合：</w:t>
      </w:r>
    </w:p>
    <w:p>
      <w:pPr>
        <w:spacing w:line="576" w:lineRule="exact"/>
        <w:ind w:firstLine="640" w:firstLineChars="200"/>
        <w:rPr>
          <w:szCs w:val="32"/>
          <w:u w:val="none"/>
        </w:rPr>
      </w:pPr>
      <w:r>
        <w:rPr>
          <w:szCs w:val="32"/>
          <w:u w:val="none"/>
        </w:rPr>
        <w:t>（1）人均有效面积：中长期避难场所人均有效面积不小于4.5平方米；短期避难场所人均有效面积不小于3平方米；暂时避难场所人均有效面积不小于1.5平方米。</w:t>
      </w:r>
    </w:p>
    <w:p>
      <w:pPr>
        <w:spacing w:line="576" w:lineRule="exact"/>
        <w:ind w:firstLine="640" w:firstLineChars="200"/>
        <w:rPr>
          <w:szCs w:val="32"/>
          <w:u w:val="none"/>
        </w:rPr>
      </w:pPr>
      <w:r>
        <w:rPr>
          <w:szCs w:val="32"/>
          <w:u w:val="none"/>
        </w:rPr>
        <w:t>（2）避难场所用地规模：中长期避难场所占地面积宜大于10公顷；短期避难场所占地面积宜大于2公顷。</w:t>
      </w:r>
    </w:p>
    <w:p>
      <w:pPr>
        <w:spacing w:line="576" w:lineRule="exact"/>
        <w:ind w:firstLine="640" w:firstLineChars="200"/>
        <w:rPr>
          <w:szCs w:val="32"/>
          <w:u w:val="none"/>
        </w:rPr>
      </w:pPr>
      <w:r>
        <w:rPr>
          <w:szCs w:val="32"/>
          <w:u w:val="none"/>
        </w:rPr>
        <w:t>（3）避难期限：中长期避难期限宜为30天以上，短期避难期限宜为3</w:t>
      </w:r>
      <w:r>
        <w:rPr>
          <w:rFonts w:hint="eastAsia"/>
          <w:szCs w:val="32"/>
          <w:u w:val="none"/>
          <w:lang w:eastAsia="zh-CN"/>
        </w:rPr>
        <w:t>—</w:t>
      </w:r>
      <w:r>
        <w:rPr>
          <w:szCs w:val="32"/>
          <w:u w:val="none"/>
        </w:rPr>
        <w:t>30天，暂时避难</w:t>
      </w:r>
      <w:r>
        <w:rPr>
          <w:rFonts w:hint="eastAsia"/>
          <w:szCs w:val="32"/>
          <w:u w:val="none"/>
        </w:rPr>
        <w:t>期限需</w:t>
      </w:r>
      <w:r>
        <w:rPr>
          <w:szCs w:val="32"/>
          <w:u w:val="none"/>
        </w:rPr>
        <w:t>满足临时安置要求。</w:t>
      </w:r>
    </w:p>
    <w:p>
      <w:pPr>
        <w:spacing w:line="576" w:lineRule="exact"/>
        <w:ind w:firstLine="640" w:firstLineChars="200"/>
        <w:rPr>
          <w:szCs w:val="32"/>
          <w:u w:val="none"/>
        </w:rPr>
      </w:pPr>
      <w:r>
        <w:rPr>
          <w:szCs w:val="32"/>
          <w:u w:val="none"/>
        </w:rPr>
        <w:t>（4）避难场所服务半径：中长期避难场所服务半径宜为</w:t>
      </w:r>
      <w:r>
        <w:rPr>
          <w:rFonts w:hint="eastAsia"/>
          <w:szCs w:val="32"/>
          <w:u w:val="none"/>
        </w:rPr>
        <w:t>5千</w:t>
      </w:r>
      <w:r>
        <w:rPr>
          <w:rFonts w:hint="eastAsia"/>
          <w:szCs w:val="32"/>
          <w:u w:val="none"/>
          <w:lang w:eastAsia="zh-CN"/>
        </w:rPr>
        <w:t>—</w:t>
      </w:r>
      <w:r>
        <w:rPr>
          <w:rFonts w:hint="eastAsia"/>
          <w:szCs w:val="32"/>
          <w:u w:val="none"/>
        </w:rPr>
        <w:t>10千</w:t>
      </w:r>
      <w:r>
        <w:rPr>
          <w:szCs w:val="32"/>
          <w:u w:val="none"/>
        </w:rPr>
        <w:t>米；短期避难场所服务半径宜为</w:t>
      </w:r>
      <w:r>
        <w:rPr>
          <w:rFonts w:hint="eastAsia"/>
          <w:szCs w:val="32"/>
          <w:u w:val="none"/>
        </w:rPr>
        <w:t>0.5千</w:t>
      </w:r>
      <w:r>
        <w:rPr>
          <w:rFonts w:hint="eastAsia"/>
          <w:szCs w:val="32"/>
          <w:u w:val="none"/>
          <w:lang w:eastAsia="zh-CN"/>
        </w:rPr>
        <w:t>—</w:t>
      </w:r>
      <w:r>
        <w:rPr>
          <w:rFonts w:hint="eastAsia"/>
          <w:szCs w:val="32"/>
          <w:u w:val="none"/>
        </w:rPr>
        <w:t>2.5千</w:t>
      </w:r>
      <w:r>
        <w:rPr>
          <w:szCs w:val="32"/>
          <w:u w:val="none"/>
        </w:rPr>
        <w:t>米，暂时避难场所服务半径宜为500米以内。</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第四十二条  </w:t>
      </w:r>
      <w:bookmarkStart w:id="210" w:name="_Toc158038243"/>
      <w:bookmarkStart w:id="211" w:name="_Toc156307027"/>
      <w:bookmarkStart w:id="212" w:name="_Toc158038147"/>
      <w:r>
        <w:rPr>
          <w:rFonts w:hint="eastAsia" w:ascii="方正黑体_GBK" w:hAnsi="Times New Roman" w:eastAsia="方正黑体_GBK" w:cstheme="minorBidi"/>
          <w:b w:val="0"/>
          <w:bCs/>
          <w:kern w:val="0"/>
          <w:sz w:val="32"/>
          <w:szCs w:val="32"/>
          <w:lang w:val="en-US" w:eastAsia="zh-CN" w:bidi="ar-SA"/>
        </w:rPr>
        <w:t>应急避难场所规模</w:t>
      </w:r>
      <w:bookmarkEnd w:id="210"/>
      <w:bookmarkEnd w:id="211"/>
      <w:bookmarkEnd w:id="212"/>
    </w:p>
    <w:p>
      <w:pPr>
        <w:spacing w:line="576" w:lineRule="exact"/>
        <w:ind w:firstLine="640" w:firstLineChars="200"/>
        <w:rPr>
          <w:rFonts w:hint="eastAsia"/>
          <w:szCs w:val="32"/>
          <w:u w:val="none"/>
        </w:rPr>
      </w:pPr>
      <w:r>
        <w:rPr>
          <w:rFonts w:hint="eastAsia"/>
          <w:szCs w:val="32"/>
          <w:u w:val="none"/>
          <w:lang w:val="en-US" w:eastAsia="zh-CN"/>
        </w:rPr>
        <w:t>1</w:t>
      </w:r>
      <w:r>
        <w:rPr>
          <w:rFonts w:hint="default"/>
          <w:szCs w:val="32"/>
          <w:u w:val="none"/>
          <w:lang w:val="en-US" w:eastAsia="zh-CN"/>
        </w:rPr>
        <w:t>．</w:t>
      </w:r>
      <w:r>
        <w:rPr>
          <w:rFonts w:hint="eastAsia"/>
          <w:szCs w:val="32"/>
          <w:u w:val="none"/>
        </w:rPr>
        <w:t>应急避难人口规模</w:t>
      </w:r>
      <w:r>
        <w:rPr>
          <w:rFonts w:hint="eastAsia"/>
          <w:szCs w:val="32"/>
          <w:u w:val="none"/>
          <w:lang w:eastAsia="zh-CN"/>
        </w:rPr>
        <w:t>。</w:t>
      </w:r>
    </w:p>
    <w:p>
      <w:pPr>
        <w:spacing w:line="576" w:lineRule="exact"/>
        <w:ind w:firstLine="640" w:firstLineChars="200"/>
        <w:rPr>
          <w:szCs w:val="32"/>
        </w:rPr>
      </w:pPr>
      <w:r>
        <w:rPr>
          <w:szCs w:val="32"/>
        </w:rPr>
        <w:t>根据綦江区国土空间分区规划，到规划期末2035年底，规划区规划人口50.70万人。根据《重庆市应急避难场所规划编制导则》要求，结合城市防灾空间分区，按照容纳可宿住避难人数宜不小于规划区规划人口的20%，容纳暂时避难人数宜不小于规划区规划人口的100%的标准进行预测。各分区应急避难人口规模分布如下表所示。</w:t>
      </w:r>
    </w:p>
    <w:p>
      <w:pPr>
        <w:keepNext/>
        <w:spacing w:line="576" w:lineRule="exact"/>
        <w:ind w:firstLine="640" w:firstLineChars="200"/>
        <w:jc w:val="center"/>
        <w:rPr>
          <w:rFonts w:hint="eastAsia" w:ascii="方正黑体_GBK" w:hAnsi="方正黑体_GBK" w:eastAsia="方正黑体_GBK" w:cs="方正黑体_GBK"/>
          <w:szCs w:val="32"/>
        </w:rPr>
      </w:pPr>
      <w:r>
        <w:rPr>
          <w:rFonts w:hint="eastAsia" w:ascii="方正黑体_GBK" w:hAnsi="方正黑体_GBK" w:eastAsia="方正黑体_GBK" w:cs="方正黑体_GBK"/>
          <w:szCs w:val="32"/>
        </w:rPr>
        <w:t>应急避难分区人口预测一览表</w:t>
      </w:r>
    </w:p>
    <w:tbl>
      <w:tblPr>
        <w:tblStyle w:val="18"/>
        <w:tblW w:w="8876" w:type="dxa"/>
        <w:tblInd w:w="0" w:type="dxa"/>
        <w:tblLayout w:type="fixed"/>
        <w:tblCellMar>
          <w:top w:w="0" w:type="dxa"/>
          <w:left w:w="28" w:type="dxa"/>
          <w:bottom w:w="0" w:type="dxa"/>
          <w:right w:w="28" w:type="dxa"/>
        </w:tblCellMar>
      </w:tblPr>
      <w:tblGrid>
        <w:gridCol w:w="567"/>
        <w:gridCol w:w="1493"/>
        <w:gridCol w:w="2909"/>
        <w:gridCol w:w="1159"/>
        <w:gridCol w:w="1399"/>
        <w:gridCol w:w="1349"/>
      </w:tblGrid>
      <w:tr>
        <w:tblPrEx>
          <w:tblLayout w:type="fixed"/>
          <w:tblCellMar>
            <w:top w:w="0" w:type="dxa"/>
            <w:left w:w="28" w:type="dxa"/>
            <w:bottom w:w="0" w:type="dxa"/>
            <w:right w:w="28" w:type="dxa"/>
          </w:tblCellMar>
        </w:tblPrEx>
        <w:trPr>
          <w:trHeight w:val="1523" w:hRule="atLeast"/>
          <w:tblHeader/>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80" w:lineRule="exact"/>
              <w:jc w:val="center"/>
              <w:rPr>
                <w:rFonts w:hint="eastAsia" w:ascii="方正黑体_GBK" w:hAnsi="方正黑体_GBK" w:eastAsia="方正黑体_GBK" w:cs="方正黑体_GBK"/>
                <w:b w:val="0"/>
                <w:bCs w:val="0"/>
                <w:color w:val="000000"/>
                <w:kern w:val="0"/>
                <w:sz w:val="28"/>
                <w:szCs w:val="28"/>
              </w:rPr>
            </w:pPr>
            <w:r>
              <w:rPr>
                <w:rFonts w:hint="eastAsia" w:ascii="方正黑体_GBK" w:hAnsi="方正黑体_GBK" w:eastAsia="方正黑体_GBK" w:cs="方正黑体_GBK"/>
                <w:b w:val="0"/>
                <w:bCs w:val="0"/>
                <w:color w:val="000000"/>
                <w:kern w:val="0"/>
                <w:sz w:val="28"/>
                <w:szCs w:val="28"/>
              </w:rPr>
              <w:t>序号</w:t>
            </w:r>
          </w:p>
        </w:tc>
        <w:tc>
          <w:tcPr>
            <w:tcW w:w="1493"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center"/>
              <w:rPr>
                <w:rFonts w:hint="eastAsia" w:ascii="方正黑体_GBK" w:hAnsi="方正黑体_GBK" w:eastAsia="方正黑体_GBK" w:cs="方正黑体_GBK"/>
                <w:b w:val="0"/>
                <w:bCs w:val="0"/>
                <w:color w:val="000000"/>
                <w:kern w:val="0"/>
                <w:sz w:val="28"/>
                <w:szCs w:val="28"/>
              </w:rPr>
            </w:pPr>
            <w:r>
              <w:rPr>
                <w:rFonts w:hint="eastAsia" w:ascii="方正黑体_GBK" w:hAnsi="方正黑体_GBK" w:eastAsia="方正黑体_GBK" w:cs="方正黑体_GBK"/>
                <w:b w:val="0"/>
                <w:bCs w:val="0"/>
                <w:color w:val="000000"/>
                <w:kern w:val="0"/>
                <w:sz w:val="28"/>
                <w:szCs w:val="28"/>
              </w:rPr>
              <w:t>一级防灾</w:t>
            </w:r>
          </w:p>
          <w:p>
            <w:pPr>
              <w:widowControl/>
              <w:spacing w:line="480" w:lineRule="exact"/>
              <w:jc w:val="center"/>
              <w:rPr>
                <w:rFonts w:hint="eastAsia" w:ascii="方正黑体_GBK" w:hAnsi="方正黑体_GBK" w:eastAsia="方正黑体_GBK" w:cs="方正黑体_GBK"/>
                <w:b w:val="0"/>
                <w:bCs w:val="0"/>
                <w:color w:val="000000"/>
                <w:kern w:val="0"/>
                <w:sz w:val="28"/>
                <w:szCs w:val="28"/>
              </w:rPr>
            </w:pPr>
            <w:r>
              <w:rPr>
                <w:rFonts w:hint="eastAsia" w:ascii="方正黑体_GBK" w:hAnsi="方正黑体_GBK" w:eastAsia="方正黑体_GBK" w:cs="方正黑体_GBK"/>
                <w:b w:val="0"/>
                <w:bCs w:val="0"/>
                <w:color w:val="000000"/>
                <w:kern w:val="0"/>
                <w:sz w:val="28"/>
                <w:szCs w:val="28"/>
              </w:rPr>
              <w:t>分区</w:t>
            </w:r>
          </w:p>
        </w:tc>
        <w:tc>
          <w:tcPr>
            <w:tcW w:w="2909"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center"/>
              <w:rPr>
                <w:rFonts w:hint="eastAsia" w:ascii="方正黑体_GBK" w:hAnsi="方正黑体_GBK" w:eastAsia="方正黑体_GBK" w:cs="方正黑体_GBK"/>
                <w:b w:val="0"/>
                <w:bCs w:val="0"/>
                <w:color w:val="000000"/>
                <w:kern w:val="0"/>
                <w:sz w:val="28"/>
                <w:szCs w:val="28"/>
              </w:rPr>
            </w:pPr>
            <w:r>
              <w:rPr>
                <w:rFonts w:hint="eastAsia" w:ascii="方正黑体_GBK" w:hAnsi="方正黑体_GBK" w:eastAsia="方正黑体_GBK" w:cs="方正黑体_GBK"/>
                <w:b w:val="0"/>
                <w:bCs w:val="0"/>
                <w:color w:val="000000"/>
                <w:kern w:val="0"/>
                <w:sz w:val="28"/>
                <w:szCs w:val="28"/>
              </w:rPr>
              <w:t>二级防灾分区</w:t>
            </w:r>
          </w:p>
        </w:tc>
        <w:tc>
          <w:tcPr>
            <w:tcW w:w="1159"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center"/>
              <w:rPr>
                <w:rFonts w:hint="eastAsia" w:ascii="方正黑体_GBK" w:hAnsi="方正黑体_GBK" w:eastAsia="方正黑体_GBK" w:cs="方正黑体_GBK"/>
                <w:b w:val="0"/>
                <w:bCs w:val="0"/>
                <w:color w:val="000000"/>
                <w:kern w:val="0"/>
                <w:sz w:val="28"/>
                <w:szCs w:val="28"/>
              </w:rPr>
            </w:pPr>
            <w:r>
              <w:rPr>
                <w:rFonts w:hint="eastAsia" w:ascii="方正黑体_GBK" w:hAnsi="方正黑体_GBK" w:eastAsia="方正黑体_GBK" w:cs="方正黑体_GBK"/>
                <w:b w:val="0"/>
                <w:bCs w:val="0"/>
                <w:color w:val="000000"/>
                <w:kern w:val="0"/>
                <w:sz w:val="28"/>
                <w:szCs w:val="28"/>
              </w:rPr>
              <w:t>规划人口（万人）</w:t>
            </w:r>
          </w:p>
        </w:tc>
        <w:tc>
          <w:tcPr>
            <w:tcW w:w="1399"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center"/>
              <w:rPr>
                <w:rFonts w:hint="eastAsia" w:ascii="方正黑体_GBK" w:hAnsi="方正黑体_GBK" w:eastAsia="方正黑体_GBK" w:cs="方正黑体_GBK"/>
                <w:b w:val="0"/>
                <w:bCs w:val="0"/>
                <w:color w:val="000000"/>
                <w:kern w:val="0"/>
                <w:sz w:val="28"/>
                <w:szCs w:val="28"/>
              </w:rPr>
            </w:pPr>
            <w:r>
              <w:rPr>
                <w:rFonts w:hint="eastAsia" w:ascii="方正黑体_GBK" w:hAnsi="方正黑体_GBK" w:eastAsia="方正黑体_GBK" w:cs="方正黑体_GBK"/>
                <w:b w:val="0"/>
                <w:bCs w:val="0"/>
                <w:color w:val="000000"/>
                <w:kern w:val="0"/>
                <w:sz w:val="28"/>
                <w:szCs w:val="28"/>
              </w:rPr>
              <w:t>容纳可宿住避难人口（万人）</w:t>
            </w:r>
          </w:p>
        </w:tc>
        <w:tc>
          <w:tcPr>
            <w:tcW w:w="1349"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center"/>
              <w:rPr>
                <w:rFonts w:hint="eastAsia" w:ascii="方正黑体_GBK" w:hAnsi="方正黑体_GBK" w:eastAsia="方正黑体_GBK" w:cs="方正黑体_GBK"/>
                <w:b w:val="0"/>
                <w:bCs w:val="0"/>
                <w:color w:val="000000"/>
                <w:kern w:val="0"/>
                <w:sz w:val="28"/>
                <w:szCs w:val="28"/>
              </w:rPr>
            </w:pPr>
            <w:r>
              <w:rPr>
                <w:rFonts w:hint="eastAsia" w:ascii="方正黑体_GBK" w:hAnsi="方正黑体_GBK" w:eastAsia="方正黑体_GBK" w:cs="方正黑体_GBK"/>
                <w:b w:val="0"/>
                <w:bCs w:val="0"/>
                <w:color w:val="000000"/>
                <w:kern w:val="0"/>
                <w:sz w:val="28"/>
                <w:szCs w:val="28"/>
              </w:rPr>
              <w:t>容纳暂时避难人口（万人）</w:t>
            </w:r>
          </w:p>
        </w:tc>
      </w:tr>
      <w:tr>
        <w:tblPrEx>
          <w:tblLayout w:type="fixed"/>
          <w:tblCellMar>
            <w:top w:w="0" w:type="dxa"/>
            <w:left w:w="28" w:type="dxa"/>
            <w:bottom w:w="0" w:type="dxa"/>
            <w:right w:w="28" w:type="dxa"/>
          </w:tblCellMar>
        </w:tblPrEx>
        <w:trPr>
          <w:trHeight w:val="690" w:hRule="atLeast"/>
        </w:trPr>
        <w:tc>
          <w:tcPr>
            <w:tcW w:w="567"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1</w:t>
            </w:r>
          </w:p>
        </w:tc>
        <w:tc>
          <w:tcPr>
            <w:tcW w:w="1493"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通惠街道</w:t>
            </w:r>
          </w:p>
        </w:tc>
        <w:tc>
          <w:tcPr>
            <w:tcW w:w="290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东部新城片区</w:t>
            </w:r>
          </w:p>
        </w:tc>
        <w:tc>
          <w:tcPr>
            <w:tcW w:w="1159"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11.40 </w:t>
            </w:r>
          </w:p>
        </w:tc>
        <w:tc>
          <w:tcPr>
            <w:tcW w:w="1399"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2.28 </w:t>
            </w:r>
          </w:p>
        </w:tc>
        <w:tc>
          <w:tcPr>
            <w:tcW w:w="1349"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11.40 </w:t>
            </w:r>
          </w:p>
        </w:tc>
      </w:tr>
      <w:tr>
        <w:tblPrEx>
          <w:tblLayout w:type="fixed"/>
          <w:tblCellMar>
            <w:top w:w="0" w:type="dxa"/>
            <w:left w:w="28" w:type="dxa"/>
            <w:bottom w:w="0" w:type="dxa"/>
            <w:right w:w="28" w:type="dxa"/>
          </w:tblCellMar>
        </w:tblPrEx>
        <w:trPr>
          <w:trHeight w:val="694" w:hRule="atLeast"/>
        </w:trPr>
        <w:tc>
          <w:tcPr>
            <w:tcW w:w="567"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kern w:val="0"/>
                <w:sz w:val="28"/>
                <w:szCs w:val="28"/>
              </w:rPr>
            </w:pPr>
          </w:p>
        </w:tc>
        <w:tc>
          <w:tcPr>
            <w:tcW w:w="1493"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kern w:val="0"/>
                <w:sz w:val="28"/>
                <w:szCs w:val="28"/>
              </w:rPr>
            </w:pPr>
          </w:p>
        </w:tc>
        <w:tc>
          <w:tcPr>
            <w:tcW w:w="290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食品园片区</w:t>
            </w:r>
          </w:p>
        </w:tc>
        <w:tc>
          <w:tcPr>
            <w:tcW w:w="1159"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color w:val="000000"/>
                <w:kern w:val="0"/>
                <w:sz w:val="28"/>
                <w:szCs w:val="28"/>
              </w:rPr>
            </w:pPr>
          </w:p>
        </w:tc>
        <w:tc>
          <w:tcPr>
            <w:tcW w:w="1399"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color w:val="000000"/>
                <w:kern w:val="0"/>
                <w:sz w:val="28"/>
                <w:szCs w:val="28"/>
              </w:rPr>
            </w:pPr>
          </w:p>
        </w:tc>
        <w:tc>
          <w:tcPr>
            <w:tcW w:w="1349"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color w:val="000000"/>
                <w:kern w:val="0"/>
                <w:sz w:val="28"/>
                <w:szCs w:val="28"/>
              </w:rPr>
            </w:pPr>
          </w:p>
        </w:tc>
      </w:tr>
      <w:tr>
        <w:tblPrEx>
          <w:tblLayout w:type="fixed"/>
          <w:tblCellMar>
            <w:top w:w="0" w:type="dxa"/>
            <w:left w:w="28" w:type="dxa"/>
            <w:bottom w:w="0" w:type="dxa"/>
            <w:right w:w="28" w:type="dxa"/>
          </w:tblCellMar>
        </w:tblPrEx>
        <w:trPr>
          <w:trHeight w:val="514" w:hRule="atLeast"/>
        </w:trPr>
        <w:tc>
          <w:tcPr>
            <w:tcW w:w="567"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2</w:t>
            </w:r>
          </w:p>
        </w:tc>
        <w:tc>
          <w:tcPr>
            <w:tcW w:w="1493"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文龙街道</w:t>
            </w:r>
          </w:p>
        </w:tc>
        <w:tc>
          <w:tcPr>
            <w:tcW w:w="290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共同片区</w:t>
            </w:r>
          </w:p>
        </w:tc>
        <w:tc>
          <w:tcPr>
            <w:tcW w:w="1159"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14.40 </w:t>
            </w:r>
          </w:p>
        </w:tc>
        <w:tc>
          <w:tcPr>
            <w:tcW w:w="1399"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2.88 </w:t>
            </w:r>
          </w:p>
        </w:tc>
        <w:tc>
          <w:tcPr>
            <w:tcW w:w="1349"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14.40 </w:t>
            </w:r>
          </w:p>
        </w:tc>
      </w:tr>
      <w:tr>
        <w:tblPrEx>
          <w:tblLayout w:type="fixed"/>
          <w:tblCellMar>
            <w:top w:w="0" w:type="dxa"/>
            <w:left w:w="28" w:type="dxa"/>
            <w:bottom w:w="0" w:type="dxa"/>
            <w:right w:w="28" w:type="dxa"/>
          </w:tblCellMar>
        </w:tblPrEx>
        <w:trPr>
          <w:trHeight w:val="514" w:hRule="atLeast"/>
        </w:trPr>
        <w:tc>
          <w:tcPr>
            <w:tcW w:w="567"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kern w:val="0"/>
                <w:sz w:val="28"/>
                <w:szCs w:val="28"/>
              </w:rPr>
            </w:pPr>
          </w:p>
        </w:tc>
        <w:tc>
          <w:tcPr>
            <w:tcW w:w="1493"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kern w:val="0"/>
                <w:sz w:val="28"/>
                <w:szCs w:val="28"/>
              </w:rPr>
            </w:pPr>
          </w:p>
        </w:tc>
        <w:tc>
          <w:tcPr>
            <w:tcW w:w="290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九龙片区</w:t>
            </w:r>
          </w:p>
        </w:tc>
        <w:tc>
          <w:tcPr>
            <w:tcW w:w="1159"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color w:val="000000"/>
                <w:kern w:val="0"/>
                <w:sz w:val="28"/>
                <w:szCs w:val="28"/>
              </w:rPr>
            </w:pPr>
          </w:p>
        </w:tc>
        <w:tc>
          <w:tcPr>
            <w:tcW w:w="1399"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color w:val="000000"/>
                <w:kern w:val="0"/>
                <w:sz w:val="28"/>
                <w:szCs w:val="28"/>
              </w:rPr>
            </w:pPr>
          </w:p>
        </w:tc>
        <w:tc>
          <w:tcPr>
            <w:tcW w:w="1349"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color w:val="000000"/>
                <w:kern w:val="0"/>
                <w:sz w:val="28"/>
                <w:szCs w:val="28"/>
              </w:rPr>
            </w:pPr>
          </w:p>
        </w:tc>
      </w:tr>
      <w:tr>
        <w:tblPrEx>
          <w:tblLayout w:type="fixed"/>
          <w:tblCellMar>
            <w:top w:w="0" w:type="dxa"/>
            <w:left w:w="28" w:type="dxa"/>
            <w:bottom w:w="0" w:type="dxa"/>
            <w:right w:w="28" w:type="dxa"/>
          </w:tblCellMar>
        </w:tblPrEx>
        <w:trPr>
          <w:trHeight w:val="514" w:hRule="atLeast"/>
        </w:trPr>
        <w:tc>
          <w:tcPr>
            <w:tcW w:w="567"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kern w:val="0"/>
                <w:sz w:val="28"/>
                <w:szCs w:val="28"/>
              </w:rPr>
            </w:pPr>
          </w:p>
        </w:tc>
        <w:tc>
          <w:tcPr>
            <w:tcW w:w="1493"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kern w:val="0"/>
                <w:sz w:val="28"/>
                <w:szCs w:val="28"/>
              </w:rPr>
            </w:pPr>
          </w:p>
        </w:tc>
        <w:tc>
          <w:tcPr>
            <w:tcW w:w="290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沙溪片区</w:t>
            </w:r>
          </w:p>
        </w:tc>
        <w:tc>
          <w:tcPr>
            <w:tcW w:w="1159"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color w:val="000000"/>
                <w:kern w:val="0"/>
                <w:sz w:val="28"/>
                <w:szCs w:val="28"/>
              </w:rPr>
            </w:pPr>
          </w:p>
        </w:tc>
        <w:tc>
          <w:tcPr>
            <w:tcW w:w="1399"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color w:val="000000"/>
                <w:kern w:val="0"/>
                <w:sz w:val="28"/>
                <w:szCs w:val="28"/>
              </w:rPr>
            </w:pPr>
          </w:p>
        </w:tc>
        <w:tc>
          <w:tcPr>
            <w:tcW w:w="1349"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color w:val="000000"/>
                <w:kern w:val="0"/>
                <w:sz w:val="28"/>
                <w:szCs w:val="28"/>
              </w:rPr>
            </w:pPr>
          </w:p>
        </w:tc>
      </w:tr>
      <w:tr>
        <w:tblPrEx>
          <w:tblLayout w:type="fixed"/>
          <w:tblCellMar>
            <w:top w:w="0" w:type="dxa"/>
            <w:left w:w="28" w:type="dxa"/>
            <w:bottom w:w="0" w:type="dxa"/>
            <w:right w:w="28" w:type="dxa"/>
          </w:tblCellMar>
        </w:tblPrEx>
        <w:trPr>
          <w:trHeight w:val="514" w:hRule="atLeast"/>
        </w:trPr>
        <w:tc>
          <w:tcPr>
            <w:tcW w:w="567"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kern w:val="0"/>
                <w:sz w:val="28"/>
                <w:szCs w:val="28"/>
              </w:rPr>
            </w:pPr>
          </w:p>
        </w:tc>
        <w:tc>
          <w:tcPr>
            <w:tcW w:w="1493"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kern w:val="0"/>
                <w:sz w:val="28"/>
                <w:szCs w:val="28"/>
              </w:rPr>
            </w:pPr>
          </w:p>
        </w:tc>
        <w:tc>
          <w:tcPr>
            <w:tcW w:w="290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高速路口至党校片区</w:t>
            </w:r>
          </w:p>
        </w:tc>
        <w:tc>
          <w:tcPr>
            <w:tcW w:w="1159"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color w:val="000000"/>
                <w:kern w:val="0"/>
                <w:sz w:val="28"/>
                <w:szCs w:val="28"/>
              </w:rPr>
            </w:pPr>
          </w:p>
        </w:tc>
        <w:tc>
          <w:tcPr>
            <w:tcW w:w="1399"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color w:val="000000"/>
                <w:kern w:val="0"/>
                <w:sz w:val="28"/>
                <w:szCs w:val="28"/>
              </w:rPr>
            </w:pPr>
          </w:p>
        </w:tc>
        <w:tc>
          <w:tcPr>
            <w:tcW w:w="1349"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color w:val="000000"/>
                <w:kern w:val="0"/>
                <w:sz w:val="28"/>
                <w:szCs w:val="28"/>
              </w:rPr>
            </w:pPr>
          </w:p>
        </w:tc>
      </w:tr>
      <w:tr>
        <w:tblPrEx>
          <w:tblLayout w:type="fixed"/>
          <w:tblCellMar>
            <w:top w:w="0" w:type="dxa"/>
            <w:left w:w="28" w:type="dxa"/>
            <w:bottom w:w="0" w:type="dxa"/>
            <w:right w:w="28" w:type="dxa"/>
          </w:tblCellMar>
        </w:tblPrEx>
        <w:trPr>
          <w:trHeight w:val="514" w:hRule="atLeast"/>
        </w:trPr>
        <w:tc>
          <w:tcPr>
            <w:tcW w:w="567"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3</w:t>
            </w:r>
          </w:p>
        </w:tc>
        <w:tc>
          <w:tcPr>
            <w:tcW w:w="1493"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古南街道</w:t>
            </w:r>
          </w:p>
        </w:tc>
        <w:tc>
          <w:tcPr>
            <w:tcW w:w="290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龙脊山片区</w:t>
            </w:r>
          </w:p>
        </w:tc>
        <w:tc>
          <w:tcPr>
            <w:tcW w:w="1159"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9.30 </w:t>
            </w:r>
          </w:p>
        </w:tc>
        <w:tc>
          <w:tcPr>
            <w:tcW w:w="1399"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1.86 </w:t>
            </w:r>
          </w:p>
        </w:tc>
        <w:tc>
          <w:tcPr>
            <w:tcW w:w="1349"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9.30 </w:t>
            </w:r>
          </w:p>
        </w:tc>
      </w:tr>
      <w:tr>
        <w:tblPrEx>
          <w:tblLayout w:type="fixed"/>
          <w:tblCellMar>
            <w:top w:w="0" w:type="dxa"/>
            <w:left w:w="28" w:type="dxa"/>
            <w:bottom w:w="0" w:type="dxa"/>
            <w:right w:w="28" w:type="dxa"/>
          </w:tblCellMar>
        </w:tblPrEx>
        <w:trPr>
          <w:trHeight w:val="514" w:hRule="atLeast"/>
        </w:trPr>
        <w:tc>
          <w:tcPr>
            <w:tcW w:w="567"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kern w:val="0"/>
                <w:sz w:val="28"/>
                <w:szCs w:val="28"/>
              </w:rPr>
            </w:pPr>
          </w:p>
        </w:tc>
        <w:tc>
          <w:tcPr>
            <w:tcW w:w="1493"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kern w:val="0"/>
                <w:sz w:val="28"/>
                <w:szCs w:val="28"/>
              </w:rPr>
            </w:pPr>
          </w:p>
        </w:tc>
        <w:tc>
          <w:tcPr>
            <w:tcW w:w="290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枣园至桥河片区</w:t>
            </w:r>
          </w:p>
        </w:tc>
        <w:tc>
          <w:tcPr>
            <w:tcW w:w="1159"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color w:val="000000"/>
                <w:kern w:val="0"/>
                <w:sz w:val="28"/>
                <w:szCs w:val="28"/>
              </w:rPr>
            </w:pPr>
          </w:p>
        </w:tc>
        <w:tc>
          <w:tcPr>
            <w:tcW w:w="1399"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color w:val="000000"/>
                <w:kern w:val="0"/>
                <w:sz w:val="28"/>
                <w:szCs w:val="28"/>
              </w:rPr>
            </w:pPr>
          </w:p>
        </w:tc>
        <w:tc>
          <w:tcPr>
            <w:tcW w:w="1349"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color w:val="000000"/>
                <w:kern w:val="0"/>
                <w:sz w:val="28"/>
                <w:szCs w:val="28"/>
              </w:rPr>
            </w:pPr>
          </w:p>
        </w:tc>
      </w:tr>
      <w:tr>
        <w:tblPrEx>
          <w:tblLayout w:type="fixed"/>
          <w:tblCellMar>
            <w:top w:w="0" w:type="dxa"/>
            <w:left w:w="28" w:type="dxa"/>
            <w:bottom w:w="0" w:type="dxa"/>
            <w:right w:w="28" w:type="dxa"/>
          </w:tblCellMar>
        </w:tblPrEx>
        <w:trPr>
          <w:trHeight w:val="514" w:hRule="atLeast"/>
        </w:trPr>
        <w:tc>
          <w:tcPr>
            <w:tcW w:w="567"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kern w:val="0"/>
                <w:sz w:val="28"/>
                <w:szCs w:val="28"/>
              </w:rPr>
            </w:pPr>
          </w:p>
        </w:tc>
        <w:tc>
          <w:tcPr>
            <w:tcW w:w="1493"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kern w:val="0"/>
                <w:sz w:val="28"/>
                <w:szCs w:val="28"/>
              </w:rPr>
            </w:pPr>
          </w:p>
        </w:tc>
        <w:tc>
          <w:tcPr>
            <w:tcW w:w="290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工业园区（桥河组团）</w:t>
            </w:r>
          </w:p>
        </w:tc>
        <w:tc>
          <w:tcPr>
            <w:tcW w:w="1159"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color w:val="000000"/>
                <w:kern w:val="0"/>
                <w:sz w:val="28"/>
                <w:szCs w:val="28"/>
              </w:rPr>
            </w:pPr>
          </w:p>
        </w:tc>
        <w:tc>
          <w:tcPr>
            <w:tcW w:w="1399"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color w:val="000000"/>
                <w:kern w:val="0"/>
                <w:sz w:val="28"/>
                <w:szCs w:val="28"/>
              </w:rPr>
            </w:pPr>
          </w:p>
        </w:tc>
        <w:tc>
          <w:tcPr>
            <w:tcW w:w="1349"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color w:val="000000"/>
                <w:kern w:val="0"/>
                <w:sz w:val="28"/>
                <w:szCs w:val="28"/>
              </w:rPr>
            </w:pPr>
          </w:p>
        </w:tc>
      </w:tr>
      <w:tr>
        <w:tblPrEx>
          <w:tblLayout w:type="fixed"/>
          <w:tblCellMar>
            <w:top w:w="0" w:type="dxa"/>
            <w:left w:w="28" w:type="dxa"/>
            <w:bottom w:w="0" w:type="dxa"/>
            <w:right w:w="28" w:type="dxa"/>
          </w:tblCellMar>
        </w:tblPrEx>
        <w:trPr>
          <w:trHeight w:val="514" w:hRule="atLeast"/>
        </w:trPr>
        <w:tc>
          <w:tcPr>
            <w:tcW w:w="567"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kern w:val="0"/>
                <w:sz w:val="28"/>
                <w:szCs w:val="28"/>
              </w:rPr>
            </w:pPr>
          </w:p>
        </w:tc>
        <w:tc>
          <w:tcPr>
            <w:tcW w:w="1493"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kern w:val="0"/>
                <w:sz w:val="28"/>
                <w:szCs w:val="28"/>
              </w:rPr>
            </w:pPr>
          </w:p>
        </w:tc>
        <w:tc>
          <w:tcPr>
            <w:tcW w:w="290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北渡铝产业园片区</w:t>
            </w:r>
          </w:p>
        </w:tc>
        <w:tc>
          <w:tcPr>
            <w:tcW w:w="1159"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color w:val="000000"/>
                <w:kern w:val="0"/>
                <w:sz w:val="28"/>
                <w:szCs w:val="28"/>
              </w:rPr>
            </w:pPr>
          </w:p>
        </w:tc>
        <w:tc>
          <w:tcPr>
            <w:tcW w:w="1399"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color w:val="000000"/>
                <w:kern w:val="0"/>
                <w:sz w:val="28"/>
                <w:szCs w:val="28"/>
              </w:rPr>
            </w:pPr>
          </w:p>
        </w:tc>
        <w:tc>
          <w:tcPr>
            <w:tcW w:w="1349"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left"/>
              <w:rPr>
                <w:color w:val="000000"/>
                <w:kern w:val="0"/>
                <w:sz w:val="28"/>
                <w:szCs w:val="28"/>
              </w:rPr>
            </w:pPr>
          </w:p>
        </w:tc>
      </w:tr>
      <w:tr>
        <w:tblPrEx>
          <w:tblLayout w:type="fixed"/>
          <w:tblCellMar>
            <w:top w:w="0" w:type="dxa"/>
            <w:left w:w="28" w:type="dxa"/>
            <w:bottom w:w="0" w:type="dxa"/>
            <w:right w:w="28" w:type="dxa"/>
          </w:tblCellMar>
        </w:tblPrEx>
        <w:trPr>
          <w:trHeight w:val="514"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4</w:t>
            </w:r>
          </w:p>
        </w:tc>
        <w:tc>
          <w:tcPr>
            <w:tcW w:w="1493"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三江街道</w:t>
            </w:r>
          </w:p>
        </w:tc>
        <w:tc>
          <w:tcPr>
            <w:tcW w:w="290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三江片区</w:t>
            </w:r>
          </w:p>
        </w:tc>
        <w:tc>
          <w:tcPr>
            <w:tcW w:w="11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1.70 </w:t>
            </w:r>
          </w:p>
        </w:tc>
        <w:tc>
          <w:tcPr>
            <w:tcW w:w="139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0.34 </w:t>
            </w:r>
          </w:p>
        </w:tc>
        <w:tc>
          <w:tcPr>
            <w:tcW w:w="134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1.70 </w:t>
            </w:r>
          </w:p>
        </w:tc>
      </w:tr>
      <w:tr>
        <w:tblPrEx>
          <w:tblLayout w:type="fixed"/>
          <w:tblCellMar>
            <w:top w:w="0" w:type="dxa"/>
            <w:left w:w="28" w:type="dxa"/>
            <w:bottom w:w="0" w:type="dxa"/>
            <w:right w:w="28" w:type="dxa"/>
          </w:tblCellMar>
        </w:tblPrEx>
        <w:trPr>
          <w:trHeight w:val="514"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5</w:t>
            </w:r>
          </w:p>
        </w:tc>
        <w:tc>
          <w:tcPr>
            <w:tcW w:w="1493"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永城镇</w:t>
            </w:r>
          </w:p>
        </w:tc>
        <w:tc>
          <w:tcPr>
            <w:tcW w:w="290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永桐新城</w:t>
            </w:r>
          </w:p>
        </w:tc>
        <w:tc>
          <w:tcPr>
            <w:tcW w:w="11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11.10 </w:t>
            </w:r>
          </w:p>
        </w:tc>
        <w:tc>
          <w:tcPr>
            <w:tcW w:w="139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2.22 </w:t>
            </w:r>
          </w:p>
        </w:tc>
        <w:tc>
          <w:tcPr>
            <w:tcW w:w="134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11.10 </w:t>
            </w:r>
          </w:p>
        </w:tc>
      </w:tr>
      <w:tr>
        <w:tblPrEx>
          <w:tblLayout w:type="fixed"/>
          <w:tblCellMar>
            <w:top w:w="0" w:type="dxa"/>
            <w:left w:w="28" w:type="dxa"/>
            <w:bottom w:w="0" w:type="dxa"/>
            <w:right w:w="28" w:type="dxa"/>
          </w:tblCellMar>
        </w:tblPrEx>
        <w:trPr>
          <w:trHeight w:val="514" w:hRule="atLeast"/>
        </w:trPr>
        <w:tc>
          <w:tcPr>
            <w:tcW w:w="567"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6</w:t>
            </w:r>
          </w:p>
        </w:tc>
        <w:tc>
          <w:tcPr>
            <w:tcW w:w="1493"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新盛街道</w:t>
            </w:r>
          </w:p>
        </w:tc>
        <w:tc>
          <w:tcPr>
            <w:tcW w:w="290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北部智慧新城</w:t>
            </w:r>
          </w:p>
        </w:tc>
        <w:tc>
          <w:tcPr>
            <w:tcW w:w="11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2.80 </w:t>
            </w:r>
          </w:p>
        </w:tc>
        <w:tc>
          <w:tcPr>
            <w:tcW w:w="139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0.56 </w:t>
            </w:r>
          </w:p>
        </w:tc>
        <w:tc>
          <w:tcPr>
            <w:tcW w:w="134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2.80 </w:t>
            </w:r>
          </w:p>
        </w:tc>
      </w:tr>
      <w:tr>
        <w:tblPrEx>
          <w:tblLayout w:type="fixed"/>
          <w:tblCellMar>
            <w:top w:w="0" w:type="dxa"/>
            <w:left w:w="28" w:type="dxa"/>
            <w:bottom w:w="0" w:type="dxa"/>
            <w:right w:w="28" w:type="dxa"/>
          </w:tblCellMar>
        </w:tblPrEx>
        <w:trPr>
          <w:trHeight w:val="525" w:hRule="atLeast"/>
        </w:trPr>
        <w:tc>
          <w:tcPr>
            <w:tcW w:w="4969" w:type="dxa"/>
            <w:gridSpan w:val="3"/>
            <w:tcBorders>
              <w:top w:val="nil"/>
              <w:left w:val="single" w:color="auto" w:sz="4" w:space="0"/>
              <w:bottom w:val="single" w:color="auto" w:sz="4" w:space="0"/>
              <w:right w:val="single" w:color="000000" w:sz="4" w:space="0"/>
            </w:tcBorders>
            <w:shd w:val="clear" w:color="auto" w:fill="auto"/>
            <w:vAlign w:val="center"/>
          </w:tcPr>
          <w:p>
            <w:pPr>
              <w:widowControl/>
              <w:spacing w:line="480" w:lineRule="exact"/>
              <w:jc w:val="center"/>
              <w:rPr>
                <w:b/>
                <w:color w:val="000000"/>
                <w:kern w:val="0"/>
                <w:sz w:val="28"/>
                <w:szCs w:val="28"/>
              </w:rPr>
            </w:pPr>
            <w:r>
              <w:rPr>
                <w:b/>
                <w:color w:val="000000"/>
                <w:kern w:val="0"/>
                <w:sz w:val="28"/>
                <w:szCs w:val="28"/>
              </w:rPr>
              <w:t>合</w:t>
            </w:r>
            <w:r>
              <w:rPr>
                <w:rFonts w:hint="eastAsia"/>
                <w:b/>
                <w:color w:val="000000"/>
                <w:kern w:val="0"/>
                <w:sz w:val="28"/>
                <w:szCs w:val="28"/>
                <w:lang w:val="en-US" w:eastAsia="zh-CN"/>
              </w:rPr>
              <w:t xml:space="preserve">  </w:t>
            </w:r>
            <w:r>
              <w:rPr>
                <w:b/>
                <w:color w:val="000000"/>
                <w:kern w:val="0"/>
                <w:sz w:val="28"/>
                <w:szCs w:val="28"/>
              </w:rPr>
              <w:t>计</w:t>
            </w:r>
          </w:p>
        </w:tc>
        <w:tc>
          <w:tcPr>
            <w:tcW w:w="11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b/>
                <w:kern w:val="0"/>
                <w:sz w:val="28"/>
                <w:szCs w:val="28"/>
              </w:rPr>
            </w:pPr>
            <w:r>
              <w:rPr>
                <w:b/>
                <w:kern w:val="0"/>
                <w:sz w:val="28"/>
                <w:szCs w:val="28"/>
              </w:rPr>
              <w:t xml:space="preserve">50.70 </w:t>
            </w:r>
          </w:p>
        </w:tc>
        <w:tc>
          <w:tcPr>
            <w:tcW w:w="139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b/>
                <w:color w:val="000000"/>
                <w:kern w:val="0"/>
                <w:sz w:val="28"/>
                <w:szCs w:val="28"/>
              </w:rPr>
            </w:pPr>
            <w:r>
              <w:rPr>
                <w:b/>
                <w:color w:val="000000"/>
                <w:kern w:val="0"/>
                <w:sz w:val="28"/>
                <w:szCs w:val="28"/>
              </w:rPr>
              <w:t xml:space="preserve">10.14 </w:t>
            </w:r>
          </w:p>
        </w:tc>
        <w:tc>
          <w:tcPr>
            <w:tcW w:w="134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b/>
                <w:color w:val="000000"/>
                <w:kern w:val="0"/>
                <w:sz w:val="28"/>
                <w:szCs w:val="28"/>
              </w:rPr>
            </w:pPr>
            <w:r>
              <w:rPr>
                <w:b/>
                <w:color w:val="000000"/>
                <w:kern w:val="0"/>
                <w:sz w:val="28"/>
                <w:szCs w:val="28"/>
              </w:rPr>
              <w:t xml:space="preserve">50.70 </w:t>
            </w:r>
          </w:p>
        </w:tc>
      </w:tr>
    </w:tbl>
    <w:p>
      <w:pPr>
        <w:keepNext w:val="0"/>
        <w:keepLines w:val="0"/>
        <w:pageBreakBefore w:val="0"/>
        <w:widowControl w:val="0"/>
        <w:kinsoku/>
        <w:wordWrap/>
        <w:overflowPunct/>
        <w:topLinePunct w:val="0"/>
        <w:autoSpaceDE/>
        <w:autoSpaceDN/>
        <w:bidi w:val="0"/>
        <w:spacing w:line="600" w:lineRule="exact"/>
        <w:ind w:left="0" w:leftChars="0" w:right="0" w:rightChars="0" w:firstLine="640" w:firstLineChars="200"/>
        <w:textAlignment w:val="auto"/>
        <w:outlineLvl w:val="9"/>
        <w:rPr>
          <w:rFonts w:hint="eastAsia"/>
          <w:szCs w:val="32"/>
          <w:u w:val="none"/>
        </w:rPr>
      </w:pPr>
      <w:r>
        <w:rPr>
          <w:rFonts w:hint="eastAsia"/>
          <w:szCs w:val="32"/>
          <w:u w:val="none"/>
          <w:lang w:val="en-US" w:eastAsia="zh-CN"/>
        </w:rPr>
        <w:t>2</w:t>
      </w:r>
      <w:r>
        <w:rPr>
          <w:rFonts w:hint="default"/>
          <w:szCs w:val="32"/>
          <w:u w:val="none"/>
          <w:lang w:val="en-US" w:eastAsia="zh-CN"/>
        </w:rPr>
        <w:t>．</w:t>
      </w:r>
      <w:r>
        <w:rPr>
          <w:rFonts w:hint="eastAsia"/>
          <w:szCs w:val="32"/>
          <w:u w:val="none"/>
        </w:rPr>
        <w:t>应急避难场所规模</w:t>
      </w:r>
      <w:r>
        <w:rPr>
          <w:rFonts w:hint="eastAsia"/>
          <w:szCs w:val="32"/>
          <w:u w:val="none"/>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left"/>
        <w:textAlignment w:val="auto"/>
        <w:outlineLvl w:val="9"/>
        <w:rPr>
          <w:szCs w:val="32"/>
        </w:rPr>
      </w:pPr>
      <w:r>
        <w:rPr>
          <w:szCs w:val="32"/>
        </w:rPr>
        <w:t>依据《重庆市应急避难场所规划编制导则</w:t>
      </w:r>
      <w:r>
        <w:rPr>
          <w:rFonts w:hint="eastAsia"/>
          <w:szCs w:val="32"/>
        </w:rPr>
        <w:t>》《</w:t>
      </w:r>
      <w:r>
        <w:rPr>
          <w:szCs w:val="32"/>
        </w:rPr>
        <w:t>重庆市应急避难场所管理办法（试行）》等规范，综合考虑綦江规划区空旷场所现状及规划情况，确定暂时应急避难场所人均有效避难面积为1.5平方米/人；短期应急避难场所人均有效避难面积为3.0平方米/人；中长期应急避难场所人均有效避难面积为5.0平方米/人。各分区应急避难场所需求规模如下表所示。</w:t>
      </w:r>
    </w:p>
    <w:p>
      <w:pPr>
        <w:spacing w:line="576" w:lineRule="exact"/>
        <w:ind w:firstLine="640" w:firstLineChars="200"/>
        <w:jc w:val="center"/>
        <w:rPr>
          <w:rFonts w:hint="eastAsia" w:ascii="方正黑体_GBK" w:hAnsi="方正黑体_GBK" w:eastAsia="方正黑体_GBK" w:cs="方正黑体_GBK"/>
          <w:szCs w:val="32"/>
        </w:rPr>
      </w:pPr>
      <w:r>
        <w:rPr>
          <w:rFonts w:hint="eastAsia" w:ascii="方正黑体_GBK" w:hAnsi="方正黑体_GBK" w:eastAsia="方正黑体_GBK" w:cs="方正黑体_GBK"/>
          <w:szCs w:val="32"/>
        </w:rPr>
        <w:t>应急避难分区场地规模一览表</w:t>
      </w:r>
    </w:p>
    <w:tbl>
      <w:tblPr>
        <w:tblStyle w:val="18"/>
        <w:tblW w:w="8854" w:type="dxa"/>
        <w:tblInd w:w="0" w:type="dxa"/>
        <w:tblLayout w:type="fixed"/>
        <w:tblCellMar>
          <w:top w:w="0" w:type="dxa"/>
          <w:left w:w="0" w:type="dxa"/>
          <w:bottom w:w="0" w:type="dxa"/>
          <w:right w:w="0" w:type="dxa"/>
        </w:tblCellMar>
      </w:tblPr>
      <w:tblGrid>
        <w:gridCol w:w="797"/>
        <w:gridCol w:w="1188"/>
        <w:gridCol w:w="2568"/>
        <w:gridCol w:w="1183"/>
        <w:gridCol w:w="1521"/>
        <w:gridCol w:w="1597"/>
      </w:tblGrid>
      <w:tr>
        <w:tblPrEx>
          <w:tblLayout w:type="fixed"/>
          <w:tblCellMar>
            <w:top w:w="0" w:type="dxa"/>
            <w:left w:w="0" w:type="dxa"/>
            <w:bottom w:w="0" w:type="dxa"/>
            <w:right w:w="0" w:type="dxa"/>
          </w:tblCellMar>
        </w:tblPrEx>
        <w:trPr>
          <w:trHeight w:val="855" w:hRule="atLeast"/>
          <w:tblHeader/>
        </w:trPr>
        <w:tc>
          <w:tcPr>
            <w:tcW w:w="7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rPr>
                <w:rFonts w:hint="default" w:ascii="Times New Roman" w:hAnsi="Times New Roman" w:eastAsia="方正黑体_GBK" w:cs="Times New Roman"/>
                <w:b w:val="0"/>
                <w:bCs w:val="0"/>
                <w:color w:val="000000"/>
                <w:kern w:val="0"/>
                <w:sz w:val="28"/>
                <w:szCs w:val="28"/>
              </w:rPr>
            </w:pPr>
            <w:r>
              <w:rPr>
                <w:rFonts w:hint="default" w:ascii="Times New Roman" w:hAnsi="Times New Roman" w:eastAsia="方正黑体_GBK" w:cs="Times New Roman"/>
                <w:b w:val="0"/>
                <w:bCs w:val="0"/>
                <w:color w:val="000000"/>
                <w:kern w:val="0"/>
                <w:sz w:val="28"/>
                <w:szCs w:val="28"/>
              </w:rPr>
              <w:t>序号</w:t>
            </w:r>
          </w:p>
        </w:tc>
        <w:tc>
          <w:tcPr>
            <w:tcW w:w="1188" w:type="dxa"/>
            <w:tcBorders>
              <w:top w:val="single" w:color="auto" w:sz="4" w:space="0"/>
              <w:left w:val="nil"/>
              <w:bottom w:val="single" w:color="auto" w:sz="4" w:space="0"/>
              <w:right w:val="single" w:color="auto" w:sz="4" w:space="0"/>
            </w:tcBorders>
            <w:shd w:val="clear" w:color="auto" w:fill="auto"/>
            <w:vAlign w:val="center"/>
          </w:tcPr>
          <w:p>
            <w:pPr>
              <w:widowControl/>
              <w:spacing w:line="276" w:lineRule="auto"/>
              <w:jc w:val="center"/>
              <w:rPr>
                <w:rFonts w:hint="default" w:ascii="Times New Roman" w:hAnsi="Times New Roman" w:eastAsia="方正黑体_GBK" w:cs="Times New Roman"/>
                <w:b w:val="0"/>
                <w:bCs w:val="0"/>
                <w:color w:val="000000"/>
                <w:kern w:val="0"/>
                <w:sz w:val="28"/>
                <w:szCs w:val="28"/>
              </w:rPr>
            </w:pPr>
            <w:r>
              <w:rPr>
                <w:rFonts w:hint="default" w:ascii="Times New Roman" w:hAnsi="Times New Roman" w:eastAsia="方正黑体_GBK" w:cs="Times New Roman"/>
                <w:b w:val="0"/>
                <w:bCs w:val="0"/>
                <w:color w:val="000000"/>
                <w:kern w:val="0"/>
                <w:sz w:val="28"/>
                <w:szCs w:val="28"/>
              </w:rPr>
              <w:t>一级防灾分区</w:t>
            </w:r>
          </w:p>
        </w:tc>
        <w:tc>
          <w:tcPr>
            <w:tcW w:w="2568" w:type="dxa"/>
            <w:tcBorders>
              <w:top w:val="single" w:color="auto" w:sz="4" w:space="0"/>
              <w:left w:val="nil"/>
              <w:bottom w:val="single" w:color="auto" w:sz="4" w:space="0"/>
              <w:right w:val="single" w:color="auto" w:sz="4" w:space="0"/>
            </w:tcBorders>
            <w:shd w:val="clear" w:color="auto" w:fill="auto"/>
            <w:vAlign w:val="center"/>
          </w:tcPr>
          <w:p>
            <w:pPr>
              <w:widowControl/>
              <w:spacing w:line="276" w:lineRule="auto"/>
              <w:jc w:val="center"/>
              <w:rPr>
                <w:rFonts w:hint="default" w:ascii="Times New Roman" w:hAnsi="Times New Roman" w:eastAsia="方正黑体_GBK" w:cs="Times New Roman"/>
                <w:b w:val="0"/>
                <w:bCs w:val="0"/>
                <w:color w:val="000000"/>
                <w:kern w:val="0"/>
                <w:sz w:val="28"/>
                <w:szCs w:val="28"/>
              </w:rPr>
            </w:pPr>
            <w:r>
              <w:rPr>
                <w:rFonts w:hint="default" w:ascii="Times New Roman" w:hAnsi="Times New Roman" w:eastAsia="方正黑体_GBK" w:cs="Times New Roman"/>
                <w:b w:val="0"/>
                <w:bCs w:val="0"/>
                <w:color w:val="000000"/>
                <w:kern w:val="0"/>
                <w:sz w:val="28"/>
                <w:szCs w:val="28"/>
              </w:rPr>
              <w:t>二级防灾分区</w:t>
            </w:r>
          </w:p>
        </w:tc>
        <w:tc>
          <w:tcPr>
            <w:tcW w:w="1183" w:type="dxa"/>
            <w:tcBorders>
              <w:top w:val="single" w:color="auto" w:sz="4" w:space="0"/>
              <w:left w:val="nil"/>
              <w:bottom w:val="single" w:color="auto" w:sz="4" w:space="0"/>
              <w:right w:val="single" w:color="auto" w:sz="4" w:space="0"/>
            </w:tcBorders>
            <w:shd w:val="clear" w:color="auto" w:fill="auto"/>
            <w:vAlign w:val="center"/>
          </w:tcPr>
          <w:p>
            <w:pPr>
              <w:widowControl/>
              <w:spacing w:line="276" w:lineRule="auto"/>
              <w:jc w:val="center"/>
              <w:rPr>
                <w:rFonts w:hint="default" w:ascii="Times New Roman" w:hAnsi="Times New Roman" w:eastAsia="方正黑体_GBK" w:cs="Times New Roman"/>
                <w:b w:val="0"/>
                <w:bCs w:val="0"/>
                <w:color w:val="000000"/>
                <w:kern w:val="0"/>
                <w:sz w:val="28"/>
                <w:szCs w:val="28"/>
              </w:rPr>
            </w:pPr>
            <w:r>
              <w:rPr>
                <w:rFonts w:hint="default" w:ascii="Times New Roman" w:hAnsi="Times New Roman" w:eastAsia="方正黑体_GBK" w:cs="Times New Roman"/>
                <w:b w:val="0"/>
                <w:bCs w:val="0"/>
                <w:color w:val="000000"/>
                <w:kern w:val="0"/>
                <w:sz w:val="28"/>
                <w:szCs w:val="28"/>
              </w:rPr>
              <w:t>规划人口（万人）</w:t>
            </w:r>
          </w:p>
        </w:tc>
        <w:tc>
          <w:tcPr>
            <w:tcW w:w="1521" w:type="dxa"/>
            <w:tcBorders>
              <w:top w:val="single" w:color="auto" w:sz="4" w:space="0"/>
              <w:left w:val="nil"/>
              <w:bottom w:val="single" w:color="auto" w:sz="4" w:space="0"/>
              <w:right w:val="single" w:color="auto" w:sz="4" w:space="0"/>
            </w:tcBorders>
            <w:shd w:val="clear" w:color="auto" w:fill="auto"/>
            <w:vAlign w:val="center"/>
          </w:tcPr>
          <w:p>
            <w:pPr>
              <w:widowControl/>
              <w:spacing w:line="276" w:lineRule="auto"/>
              <w:jc w:val="center"/>
              <w:rPr>
                <w:rFonts w:hint="default" w:ascii="Times New Roman" w:hAnsi="Times New Roman" w:eastAsia="方正黑体_GBK" w:cs="Times New Roman"/>
                <w:b w:val="0"/>
                <w:bCs w:val="0"/>
                <w:color w:val="000000"/>
                <w:kern w:val="0"/>
                <w:sz w:val="28"/>
                <w:szCs w:val="28"/>
              </w:rPr>
            </w:pPr>
            <w:r>
              <w:rPr>
                <w:rFonts w:hint="default" w:ascii="Times New Roman" w:hAnsi="Times New Roman" w:eastAsia="方正黑体_GBK" w:cs="Times New Roman"/>
                <w:b w:val="0"/>
                <w:bCs w:val="0"/>
                <w:color w:val="000000"/>
                <w:kern w:val="0"/>
                <w:sz w:val="28"/>
                <w:szCs w:val="28"/>
              </w:rPr>
              <w:t>可宿住避难场所规模（ha）</w:t>
            </w:r>
          </w:p>
        </w:tc>
        <w:tc>
          <w:tcPr>
            <w:tcW w:w="1597" w:type="dxa"/>
            <w:tcBorders>
              <w:top w:val="single" w:color="auto" w:sz="4" w:space="0"/>
              <w:left w:val="nil"/>
              <w:bottom w:val="single" w:color="auto" w:sz="4" w:space="0"/>
              <w:right w:val="single" w:color="auto" w:sz="4" w:space="0"/>
            </w:tcBorders>
            <w:shd w:val="clear" w:color="auto" w:fill="auto"/>
            <w:vAlign w:val="center"/>
          </w:tcPr>
          <w:p>
            <w:pPr>
              <w:widowControl/>
              <w:spacing w:line="276" w:lineRule="auto"/>
              <w:jc w:val="center"/>
              <w:rPr>
                <w:rFonts w:hint="default" w:ascii="Times New Roman" w:hAnsi="Times New Roman" w:eastAsia="方正黑体_GBK" w:cs="Times New Roman"/>
                <w:b w:val="0"/>
                <w:bCs w:val="0"/>
                <w:color w:val="000000"/>
                <w:kern w:val="0"/>
                <w:sz w:val="28"/>
                <w:szCs w:val="28"/>
              </w:rPr>
            </w:pPr>
            <w:r>
              <w:rPr>
                <w:rFonts w:hint="default" w:ascii="Times New Roman" w:hAnsi="Times New Roman" w:eastAsia="方正黑体_GBK" w:cs="Times New Roman"/>
                <w:b w:val="0"/>
                <w:bCs w:val="0"/>
                <w:color w:val="000000"/>
                <w:kern w:val="0"/>
                <w:sz w:val="28"/>
                <w:szCs w:val="28"/>
              </w:rPr>
              <w:t>暂时避难场所规模（ha）</w:t>
            </w:r>
          </w:p>
        </w:tc>
      </w:tr>
      <w:tr>
        <w:tblPrEx>
          <w:tblLayout w:type="fixed"/>
          <w:tblCellMar>
            <w:top w:w="0" w:type="dxa"/>
            <w:left w:w="0" w:type="dxa"/>
            <w:bottom w:w="0" w:type="dxa"/>
            <w:right w:w="0" w:type="dxa"/>
          </w:tblCellMar>
        </w:tblPrEx>
        <w:trPr>
          <w:trHeight w:val="285" w:hRule="atLeast"/>
        </w:trPr>
        <w:tc>
          <w:tcPr>
            <w:tcW w:w="797"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76" w:lineRule="auto"/>
              <w:jc w:val="center"/>
              <w:rPr>
                <w:kern w:val="0"/>
                <w:sz w:val="28"/>
                <w:szCs w:val="28"/>
              </w:rPr>
            </w:pPr>
            <w:r>
              <w:rPr>
                <w:kern w:val="0"/>
                <w:sz w:val="28"/>
                <w:szCs w:val="28"/>
              </w:rPr>
              <w:t>1</w:t>
            </w:r>
          </w:p>
        </w:tc>
        <w:tc>
          <w:tcPr>
            <w:tcW w:w="1188"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76" w:lineRule="auto"/>
              <w:jc w:val="center"/>
              <w:rPr>
                <w:kern w:val="0"/>
                <w:sz w:val="28"/>
                <w:szCs w:val="28"/>
              </w:rPr>
            </w:pPr>
            <w:r>
              <w:rPr>
                <w:kern w:val="0"/>
                <w:sz w:val="28"/>
                <w:szCs w:val="28"/>
              </w:rPr>
              <w:t>通惠街道</w:t>
            </w:r>
          </w:p>
        </w:tc>
        <w:tc>
          <w:tcPr>
            <w:tcW w:w="2568" w:type="dxa"/>
            <w:tcBorders>
              <w:top w:val="nil"/>
              <w:left w:val="nil"/>
              <w:bottom w:val="single" w:color="auto" w:sz="4" w:space="0"/>
              <w:right w:val="single" w:color="auto" w:sz="4" w:space="0"/>
            </w:tcBorders>
            <w:shd w:val="clear" w:color="auto" w:fill="auto"/>
            <w:vAlign w:val="center"/>
          </w:tcPr>
          <w:p>
            <w:pPr>
              <w:widowControl/>
              <w:spacing w:line="276" w:lineRule="auto"/>
              <w:jc w:val="center"/>
              <w:rPr>
                <w:kern w:val="0"/>
                <w:sz w:val="28"/>
                <w:szCs w:val="28"/>
              </w:rPr>
            </w:pPr>
            <w:r>
              <w:rPr>
                <w:kern w:val="0"/>
                <w:sz w:val="28"/>
                <w:szCs w:val="28"/>
              </w:rPr>
              <w:t>东部新城片区</w:t>
            </w:r>
          </w:p>
        </w:tc>
        <w:tc>
          <w:tcPr>
            <w:tcW w:w="1183"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76" w:lineRule="auto"/>
              <w:jc w:val="center"/>
              <w:rPr>
                <w:color w:val="000000"/>
                <w:kern w:val="0"/>
                <w:sz w:val="28"/>
                <w:szCs w:val="28"/>
              </w:rPr>
            </w:pPr>
            <w:r>
              <w:rPr>
                <w:color w:val="000000"/>
                <w:kern w:val="0"/>
                <w:sz w:val="28"/>
                <w:szCs w:val="28"/>
              </w:rPr>
              <w:t xml:space="preserve">11.40 </w:t>
            </w:r>
          </w:p>
        </w:tc>
        <w:tc>
          <w:tcPr>
            <w:tcW w:w="1521"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76" w:lineRule="auto"/>
              <w:jc w:val="center"/>
              <w:rPr>
                <w:color w:val="000000"/>
                <w:kern w:val="0"/>
                <w:sz w:val="28"/>
                <w:szCs w:val="28"/>
              </w:rPr>
            </w:pPr>
            <w:r>
              <w:rPr>
                <w:color w:val="000000"/>
                <w:kern w:val="0"/>
                <w:sz w:val="28"/>
                <w:szCs w:val="28"/>
              </w:rPr>
              <w:t xml:space="preserve">9.12 </w:t>
            </w:r>
          </w:p>
        </w:tc>
        <w:tc>
          <w:tcPr>
            <w:tcW w:w="1597"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76" w:lineRule="auto"/>
              <w:jc w:val="center"/>
              <w:rPr>
                <w:color w:val="000000"/>
                <w:kern w:val="0"/>
                <w:sz w:val="28"/>
                <w:szCs w:val="28"/>
              </w:rPr>
            </w:pPr>
            <w:r>
              <w:rPr>
                <w:color w:val="000000"/>
                <w:kern w:val="0"/>
                <w:sz w:val="28"/>
                <w:szCs w:val="28"/>
              </w:rPr>
              <w:t xml:space="preserve">17.10 </w:t>
            </w:r>
          </w:p>
        </w:tc>
      </w:tr>
      <w:tr>
        <w:tblPrEx>
          <w:tblLayout w:type="fixed"/>
          <w:tblCellMar>
            <w:top w:w="0" w:type="dxa"/>
            <w:left w:w="0" w:type="dxa"/>
            <w:bottom w:w="0" w:type="dxa"/>
            <w:right w:w="0" w:type="dxa"/>
          </w:tblCellMar>
        </w:tblPrEx>
        <w:trPr>
          <w:trHeight w:val="285" w:hRule="atLeast"/>
        </w:trPr>
        <w:tc>
          <w:tcPr>
            <w:tcW w:w="797"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kern w:val="0"/>
                <w:sz w:val="28"/>
                <w:szCs w:val="28"/>
              </w:rPr>
            </w:pPr>
          </w:p>
        </w:tc>
        <w:tc>
          <w:tcPr>
            <w:tcW w:w="1188"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kern w:val="0"/>
                <w:sz w:val="28"/>
                <w:szCs w:val="28"/>
              </w:rPr>
            </w:pPr>
          </w:p>
        </w:tc>
        <w:tc>
          <w:tcPr>
            <w:tcW w:w="2568" w:type="dxa"/>
            <w:tcBorders>
              <w:top w:val="nil"/>
              <w:left w:val="nil"/>
              <w:bottom w:val="single" w:color="auto" w:sz="4" w:space="0"/>
              <w:right w:val="single" w:color="auto" w:sz="4" w:space="0"/>
            </w:tcBorders>
            <w:shd w:val="clear" w:color="auto" w:fill="auto"/>
            <w:vAlign w:val="center"/>
          </w:tcPr>
          <w:p>
            <w:pPr>
              <w:widowControl/>
              <w:spacing w:line="276" w:lineRule="auto"/>
              <w:jc w:val="center"/>
              <w:rPr>
                <w:kern w:val="0"/>
                <w:sz w:val="28"/>
                <w:szCs w:val="28"/>
              </w:rPr>
            </w:pPr>
            <w:r>
              <w:rPr>
                <w:kern w:val="0"/>
                <w:sz w:val="28"/>
                <w:szCs w:val="28"/>
              </w:rPr>
              <w:t>食品园片区</w:t>
            </w:r>
          </w:p>
        </w:tc>
        <w:tc>
          <w:tcPr>
            <w:tcW w:w="1183"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color w:val="000000"/>
                <w:kern w:val="0"/>
                <w:sz w:val="28"/>
                <w:szCs w:val="28"/>
              </w:rPr>
            </w:pPr>
          </w:p>
        </w:tc>
        <w:tc>
          <w:tcPr>
            <w:tcW w:w="1521"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color w:val="000000"/>
                <w:kern w:val="0"/>
                <w:sz w:val="28"/>
                <w:szCs w:val="28"/>
              </w:rPr>
            </w:pPr>
          </w:p>
        </w:tc>
        <w:tc>
          <w:tcPr>
            <w:tcW w:w="1597"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color w:val="000000"/>
                <w:kern w:val="0"/>
                <w:sz w:val="28"/>
                <w:szCs w:val="28"/>
              </w:rPr>
            </w:pPr>
          </w:p>
        </w:tc>
      </w:tr>
      <w:tr>
        <w:tblPrEx>
          <w:tblLayout w:type="fixed"/>
          <w:tblCellMar>
            <w:top w:w="0" w:type="dxa"/>
            <w:left w:w="0" w:type="dxa"/>
            <w:bottom w:w="0" w:type="dxa"/>
            <w:right w:w="0" w:type="dxa"/>
          </w:tblCellMar>
        </w:tblPrEx>
        <w:trPr>
          <w:trHeight w:val="285" w:hRule="atLeast"/>
        </w:trPr>
        <w:tc>
          <w:tcPr>
            <w:tcW w:w="797"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76" w:lineRule="auto"/>
              <w:jc w:val="center"/>
              <w:rPr>
                <w:kern w:val="0"/>
                <w:sz w:val="28"/>
                <w:szCs w:val="28"/>
              </w:rPr>
            </w:pPr>
            <w:r>
              <w:rPr>
                <w:kern w:val="0"/>
                <w:sz w:val="28"/>
                <w:szCs w:val="28"/>
              </w:rPr>
              <w:t>2</w:t>
            </w:r>
          </w:p>
        </w:tc>
        <w:tc>
          <w:tcPr>
            <w:tcW w:w="1188"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76" w:lineRule="auto"/>
              <w:jc w:val="center"/>
              <w:rPr>
                <w:kern w:val="0"/>
                <w:sz w:val="28"/>
                <w:szCs w:val="28"/>
              </w:rPr>
            </w:pPr>
            <w:r>
              <w:rPr>
                <w:kern w:val="0"/>
                <w:sz w:val="28"/>
                <w:szCs w:val="28"/>
              </w:rPr>
              <w:t>文龙街道</w:t>
            </w:r>
          </w:p>
        </w:tc>
        <w:tc>
          <w:tcPr>
            <w:tcW w:w="2568" w:type="dxa"/>
            <w:tcBorders>
              <w:top w:val="nil"/>
              <w:left w:val="nil"/>
              <w:bottom w:val="single" w:color="auto" w:sz="4" w:space="0"/>
              <w:right w:val="single" w:color="auto" w:sz="4" w:space="0"/>
            </w:tcBorders>
            <w:shd w:val="clear" w:color="auto" w:fill="auto"/>
            <w:vAlign w:val="center"/>
          </w:tcPr>
          <w:p>
            <w:pPr>
              <w:widowControl/>
              <w:spacing w:line="276" w:lineRule="auto"/>
              <w:jc w:val="center"/>
              <w:rPr>
                <w:kern w:val="0"/>
                <w:sz w:val="28"/>
                <w:szCs w:val="28"/>
              </w:rPr>
            </w:pPr>
            <w:r>
              <w:rPr>
                <w:kern w:val="0"/>
                <w:sz w:val="28"/>
                <w:szCs w:val="28"/>
              </w:rPr>
              <w:t>共同片区</w:t>
            </w:r>
          </w:p>
        </w:tc>
        <w:tc>
          <w:tcPr>
            <w:tcW w:w="1183"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76" w:lineRule="auto"/>
              <w:jc w:val="center"/>
              <w:rPr>
                <w:color w:val="000000"/>
                <w:kern w:val="0"/>
                <w:sz w:val="28"/>
                <w:szCs w:val="28"/>
              </w:rPr>
            </w:pPr>
            <w:r>
              <w:rPr>
                <w:color w:val="000000"/>
                <w:kern w:val="0"/>
                <w:sz w:val="28"/>
                <w:szCs w:val="28"/>
              </w:rPr>
              <w:t xml:space="preserve">14.40 </w:t>
            </w:r>
          </w:p>
        </w:tc>
        <w:tc>
          <w:tcPr>
            <w:tcW w:w="1521"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76" w:lineRule="auto"/>
              <w:jc w:val="center"/>
              <w:rPr>
                <w:color w:val="000000"/>
                <w:kern w:val="0"/>
                <w:sz w:val="28"/>
                <w:szCs w:val="28"/>
              </w:rPr>
            </w:pPr>
            <w:r>
              <w:rPr>
                <w:color w:val="000000"/>
                <w:kern w:val="0"/>
                <w:sz w:val="28"/>
                <w:szCs w:val="28"/>
              </w:rPr>
              <w:t xml:space="preserve">11.52 </w:t>
            </w:r>
          </w:p>
        </w:tc>
        <w:tc>
          <w:tcPr>
            <w:tcW w:w="1597"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76" w:lineRule="auto"/>
              <w:jc w:val="center"/>
              <w:rPr>
                <w:color w:val="000000"/>
                <w:kern w:val="0"/>
                <w:sz w:val="28"/>
                <w:szCs w:val="28"/>
              </w:rPr>
            </w:pPr>
            <w:r>
              <w:rPr>
                <w:color w:val="000000"/>
                <w:kern w:val="0"/>
                <w:sz w:val="28"/>
                <w:szCs w:val="28"/>
              </w:rPr>
              <w:t xml:space="preserve">21.60 </w:t>
            </w:r>
          </w:p>
        </w:tc>
      </w:tr>
      <w:tr>
        <w:tblPrEx>
          <w:tblLayout w:type="fixed"/>
          <w:tblCellMar>
            <w:top w:w="0" w:type="dxa"/>
            <w:left w:w="0" w:type="dxa"/>
            <w:bottom w:w="0" w:type="dxa"/>
            <w:right w:w="0" w:type="dxa"/>
          </w:tblCellMar>
        </w:tblPrEx>
        <w:trPr>
          <w:trHeight w:val="285" w:hRule="atLeast"/>
        </w:trPr>
        <w:tc>
          <w:tcPr>
            <w:tcW w:w="797"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kern w:val="0"/>
                <w:sz w:val="28"/>
                <w:szCs w:val="28"/>
              </w:rPr>
            </w:pPr>
          </w:p>
        </w:tc>
        <w:tc>
          <w:tcPr>
            <w:tcW w:w="1188"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kern w:val="0"/>
                <w:sz w:val="28"/>
                <w:szCs w:val="28"/>
              </w:rPr>
            </w:pPr>
          </w:p>
        </w:tc>
        <w:tc>
          <w:tcPr>
            <w:tcW w:w="2568" w:type="dxa"/>
            <w:tcBorders>
              <w:top w:val="nil"/>
              <w:left w:val="nil"/>
              <w:bottom w:val="single" w:color="auto" w:sz="4" w:space="0"/>
              <w:right w:val="single" w:color="auto" w:sz="4" w:space="0"/>
            </w:tcBorders>
            <w:shd w:val="clear" w:color="auto" w:fill="auto"/>
            <w:vAlign w:val="center"/>
          </w:tcPr>
          <w:p>
            <w:pPr>
              <w:widowControl/>
              <w:spacing w:line="276" w:lineRule="auto"/>
              <w:jc w:val="center"/>
              <w:rPr>
                <w:kern w:val="0"/>
                <w:sz w:val="28"/>
                <w:szCs w:val="28"/>
              </w:rPr>
            </w:pPr>
            <w:r>
              <w:rPr>
                <w:kern w:val="0"/>
                <w:sz w:val="28"/>
                <w:szCs w:val="28"/>
              </w:rPr>
              <w:t>九龙片区</w:t>
            </w:r>
          </w:p>
        </w:tc>
        <w:tc>
          <w:tcPr>
            <w:tcW w:w="1183"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color w:val="000000"/>
                <w:kern w:val="0"/>
                <w:sz w:val="28"/>
                <w:szCs w:val="28"/>
              </w:rPr>
            </w:pPr>
          </w:p>
        </w:tc>
        <w:tc>
          <w:tcPr>
            <w:tcW w:w="1521"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color w:val="000000"/>
                <w:kern w:val="0"/>
                <w:sz w:val="28"/>
                <w:szCs w:val="28"/>
              </w:rPr>
            </w:pPr>
          </w:p>
        </w:tc>
        <w:tc>
          <w:tcPr>
            <w:tcW w:w="1597"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color w:val="000000"/>
                <w:kern w:val="0"/>
                <w:sz w:val="28"/>
                <w:szCs w:val="28"/>
              </w:rPr>
            </w:pPr>
          </w:p>
        </w:tc>
      </w:tr>
      <w:tr>
        <w:tblPrEx>
          <w:tblLayout w:type="fixed"/>
          <w:tblCellMar>
            <w:top w:w="0" w:type="dxa"/>
            <w:left w:w="0" w:type="dxa"/>
            <w:bottom w:w="0" w:type="dxa"/>
            <w:right w:w="0" w:type="dxa"/>
          </w:tblCellMar>
        </w:tblPrEx>
        <w:trPr>
          <w:trHeight w:val="285" w:hRule="atLeast"/>
        </w:trPr>
        <w:tc>
          <w:tcPr>
            <w:tcW w:w="797"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kern w:val="0"/>
                <w:sz w:val="28"/>
                <w:szCs w:val="28"/>
              </w:rPr>
            </w:pPr>
          </w:p>
        </w:tc>
        <w:tc>
          <w:tcPr>
            <w:tcW w:w="1188"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kern w:val="0"/>
                <w:sz w:val="28"/>
                <w:szCs w:val="28"/>
              </w:rPr>
            </w:pPr>
          </w:p>
        </w:tc>
        <w:tc>
          <w:tcPr>
            <w:tcW w:w="2568" w:type="dxa"/>
            <w:tcBorders>
              <w:top w:val="nil"/>
              <w:left w:val="nil"/>
              <w:bottom w:val="single" w:color="auto" w:sz="4" w:space="0"/>
              <w:right w:val="single" w:color="auto" w:sz="4" w:space="0"/>
            </w:tcBorders>
            <w:shd w:val="clear" w:color="auto" w:fill="auto"/>
            <w:vAlign w:val="center"/>
          </w:tcPr>
          <w:p>
            <w:pPr>
              <w:widowControl/>
              <w:spacing w:line="276" w:lineRule="auto"/>
              <w:jc w:val="center"/>
              <w:rPr>
                <w:kern w:val="0"/>
                <w:sz w:val="28"/>
                <w:szCs w:val="28"/>
              </w:rPr>
            </w:pPr>
            <w:r>
              <w:rPr>
                <w:kern w:val="0"/>
                <w:sz w:val="28"/>
                <w:szCs w:val="28"/>
              </w:rPr>
              <w:t>沙溪片区</w:t>
            </w:r>
          </w:p>
        </w:tc>
        <w:tc>
          <w:tcPr>
            <w:tcW w:w="1183"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color w:val="000000"/>
                <w:kern w:val="0"/>
                <w:sz w:val="28"/>
                <w:szCs w:val="28"/>
              </w:rPr>
            </w:pPr>
          </w:p>
        </w:tc>
        <w:tc>
          <w:tcPr>
            <w:tcW w:w="1521"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color w:val="000000"/>
                <w:kern w:val="0"/>
                <w:sz w:val="28"/>
                <w:szCs w:val="28"/>
              </w:rPr>
            </w:pPr>
          </w:p>
        </w:tc>
        <w:tc>
          <w:tcPr>
            <w:tcW w:w="1597"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color w:val="000000"/>
                <w:kern w:val="0"/>
                <w:sz w:val="28"/>
                <w:szCs w:val="28"/>
              </w:rPr>
            </w:pPr>
          </w:p>
        </w:tc>
      </w:tr>
      <w:tr>
        <w:tblPrEx>
          <w:tblLayout w:type="fixed"/>
          <w:tblCellMar>
            <w:top w:w="0" w:type="dxa"/>
            <w:left w:w="0" w:type="dxa"/>
            <w:bottom w:w="0" w:type="dxa"/>
            <w:right w:w="0" w:type="dxa"/>
          </w:tblCellMar>
        </w:tblPrEx>
        <w:trPr>
          <w:trHeight w:val="285" w:hRule="atLeast"/>
        </w:trPr>
        <w:tc>
          <w:tcPr>
            <w:tcW w:w="797"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kern w:val="0"/>
                <w:sz w:val="28"/>
                <w:szCs w:val="28"/>
              </w:rPr>
            </w:pPr>
          </w:p>
        </w:tc>
        <w:tc>
          <w:tcPr>
            <w:tcW w:w="1188"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kern w:val="0"/>
                <w:sz w:val="28"/>
                <w:szCs w:val="28"/>
              </w:rPr>
            </w:pPr>
          </w:p>
        </w:tc>
        <w:tc>
          <w:tcPr>
            <w:tcW w:w="2568" w:type="dxa"/>
            <w:tcBorders>
              <w:top w:val="nil"/>
              <w:left w:val="nil"/>
              <w:bottom w:val="single" w:color="auto" w:sz="4" w:space="0"/>
              <w:right w:val="single" w:color="auto" w:sz="4" w:space="0"/>
            </w:tcBorders>
            <w:shd w:val="clear" w:color="auto" w:fill="auto"/>
            <w:vAlign w:val="center"/>
          </w:tcPr>
          <w:p>
            <w:pPr>
              <w:widowControl/>
              <w:spacing w:line="276" w:lineRule="auto"/>
              <w:jc w:val="center"/>
              <w:rPr>
                <w:kern w:val="0"/>
                <w:sz w:val="28"/>
                <w:szCs w:val="28"/>
              </w:rPr>
            </w:pPr>
            <w:r>
              <w:rPr>
                <w:kern w:val="0"/>
                <w:sz w:val="28"/>
                <w:szCs w:val="28"/>
              </w:rPr>
              <w:t>高速路口至党校片区</w:t>
            </w:r>
          </w:p>
        </w:tc>
        <w:tc>
          <w:tcPr>
            <w:tcW w:w="1183"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color w:val="000000"/>
                <w:kern w:val="0"/>
                <w:sz w:val="28"/>
                <w:szCs w:val="28"/>
              </w:rPr>
            </w:pPr>
          </w:p>
        </w:tc>
        <w:tc>
          <w:tcPr>
            <w:tcW w:w="1521"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color w:val="000000"/>
                <w:kern w:val="0"/>
                <w:sz w:val="28"/>
                <w:szCs w:val="28"/>
              </w:rPr>
            </w:pPr>
          </w:p>
        </w:tc>
        <w:tc>
          <w:tcPr>
            <w:tcW w:w="1597"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color w:val="000000"/>
                <w:kern w:val="0"/>
                <w:sz w:val="28"/>
                <w:szCs w:val="28"/>
              </w:rPr>
            </w:pPr>
          </w:p>
        </w:tc>
      </w:tr>
      <w:tr>
        <w:tblPrEx>
          <w:tblLayout w:type="fixed"/>
          <w:tblCellMar>
            <w:top w:w="0" w:type="dxa"/>
            <w:left w:w="0" w:type="dxa"/>
            <w:bottom w:w="0" w:type="dxa"/>
            <w:right w:w="0" w:type="dxa"/>
          </w:tblCellMar>
        </w:tblPrEx>
        <w:trPr>
          <w:trHeight w:val="285" w:hRule="atLeast"/>
        </w:trPr>
        <w:tc>
          <w:tcPr>
            <w:tcW w:w="797"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76" w:lineRule="auto"/>
              <w:jc w:val="center"/>
              <w:rPr>
                <w:kern w:val="0"/>
                <w:sz w:val="28"/>
                <w:szCs w:val="28"/>
              </w:rPr>
            </w:pPr>
            <w:r>
              <w:rPr>
                <w:kern w:val="0"/>
                <w:sz w:val="28"/>
                <w:szCs w:val="28"/>
              </w:rPr>
              <w:t>3</w:t>
            </w:r>
          </w:p>
        </w:tc>
        <w:tc>
          <w:tcPr>
            <w:tcW w:w="1188"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76" w:lineRule="auto"/>
              <w:jc w:val="center"/>
              <w:rPr>
                <w:kern w:val="0"/>
                <w:sz w:val="28"/>
                <w:szCs w:val="28"/>
              </w:rPr>
            </w:pPr>
            <w:r>
              <w:rPr>
                <w:kern w:val="0"/>
                <w:sz w:val="28"/>
                <w:szCs w:val="28"/>
              </w:rPr>
              <w:t>古南街道</w:t>
            </w:r>
          </w:p>
        </w:tc>
        <w:tc>
          <w:tcPr>
            <w:tcW w:w="2568" w:type="dxa"/>
            <w:tcBorders>
              <w:top w:val="nil"/>
              <w:left w:val="nil"/>
              <w:bottom w:val="single" w:color="auto" w:sz="4" w:space="0"/>
              <w:right w:val="single" w:color="auto" w:sz="4" w:space="0"/>
            </w:tcBorders>
            <w:shd w:val="clear" w:color="auto" w:fill="auto"/>
            <w:vAlign w:val="center"/>
          </w:tcPr>
          <w:p>
            <w:pPr>
              <w:widowControl/>
              <w:spacing w:line="276" w:lineRule="auto"/>
              <w:jc w:val="center"/>
              <w:rPr>
                <w:kern w:val="0"/>
                <w:sz w:val="28"/>
                <w:szCs w:val="28"/>
              </w:rPr>
            </w:pPr>
            <w:r>
              <w:rPr>
                <w:kern w:val="0"/>
                <w:sz w:val="28"/>
                <w:szCs w:val="28"/>
              </w:rPr>
              <w:t>龙脊山片区</w:t>
            </w:r>
          </w:p>
        </w:tc>
        <w:tc>
          <w:tcPr>
            <w:tcW w:w="1183"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76" w:lineRule="auto"/>
              <w:jc w:val="center"/>
              <w:rPr>
                <w:color w:val="000000"/>
                <w:kern w:val="0"/>
                <w:sz w:val="28"/>
                <w:szCs w:val="28"/>
              </w:rPr>
            </w:pPr>
            <w:r>
              <w:rPr>
                <w:color w:val="000000"/>
                <w:kern w:val="0"/>
                <w:sz w:val="28"/>
                <w:szCs w:val="28"/>
              </w:rPr>
              <w:t>9.30</w:t>
            </w:r>
          </w:p>
        </w:tc>
        <w:tc>
          <w:tcPr>
            <w:tcW w:w="1521"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76" w:lineRule="auto"/>
              <w:jc w:val="center"/>
              <w:rPr>
                <w:color w:val="000000"/>
                <w:kern w:val="0"/>
                <w:sz w:val="28"/>
                <w:szCs w:val="28"/>
              </w:rPr>
            </w:pPr>
            <w:r>
              <w:rPr>
                <w:color w:val="000000"/>
                <w:kern w:val="0"/>
                <w:sz w:val="28"/>
                <w:szCs w:val="28"/>
              </w:rPr>
              <w:t xml:space="preserve">7.44 </w:t>
            </w:r>
          </w:p>
        </w:tc>
        <w:tc>
          <w:tcPr>
            <w:tcW w:w="1597"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76" w:lineRule="auto"/>
              <w:jc w:val="center"/>
              <w:rPr>
                <w:color w:val="000000"/>
                <w:kern w:val="0"/>
                <w:sz w:val="28"/>
                <w:szCs w:val="28"/>
              </w:rPr>
            </w:pPr>
            <w:r>
              <w:rPr>
                <w:color w:val="000000"/>
                <w:kern w:val="0"/>
                <w:sz w:val="28"/>
                <w:szCs w:val="28"/>
              </w:rPr>
              <w:t xml:space="preserve">13.95 </w:t>
            </w:r>
          </w:p>
        </w:tc>
      </w:tr>
      <w:tr>
        <w:tblPrEx>
          <w:tblLayout w:type="fixed"/>
          <w:tblCellMar>
            <w:top w:w="0" w:type="dxa"/>
            <w:left w:w="0" w:type="dxa"/>
            <w:bottom w:w="0" w:type="dxa"/>
            <w:right w:w="0" w:type="dxa"/>
          </w:tblCellMar>
        </w:tblPrEx>
        <w:trPr>
          <w:trHeight w:val="285" w:hRule="atLeast"/>
        </w:trPr>
        <w:tc>
          <w:tcPr>
            <w:tcW w:w="797"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kern w:val="0"/>
                <w:sz w:val="28"/>
                <w:szCs w:val="28"/>
              </w:rPr>
            </w:pPr>
          </w:p>
        </w:tc>
        <w:tc>
          <w:tcPr>
            <w:tcW w:w="1188"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kern w:val="0"/>
                <w:sz w:val="28"/>
                <w:szCs w:val="28"/>
              </w:rPr>
            </w:pPr>
          </w:p>
        </w:tc>
        <w:tc>
          <w:tcPr>
            <w:tcW w:w="2568" w:type="dxa"/>
            <w:tcBorders>
              <w:top w:val="nil"/>
              <w:left w:val="nil"/>
              <w:bottom w:val="single" w:color="auto" w:sz="4" w:space="0"/>
              <w:right w:val="single" w:color="auto" w:sz="4" w:space="0"/>
            </w:tcBorders>
            <w:shd w:val="clear" w:color="auto" w:fill="auto"/>
            <w:vAlign w:val="center"/>
          </w:tcPr>
          <w:p>
            <w:pPr>
              <w:widowControl/>
              <w:spacing w:line="276" w:lineRule="auto"/>
              <w:jc w:val="center"/>
              <w:rPr>
                <w:kern w:val="0"/>
                <w:sz w:val="28"/>
                <w:szCs w:val="28"/>
              </w:rPr>
            </w:pPr>
            <w:r>
              <w:rPr>
                <w:kern w:val="0"/>
                <w:sz w:val="28"/>
                <w:szCs w:val="28"/>
              </w:rPr>
              <w:t>枣园至桥河片区</w:t>
            </w:r>
          </w:p>
        </w:tc>
        <w:tc>
          <w:tcPr>
            <w:tcW w:w="1183"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color w:val="000000"/>
                <w:kern w:val="0"/>
                <w:sz w:val="28"/>
                <w:szCs w:val="28"/>
              </w:rPr>
            </w:pPr>
          </w:p>
        </w:tc>
        <w:tc>
          <w:tcPr>
            <w:tcW w:w="1521"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color w:val="000000"/>
                <w:kern w:val="0"/>
                <w:sz w:val="28"/>
                <w:szCs w:val="28"/>
              </w:rPr>
            </w:pPr>
          </w:p>
        </w:tc>
        <w:tc>
          <w:tcPr>
            <w:tcW w:w="1597"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color w:val="000000"/>
                <w:kern w:val="0"/>
                <w:sz w:val="28"/>
                <w:szCs w:val="28"/>
              </w:rPr>
            </w:pPr>
          </w:p>
        </w:tc>
      </w:tr>
      <w:tr>
        <w:tblPrEx>
          <w:tblLayout w:type="fixed"/>
          <w:tblCellMar>
            <w:top w:w="0" w:type="dxa"/>
            <w:left w:w="0" w:type="dxa"/>
            <w:bottom w:w="0" w:type="dxa"/>
            <w:right w:w="0" w:type="dxa"/>
          </w:tblCellMar>
        </w:tblPrEx>
        <w:trPr>
          <w:trHeight w:val="285" w:hRule="atLeast"/>
        </w:trPr>
        <w:tc>
          <w:tcPr>
            <w:tcW w:w="797"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kern w:val="0"/>
                <w:sz w:val="28"/>
                <w:szCs w:val="28"/>
              </w:rPr>
            </w:pPr>
          </w:p>
        </w:tc>
        <w:tc>
          <w:tcPr>
            <w:tcW w:w="1188"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kern w:val="0"/>
                <w:sz w:val="28"/>
                <w:szCs w:val="28"/>
              </w:rPr>
            </w:pPr>
          </w:p>
        </w:tc>
        <w:tc>
          <w:tcPr>
            <w:tcW w:w="2568" w:type="dxa"/>
            <w:tcBorders>
              <w:top w:val="nil"/>
              <w:left w:val="nil"/>
              <w:bottom w:val="single" w:color="auto" w:sz="4" w:space="0"/>
              <w:right w:val="single" w:color="auto" w:sz="4" w:space="0"/>
            </w:tcBorders>
            <w:shd w:val="clear" w:color="auto" w:fill="auto"/>
            <w:vAlign w:val="center"/>
          </w:tcPr>
          <w:p>
            <w:pPr>
              <w:widowControl/>
              <w:spacing w:line="276" w:lineRule="auto"/>
              <w:jc w:val="center"/>
              <w:rPr>
                <w:kern w:val="0"/>
                <w:sz w:val="28"/>
                <w:szCs w:val="28"/>
              </w:rPr>
            </w:pPr>
            <w:r>
              <w:rPr>
                <w:kern w:val="0"/>
                <w:sz w:val="28"/>
                <w:szCs w:val="28"/>
              </w:rPr>
              <w:t>工业园区（桥河组团）</w:t>
            </w:r>
          </w:p>
        </w:tc>
        <w:tc>
          <w:tcPr>
            <w:tcW w:w="1183"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color w:val="000000"/>
                <w:kern w:val="0"/>
                <w:sz w:val="28"/>
                <w:szCs w:val="28"/>
              </w:rPr>
            </w:pPr>
          </w:p>
        </w:tc>
        <w:tc>
          <w:tcPr>
            <w:tcW w:w="1521"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color w:val="000000"/>
                <w:kern w:val="0"/>
                <w:sz w:val="28"/>
                <w:szCs w:val="28"/>
              </w:rPr>
            </w:pPr>
          </w:p>
        </w:tc>
        <w:tc>
          <w:tcPr>
            <w:tcW w:w="1597"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color w:val="000000"/>
                <w:kern w:val="0"/>
                <w:sz w:val="28"/>
                <w:szCs w:val="28"/>
              </w:rPr>
            </w:pPr>
          </w:p>
        </w:tc>
      </w:tr>
      <w:tr>
        <w:tblPrEx>
          <w:tblLayout w:type="fixed"/>
          <w:tblCellMar>
            <w:top w:w="0" w:type="dxa"/>
            <w:left w:w="0" w:type="dxa"/>
            <w:bottom w:w="0" w:type="dxa"/>
            <w:right w:w="0" w:type="dxa"/>
          </w:tblCellMar>
        </w:tblPrEx>
        <w:trPr>
          <w:trHeight w:val="285" w:hRule="atLeast"/>
        </w:trPr>
        <w:tc>
          <w:tcPr>
            <w:tcW w:w="797"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kern w:val="0"/>
                <w:sz w:val="28"/>
                <w:szCs w:val="28"/>
              </w:rPr>
            </w:pPr>
          </w:p>
        </w:tc>
        <w:tc>
          <w:tcPr>
            <w:tcW w:w="1188"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kern w:val="0"/>
                <w:sz w:val="28"/>
                <w:szCs w:val="28"/>
              </w:rPr>
            </w:pPr>
          </w:p>
        </w:tc>
        <w:tc>
          <w:tcPr>
            <w:tcW w:w="2568" w:type="dxa"/>
            <w:tcBorders>
              <w:top w:val="nil"/>
              <w:left w:val="nil"/>
              <w:bottom w:val="single" w:color="auto" w:sz="4" w:space="0"/>
              <w:right w:val="single" w:color="auto" w:sz="4" w:space="0"/>
            </w:tcBorders>
            <w:shd w:val="clear" w:color="auto" w:fill="auto"/>
            <w:vAlign w:val="center"/>
          </w:tcPr>
          <w:p>
            <w:pPr>
              <w:widowControl/>
              <w:spacing w:line="276" w:lineRule="auto"/>
              <w:jc w:val="center"/>
              <w:rPr>
                <w:kern w:val="0"/>
                <w:sz w:val="28"/>
                <w:szCs w:val="28"/>
              </w:rPr>
            </w:pPr>
            <w:r>
              <w:rPr>
                <w:kern w:val="0"/>
                <w:sz w:val="28"/>
                <w:szCs w:val="28"/>
              </w:rPr>
              <w:t>北渡铝产业园片区</w:t>
            </w:r>
          </w:p>
        </w:tc>
        <w:tc>
          <w:tcPr>
            <w:tcW w:w="1183"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color w:val="000000"/>
                <w:kern w:val="0"/>
                <w:sz w:val="28"/>
                <w:szCs w:val="28"/>
              </w:rPr>
            </w:pPr>
          </w:p>
        </w:tc>
        <w:tc>
          <w:tcPr>
            <w:tcW w:w="1521"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color w:val="000000"/>
                <w:kern w:val="0"/>
                <w:sz w:val="28"/>
                <w:szCs w:val="28"/>
              </w:rPr>
            </w:pPr>
          </w:p>
        </w:tc>
        <w:tc>
          <w:tcPr>
            <w:tcW w:w="1597" w:type="dxa"/>
            <w:vMerge w:val="continue"/>
            <w:tcBorders>
              <w:top w:val="nil"/>
              <w:left w:val="single" w:color="auto" w:sz="4" w:space="0"/>
              <w:bottom w:val="single" w:color="000000" w:sz="4" w:space="0"/>
              <w:right w:val="single" w:color="auto" w:sz="4" w:space="0"/>
            </w:tcBorders>
            <w:vAlign w:val="center"/>
          </w:tcPr>
          <w:p>
            <w:pPr>
              <w:widowControl/>
              <w:spacing w:line="276" w:lineRule="auto"/>
              <w:jc w:val="left"/>
              <w:rPr>
                <w:color w:val="000000"/>
                <w:kern w:val="0"/>
                <w:sz w:val="28"/>
                <w:szCs w:val="28"/>
              </w:rPr>
            </w:pPr>
          </w:p>
        </w:tc>
      </w:tr>
      <w:tr>
        <w:tblPrEx>
          <w:tblLayout w:type="fixed"/>
          <w:tblCellMar>
            <w:top w:w="0" w:type="dxa"/>
            <w:left w:w="0" w:type="dxa"/>
            <w:bottom w:w="0" w:type="dxa"/>
            <w:right w:w="0" w:type="dxa"/>
          </w:tblCellMar>
        </w:tblPrEx>
        <w:trPr>
          <w:trHeight w:val="285" w:hRule="atLeast"/>
        </w:trPr>
        <w:tc>
          <w:tcPr>
            <w:tcW w:w="797" w:type="dxa"/>
            <w:tcBorders>
              <w:top w:val="nil"/>
              <w:left w:val="single" w:color="auto" w:sz="4" w:space="0"/>
              <w:bottom w:val="single" w:color="auto" w:sz="4" w:space="0"/>
              <w:right w:val="single" w:color="auto" w:sz="4" w:space="0"/>
            </w:tcBorders>
            <w:shd w:val="clear" w:color="auto" w:fill="auto"/>
            <w:vAlign w:val="center"/>
          </w:tcPr>
          <w:p>
            <w:pPr>
              <w:widowControl/>
              <w:spacing w:line="276" w:lineRule="auto"/>
              <w:jc w:val="center"/>
              <w:rPr>
                <w:kern w:val="0"/>
                <w:sz w:val="28"/>
                <w:szCs w:val="28"/>
              </w:rPr>
            </w:pPr>
            <w:r>
              <w:rPr>
                <w:kern w:val="0"/>
                <w:sz w:val="28"/>
                <w:szCs w:val="28"/>
              </w:rPr>
              <w:t>4</w:t>
            </w:r>
          </w:p>
        </w:tc>
        <w:tc>
          <w:tcPr>
            <w:tcW w:w="1188" w:type="dxa"/>
            <w:tcBorders>
              <w:top w:val="nil"/>
              <w:left w:val="nil"/>
              <w:bottom w:val="single" w:color="auto" w:sz="4" w:space="0"/>
              <w:right w:val="single" w:color="auto" w:sz="4" w:space="0"/>
            </w:tcBorders>
            <w:shd w:val="clear" w:color="auto" w:fill="auto"/>
            <w:vAlign w:val="center"/>
          </w:tcPr>
          <w:p>
            <w:pPr>
              <w:widowControl/>
              <w:spacing w:line="276" w:lineRule="auto"/>
              <w:jc w:val="center"/>
              <w:rPr>
                <w:kern w:val="0"/>
                <w:sz w:val="28"/>
                <w:szCs w:val="28"/>
              </w:rPr>
            </w:pPr>
            <w:r>
              <w:rPr>
                <w:kern w:val="0"/>
                <w:sz w:val="28"/>
                <w:szCs w:val="28"/>
              </w:rPr>
              <w:t>三江街道</w:t>
            </w:r>
          </w:p>
        </w:tc>
        <w:tc>
          <w:tcPr>
            <w:tcW w:w="2568" w:type="dxa"/>
            <w:tcBorders>
              <w:top w:val="nil"/>
              <w:left w:val="nil"/>
              <w:bottom w:val="single" w:color="auto" w:sz="4" w:space="0"/>
              <w:right w:val="single" w:color="auto" w:sz="4" w:space="0"/>
            </w:tcBorders>
            <w:shd w:val="clear" w:color="auto" w:fill="auto"/>
            <w:vAlign w:val="center"/>
          </w:tcPr>
          <w:p>
            <w:pPr>
              <w:widowControl/>
              <w:spacing w:line="276" w:lineRule="auto"/>
              <w:jc w:val="center"/>
              <w:rPr>
                <w:kern w:val="0"/>
                <w:sz w:val="28"/>
                <w:szCs w:val="28"/>
              </w:rPr>
            </w:pPr>
            <w:r>
              <w:rPr>
                <w:kern w:val="0"/>
                <w:sz w:val="28"/>
                <w:szCs w:val="28"/>
              </w:rPr>
              <w:t>三江片区</w:t>
            </w:r>
          </w:p>
        </w:tc>
        <w:tc>
          <w:tcPr>
            <w:tcW w:w="1183" w:type="dxa"/>
            <w:tcBorders>
              <w:top w:val="nil"/>
              <w:left w:val="nil"/>
              <w:bottom w:val="single" w:color="auto" w:sz="4" w:space="0"/>
              <w:right w:val="single" w:color="auto" w:sz="4" w:space="0"/>
            </w:tcBorders>
            <w:shd w:val="clear" w:color="auto" w:fill="auto"/>
            <w:vAlign w:val="center"/>
          </w:tcPr>
          <w:p>
            <w:pPr>
              <w:widowControl/>
              <w:spacing w:line="276" w:lineRule="auto"/>
              <w:jc w:val="center"/>
              <w:rPr>
                <w:color w:val="000000"/>
                <w:kern w:val="0"/>
                <w:sz w:val="28"/>
                <w:szCs w:val="28"/>
              </w:rPr>
            </w:pPr>
            <w:r>
              <w:rPr>
                <w:color w:val="000000"/>
                <w:kern w:val="0"/>
                <w:sz w:val="28"/>
                <w:szCs w:val="28"/>
              </w:rPr>
              <w:t>1.70</w:t>
            </w:r>
          </w:p>
        </w:tc>
        <w:tc>
          <w:tcPr>
            <w:tcW w:w="1521" w:type="dxa"/>
            <w:tcBorders>
              <w:top w:val="nil"/>
              <w:left w:val="nil"/>
              <w:bottom w:val="single" w:color="auto" w:sz="4" w:space="0"/>
              <w:right w:val="single" w:color="auto" w:sz="4" w:space="0"/>
            </w:tcBorders>
            <w:shd w:val="clear" w:color="auto" w:fill="auto"/>
            <w:vAlign w:val="center"/>
          </w:tcPr>
          <w:p>
            <w:pPr>
              <w:widowControl/>
              <w:spacing w:line="276" w:lineRule="auto"/>
              <w:jc w:val="center"/>
              <w:rPr>
                <w:color w:val="000000"/>
                <w:kern w:val="0"/>
                <w:sz w:val="28"/>
                <w:szCs w:val="28"/>
              </w:rPr>
            </w:pPr>
            <w:r>
              <w:rPr>
                <w:color w:val="000000"/>
                <w:kern w:val="0"/>
                <w:sz w:val="28"/>
                <w:szCs w:val="28"/>
              </w:rPr>
              <w:t xml:space="preserve">1.36 </w:t>
            </w:r>
          </w:p>
        </w:tc>
        <w:tc>
          <w:tcPr>
            <w:tcW w:w="1597" w:type="dxa"/>
            <w:tcBorders>
              <w:top w:val="nil"/>
              <w:left w:val="nil"/>
              <w:bottom w:val="single" w:color="auto" w:sz="4" w:space="0"/>
              <w:right w:val="single" w:color="auto" w:sz="4" w:space="0"/>
            </w:tcBorders>
            <w:shd w:val="clear" w:color="auto" w:fill="auto"/>
            <w:vAlign w:val="center"/>
          </w:tcPr>
          <w:p>
            <w:pPr>
              <w:widowControl/>
              <w:spacing w:line="276" w:lineRule="auto"/>
              <w:jc w:val="center"/>
              <w:rPr>
                <w:color w:val="000000"/>
                <w:kern w:val="0"/>
                <w:sz w:val="28"/>
                <w:szCs w:val="28"/>
              </w:rPr>
            </w:pPr>
            <w:r>
              <w:rPr>
                <w:color w:val="000000"/>
                <w:kern w:val="0"/>
                <w:sz w:val="28"/>
                <w:szCs w:val="28"/>
              </w:rPr>
              <w:t xml:space="preserve">2.55 </w:t>
            </w:r>
          </w:p>
        </w:tc>
      </w:tr>
      <w:tr>
        <w:tblPrEx>
          <w:tblLayout w:type="fixed"/>
          <w:tblCellMar>
            <w:top w:w="0" w:type="dxa"/>
            <w:left w:w="0" w:type="dxa"/>
            <w:bottom w:w="0" w:type="dxa"/>
            <w:right w:w="0" w:type="dxa"/>
          </w:tblCellMar>
        </w:tblPrEx>
        <w:trPr>
          <w:trHeight w:val="285" w:hRule="atLeast"/>
        </w:trPr>
        <w:tc>
          <w:tcPr>
            <w:tcW w:w="797" w:type="dxa"/>
            <w:tcBorders>
              <w:top w:val="nil"/>
              <w:left w:val="single" w:color="auto" w:sz="4" w:space="0"/>
              <w:bottom w:val="single" w:color="auto" w:sz="4" w:space="0"/>
              <w:right w:val="single" w:color="auto" w:sz="4" w:space="0"/>
            </w:tcBorders>
            <w:shd w:val="clear" w:color="auto" w:fill="auto"/>
            <w:vAlign w:val="center"/>
          </w:tcPr>
          <w:p>
            <w:pPr>
              <w:widowControl/>
              <w:spacing w:line="276" w:lineRule="auto"/>
              <w:jc w:val="center"/>
              <w:rPr>
                <w:kern w:val="0"/>
                <w:sz w:val="28"/>
                <w:szCs w:val="28"/>
              </w:rPr>
            </w:pPr>
            <w:r>
              <w:rPr>
                <w:kern w:val="0"/>
                <w:sz w:val="28"/>
                <w:szCs w:val="28"/>
              </w:rPr>
              <w:t>5</w:t>
            </w:r>
          </w:p>
        </w:tc>
        <w:tc>
          <w:tcPr>
            <w:tcW w:w="1188" w:type="dxa"/>
            <w:tcBorders>
              <w:top w:val="nil"/>
              <w:left w:val="nil"/>
              <w:bottom w:val="single" w:color="auto" w:sz="4" w:space="0"/>
              <w:right w:val="single" w:color="auto" w:sz="4" w:space="0"/>
            </w:tcBorders>
            <w:shd w:val="clear" w:color="auto" w:fill="auto"/>
            <w:vAlign w:val="center"/>
          </w:tcPr>
          <w:p>
            <w:pPr>
              <w:widowControl/>
              <w:spacing w:line="276" w:lineRule="auto"/>
              <w:jc w:val="center"/>
              <w:rPr>
                <w:kern w:val="0"/>
                <w:sz w:val="28"/>
                <w:szCs w:val="28"/>
              </w:rPr>
            </w:pPr>
            <w:r>
              <w:rPr>
                <w:kern w:val="0"/>
                <w:sz w:val="28"/>
                <w:szCs w:val="28"/>
              </w:rPr>
              <w:t>永城镇</w:t>
            </w:r>
          </w:p>
        </w:tc>
        <w:tc>
          <w:tcPr>
            <w:tcW w:w="2568" w:type="dxa"/>
            <w:tcBorders>
              <w:top w:val="nil"/>
              <w:left w:val="nil"/>
              <w:bottom w:val="single" w:color="auto" w:sz="4" w:space="0"/>
              <w:right w:val="single" w:color="auto" w:sz="4" w:space="0"/>
            </w:tcBorders>
            <w:shd w:val="clear" w:color="auto" w:fill="auto"/>
            <w:vAlign w:val="center"/>
          </w:tcPr>
          <w:p>
            <w:pPr>
              <w:widowControl/>
              <w:spacing w:line="276" w:lineRule="auto"/>
              <w:jc w:val="center"/>
              <w:rPr>
                <w:kern w:val="0"/>
                <w:sz w:val="28"/>
                <w:szCs w:val="28"/>
              </w:rPr>
            </w:pPr>
            <w:r>
              <w:rPr>
                <w:kern w:val="0"/>
                <w:sz w:val="28"/>
                <w:szCs w:val="28"/>
              </w:rPr>
              <w:t>永桐新城</w:t>
            </w:r>
          </w:p>
        </w:tc>
        <w:tc>
          <w:tcPr>
            <w:tcW w:w="1183" w:type="dxa"/>
            <w:tcBorders>
              <w:top w:val="nil"/>
              <w:left w:val="nil"/>
              <w:bottom w:val="single" w:color="auto" w:sz="4" w:space="0"/>
              <w:right w:val="single" w:color="auto" w:sz="4" w:space="0"/>
            </w:tcBorders>
            <w:shd w:val="clear" w:color="auto" w:fill="auto"/>
            <w:vAlign w:val="center"/>
          </w:tcPr>
          <w:p>
            <w:pPr>
              <w:widowControl/>
              <w:spacing w:line="276" w:lineRule="auto"/>
              <w:jc w:val="center"/>
              <w:rPr>
                <w:color w:val="000000"/>
                <w:kern w:val="0"/>
                <w:sz w:val="28"/>
                <w:szCs w:val="28"/>
              </w:rPr>
            </w:pPr>
            <w:r>
              <w:rPr>
                <w:color w:val="000000"/>
                <w:kern w:val="0"/>
                <w:sz w:val="28"/>
                <w:szCs w:val="28"/>
              </w:rPr>
              <w:t>11.10</w:t>
            </w:r>
          </w:p>
        </w:tc>
        <w:tc>
          <w:tcPr>
            <w:tcW w:w="1521" w:type="dxa"/>
            <w:tcBorders>
              <w:top w:val="nil"/>
              <w:left w:val="nil"/>
              <w:bottom w:val="single" w:color="auto" w:sz="4" w:space="0"/>
              <w:right w:val="single" w:color="auto" w:sz="4" w:space="0"/>
            </w:tcBorders>
            <w:shd w:val="clear" w:color="auto" w:fill="auto"/>
            <w:vAlign w:val="center"/>
          </w:tcPr>
          <w:p>
            <w:pPr>
              <w:widowControl/>
              <w:spacing w:line="276" w:lineRule="auto"/>
              <w:jc w:val="center"/>
              <w:rPr>
                <w:color w:val="000000"/>
                <w:kern w:val="0"/>
                <w:sz w:val="28"/>
                <w:szCs w:val="28"/>
              </w:rPr>
            </w:pPr>
            <w:r>
              <w:rPr>
                <w:color w:val="000000"/>
                <w:kern w:val="0"/>
                <w:sz w:val="28"/>
                <w:szCs w:val="28"/>
              </w:rPr>
              <w:t xml:space="preserve">8.88 </w:t>
            </w:r>
          </w:p>
        </w:tc>
        <w:tc>
          <w:tcPr>
            <w:tcW w:w="1597" w:type="dxa"/>
            <w:tcBorders>
              <w:top w:val="nil"/>
              <w:left w:val="nil"/>
              <w:bottom w:val="single" w:color="auto" w:sz="4" w:space="0"/>
              <w:right w:val="single" w:color="auto" w:sz="4" w:space="0"/>
            </w:tcBorders>
            <w:shd w:val="clear" w:color="auto" w:fill="auto"/>
            <w:vAlign w:val="center"/>
          </w:tcPr>
          <w:p>
            <w:pPr>
              <w:widowControl/>
              <w:spacing w:line="276" w:lineRule="auto"/>
              <w:jc w:val="center"/>
              <w:rPr>
                <w:color w:val="000000"/>
                <w:kern w:val="0"/>
                <w:sz w:val="28"/>
                <w:szCs w:val="28"/>
              </w:rPr>
            </w:pPr>
            <w:r>
              <w:rPr>
                <w:color w:val="000000"/>
                <w:kern w:val="0"/>
                <w:sz w:val="28"/>
                <w:szCs w:val="28"/>
              </w:rPr>
              <w:t xml:space="preserve">16.65 </w:t>
            </w:r>
          </w:p>
        </w:tc>
      </w:tr>
      <w:tr>
        <w:tblPrEx>
          <w:tblLayout w:type="fixed"/>
          <w:tblCellMar>
            <w:top w:w="0" w:type="dxa"/>
            <w:left w:w="0" w:type="dxa"/>
            <w:bottom w:w="0" w:type="dxa"/>
            <w:right w:w="0" w:type="dxa"/>
          </w:tblCellMar>
        </w:tblPrEx>
        <w:trPr>
          <w:trHeight w:val="285" w:hRule="atLeast"/>
        </w:trPr>
        <w:tc>
          <w:tcPr>
            <w:tcW w:w="797" w:type="dxa"/>
            <w:tcBorders>
              <w:top w:val="nil"/>
              <w:left w:val="single" w:color="auto" w:sz="4" w:space="0"/>
              <w:bottom w:val="single" w:color="auto" w:sz="4" w:space="0"/>
              <w:right w:val="single" w:color="auto" w:sz="4" w:space="0"/>
            </w:tcBorders>
            <w:shd w:val="clear" w:color="auto" w:fill="auto"/>
            <w:vAlign w:val="center"/>
          </w:tcPr>
          <w:p>
            <w:pPr>
              <w:widowControl/>
              <w:spacing w:line="276" w:lineRule="auto"/>
              <w:jc w:val="center"/>
              <w:rPr>
                <w:kern w:val="0"/>
                <w:sz w:val="28"/>
                <w:szCs w:val="28"/>
              </w:rPr>
            </w:pPr>
            <w:r>
              <w:rPr>
                <w:kern w:val="0"/>
                <w:sz w:val="28"/>
                <w:szCs w:val="28"/>
              </w:rPr>
              <w:t>6</w:t>
            </w:r>
          </w:p>
        </w:tc>
        <w:tc>
          <w:tcPr>
            <w:tcW w:w="1188" w:type="dxa"/>
            <w:tcBorders>
              <w:top w:val="nil"/>
              <w:left w:val="nil"/>
              <w:bottom w:val="single" w:color="auto" w:sz="4" w:space="0"/>
              <w:right w:val="single" w:color="auto" w:sz="4" w:space="0"/>
            </w:tcBorders>
            <w:shd w:val="clear" w:color="auto" w:fill="auto"/>
            <w:vAlign w:val="center"/>
          </w:tcPr>
          <w:p>
            <w:pPr>
              <w:widowControl/>
              <w:spacing w:line="276" w:lineRule="auto"/>
              <w:jc w:val="center"/>
              <w:rPr>
                <w:kern w:val="0"/>
                <w:sz w:val="28"/>
                <w:szCs w:val="28"/>
              </w:rPr>
            </w:pPr>
            <w:r>
              <w:rPr>
                <w:kern w:val="0"/>
                <w:sz w:val="28"/>
                <w:szCs w:val="28"/>
              </w:rPr>
              <w:t>新盛街道</w:t>
            </w:r>
          </w:p>
        </w:tc>
        <w:tc>
          <w:tcPr>
            <w:tcW w:w="2568" w:type="dxa"/>
            <w:tcBorders>
              <w:top w:val="nil"/>
              <w:left w:val="nil"/>
              <w:bottom w:val="single" w:color="auto" w:sz="4" w:space="0"/>
              <w:right w:val="single" w:color="auto" w:sz="4" w:space="0"/>
            </w:tcBorders>
            <w:shd w:val="clear" w:color="auto" w:fill="auto"/>
            <w:vAlign w:val="center"/>
          </w:tcPr>
          <w:p>
            <w:pPr>
              <w:widowControl/>
              <w:spacing w:line="276" w:lineRule="auto"/>
              <w:jc w:val="center"/>
              <w:rPr>
                <w:kern w:val="0"/>
                <w:sz w:val="28"/>
                <w:szCs w:val="28"/>
              </w:rPr>
            </w:pPr>
            <w:r>
              <w:rPr>
                <w:kern w:val="0"/>
                <w:sz w:val="28"/>
                <w:szCs w:val="28"/>
              </w:rPr>
              <w:t>北部智慧新城</w:t>
            </w:r>
          </w:p>
        </w:tc>
        <w:tc>
          <w:tcPr>
            <w:tcW w:w="1183" w:type="dxa"/>
            <w:tcBorders>
              <w:top w:val="nil"/>
              <w:left w:val="nil"/>
              <w:bottom w:val="single" w:color="auto" w:sz="4" w:space="0"/>
              <w:right w:val="single" w:color="auto" w:sz="4" w:space="0"/>
            </w:tcBorders>
            <w:shd w:val="clear" w:color="auto" w:fill="auto"/>
            <w:vAlign w:val="center"/>
          </w:tcPr>
          <w:p>
            <w:pPr>
              <w:widowControl/>
              <w:spacing w:line="276" w:lineRule="auto"/>
              <w:jc w:val="center"/>
              <w:rPr>
                <w:color w:val="000000"/>
                <w:kern w:val="0"/>
                <w:sz w:val="28"/>
                <w:szCs w:val="28"/>
              </w:rPr>
            </w:pPr>
            <w:r>
              <w:rPr>
                <w:color w:val="000000"/>
                <w:kern w:val="0"/>
                <w:sz w:val="28"/>
                <w:szCs w:val="28"/>
              </w:rPr>
              <w:t>2.80</w:t>
            </w:r>
          </w:p>
        </w:tc>
        <w:tc>
          <w:tcPr>
            <w:tcW w:w="1521" w:type="dxa"/>
            <w:tcBorders>
              <w:top w:val="nil"/>
              <w:left w:val="nil"/>
              <w:bottom w:val="single" w:color="auto" w:sz="4" w:space="0"/>
              <w:right w:val="single" w:color="auto" w:sz="4" w:space="0"/>
            </w:tcBorders>
            <w:shd w:val="clear" w:color="auto" w:fill="auto"/>
            <w:vAlign w:val="center"/>
          </w:tcPr>
          <w:p>
            <w:pPr>
              <w:widowControl/>
              <w:spacing w:line="276" w:lineRule="auto"/>
              <w:jc w:val="center"/>
              <w:rPr>
                <w:color w:val="000000"/>
                <w:kern w:val="0"/>
                <w:sz w:val="28"/>
                <w:szCs w:val="28"/>
              </w:rPr>
            </w:pPr>
            <w:r>
              <w:rPr>
                <w:color w:val="000000"/>
                <w:kern w:val="0"/>
                <w:sz w:val="28"/>
                <w:szCs w:val="28"/>
              </w:rPr>
              <w:t xml:space="preserve">2.24 </w:t>
            </w:r>
          </w:p>
        </w:tc>
        <w:tc>
          <w:tcPr>
            <w:tcW w:w="1597" w:type="dxa"/>
            <w:tcBorders>
              <w:top w:val="nil"/>
              <w:left w:val="nil"/>
              <w:bottom w:val="single" w:color="auto" w:sz="4" w:space="0"/>
              <w:right w:val="single" w:color="auto" w:sz="4" w:space="0"/>
            </w:tcBorders>
            <w:shd w:val="clear" w:color="auto" w:fill="auto"/>
            <w:vAlign w:val="center"/>
          </w:tcPr>
          <w:p>
            <w:pPr>
              <w:widowControl/>
              <w:spacing w:line="276" w:lineRule="auto"/>
              <w:jc w:val="center"/>
              <w:rPr>
                <w:color w:val="000000"/>
                <w:kern w:val="0"/>
                <w:sz w:val="28"/>
                <w:szCs w:val="28"/>
              </w:rPr>
            </w:pPr>
            <w:r>
              <w:rPr>
                <w:color w:val="000000"/>
                <w:kern w:val="0"/>
                <w:sz w:val="28"/>
                <w:szCs w:val="28"/>
              </w:rPr>
              <w:t xml:space="preserve">4.20 </w:t>
            </w:r>
          </w:p>
        </w:tc>
      </w:tr>
      <w:tr>
        <w:tblPrEx>
          <w:tblLayout w:type="fixed"/>
          <w:tblCellMar>
            <w:top w:w="0" w:type="dxa"/>
            <w:left w:w="0" w:type="dxa"/>
            <w:bottom w:w="0" w:type="dxa"/>
            <w:right w:w="0" w:type="dxa"/>
          </w:tblCellMar>
        </w:tblPrEx>
        <w:trPr>
          <w:trHeight w:val="285" w:hRule="atLeast"/>
        </w:trPr>
        <w:tc>
          <w:tcPr>
            <w:tcW w:w="455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rPr>
                <w:b/>
                <w:color w:val="000000"/>
                <w:kern w:val="0"/>
                <w:sz w:val="28"/>
                <w:szCs w:val="28"/>
              </w:rPr>
            </w:pPr>
            <w:r>
              <w:rPr>
                <w:b/>
                <w:color w:val="000000"/>
                <w:kern w:val="0"/>
                <w:sz w:val="28"/>
                <w:szCs w:val="28"/>
              </w:rPr>
              <w:t>合</w:t>
            </w:r>
            <w:r>
              <w:rPr>
                <w:rFonts w:hint="eastAsia"/>
                <w:b/>
                <w:color w:val="000000"/>
                <w:kern w:val="0"/>
                <w:sz w:val="28"/>
                <w:szCs w:val="28"/>
                <w:lang w:val="en-US" w:eastAsia="zh-CN"/>
              </w:rPr>
              <w:t xml:space="preserve">  </w:t>
            </w:r>
            <w:r>
              <w:rPr>
                <w:b/>
                <w:color w:val="000000"/>
                <w:kern w:val="0"/>
                <w:sz w:val="28"/>
                <w:szCs w:val="28"/>
              </w:rPr>
              <w:t>计</w:t>
            </w:r>
          </w:p>
        </w:tc>
        <w:tc>
          <w:tcPr>
            <w:tcW w:w="11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rPr>
                <w:b/>
                <w:color w:val="000000"/>
                <w:kern w:val="0"/>
                <w:sz w:val="28"/>
                <w:szCs w:val="28"/>
              </w:rPr>
            </w:pPr>
            <w:r>
              <w:rPr>
                <w:b/>
                <w:color w:val="000000"/>
                <w:kern w:val="0"/>
                <w:sz w:val="28"/>
                <w:szCs w:val="28"/>
              </w:rPr>
              <w:t xml:space="preserve">50.70 </w:t>
            </w:r>
          </w:p>
        </w:tc>
        <w:tc>
          <w:tcPr>
            <w:tcW w:w="15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rPr>
                <w:b/>
                <w:color w:val="000000"/>
                <w:kern w:val="0"/>
                <w:sz w:val="28"/>
                <w:szCs w:val="28"/>
              </w:rPr>
            </w:pPr>
            <w:r>
              <w:rPr>
                <w:b/>
                <w:color w:val="000000"/>
                <w:kern w:val="0"/>
                <w:sz w:val="28"/>
                <w:szCs w:val="28"/>
              </w:rPr>
              <w:t xml:space="preserve">40.56 </w:t>
            </w:r>
          </w:p>
        </w:tc>
        <w:tc>
          <w:tcPr>
            <w:tcW w:w="15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rPr>
                <w:b/>
                <w:color w:val="000000"/>
                <w:kern w:val="0"/>
                <w:sz w:val="28"/>
                <w:szCs w:val="28"/>
              </w:rPr>
            </w:pPr>
            <w:r>
              <w:rPr>
                <w:b/>
                <w:color w:val="000000"/>
                <w:kern w:val="0"/>
                <w:sz w:val="28"/>
                <w:szCs w:val="28"/>
              </w:rPr>
              <w:t xml:space="preserve">76.05 </w:t>
            </w:r>
          </w:p>
        </w:tc>
      </w:tr>
      <w:tr>
        <w:tblPrEx>
          <w:tblLayout w:type="fixed"/>
          <w:tblCellMar>
            <w:top w:w="0" w:type="dxa"/>
            <w:left w:w="0" w:type="dxa"/>
            <w:bottom w:w="0" w:type="dxa"/>
            <w:right w:w="0" w:type="dxa"/>
          </w:tblCellMar>
        </w:tblPrEx>
        <w:trPr>
          <w:trHeight w:val="285" w:hRule="atLeast"/>
        </w:trPr>
        <w:tc>
          <w:tcPr>
            <w:tcW w:w="8854" w:type="dxa"/>
            <w:gridSpan w:val="6"/>
            <w:tcBorders>
              <w:top w:val="single" w:color="auto" w:sz="4" w:space="0"/>
            </w:tcBorders>
            <w:shd w:val="clear" w:color="auto" w:fill="auto"/>
            <w:vAlign w:val="center"/>
          </w:tcPr>
          <w:p>
            <w:pPr>
              <w:widowControl/>
              <w:spacing w:line="276" w:lineRule="auto"/>
              <w:ind w:left="320" w:leftChars="100"/>
              <w:jc w:val="left"/>
              <w:rPr>
                <w:bCs/>
                <w:color w:val="000000"/>
                <w:kern w:val="0"/>
                <w:sz w:val="28"/>
                <w:szCs w:val="28"/>
              </w:rPr>
            </w:pPr>
            <w:r>
              <w:rPr>
                <w:bCs/>
                <w:color w:val="000000"/>
                <w:kern w:val="0"/>
                <w:sz w:val="28"/>
                <w:szCs w:val="28"/>
              </w:rPr>
              <w:t>注：容纳可</w:t>
            </w:r>
            <w:r>
              <w:rPr>
                <w:rFonts w:hint="eastAsia"/>
                <w:bCs/>
                <w:color w:val="000000"/>
                <w:kern w:val="0"/>
                <w:sz w:val="28"/>
                <w:szCs w:val="28"/>
              </w:rPr>
              <w:t>宿住</w:t>
            </w:r>
            <w:r>
              <w:rPr>
                <w:bCs/>
                <w:color w:val="000000"/>
                <w:kern w:val="0"/>
                <w:sz w:val="28"/>
                <w:szCs w:val="28"/>
              </w:rPr>
              <w:t>避难人数包括中长期可宿住避难人数与短期可宿住避难人数两部分，故在预测容纳可宿住避难人数时，人均指标采用的是中长期和短期的平均值4m</w:t>
            </w:r>
            <w:r>
              <w:rPr>
                <w:bCs/>
                <w:color w:val="000000"/>
                <w:kern w:val="0"/>
                <w:sz w:val="28"/>
                <w:szCs w:val="28"/>
                <w:vertAlign w:val="superscript"/>
              </w:rPr>
              <w:t>2</w:t>
            </w:r>
            <w:r>
              <w:rPr>
                <w:bCs/>
                <w:color w:val="000000"/>
                <w:kern w:val="0"/>
                <w:sz w:val="28"/>
                <w:szCs w:val="28"/>
              </w:rPr>
              <w:t>/人。</w:t>
            </w:r>
          </w:p>
        </w:tc>
      </w:tr>
    </w:tbl>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第四十三条  </w:t>
      </w:r>
      <w:bookmarkStart w:id="213" w:name="_Toc158038244"/>
      <w:bookmarkStart w:id="214" w:name="_Toc156307028"/>
      <w:bookmarkStart w:id="215" w:name="_Toc158038148"/>
      <w:r>
        <w:rPr>
          <w:rFonts w:hint="eastAsia" w:ascii="方正黑体_GBK" w:hAnsi="Times New Roman" w:eastAsia="方正黑体_GBK" w:cstheme="minorBidi"/>
          <w:b w:val="0"/>
          <w:bCs/>
          <w:kern w:val="0"/>
          <w:sz w:val="32"/>
          <w:szCs w:val="32"/>
          <w:lang w:val="en-US" w:eastAsia="zh-CN" w:bidi="ar-SA"/>
        </w:rPr>
        <w:t>中长期避难场所布局规划</w:t>
      </w:r>
      <w:bookmarkEnd w:id="213"/>
      <w:bookmarkEnd w:id="214"/>
      <w:bookmarkEnd w:id="215"/>
    </w:p>
    <w:p>
      <w:pPr>
        <w:adjustRightInd w:val="0"/>
        <w:snapToGrid w:val="0"/>
        <w:spacing w:line="576" w:lineRule="exact"/>
        <w:ind w:firstLine="640" w:firstLineChars="200"/>
        <w:jc w:val="left"/>
        <w:rPr>
          <w:szCs w:val="32"/>
        </w:rPr>
      </w:pPr>
      <w:r>
        <w:rPr>
          <w:szCs w:val="32"/>
        </w:rPr>
        <w:t>规划在綦江中心城区设置2处中长期应急避难场所，一处是位于通惠街道学府路的外语外事学院，另一处位于三环高速与枣园大道交叉口的健康工程职业学院，总占地面积86.</w:t>
      </w:r>
      <w:r>
        <w:rPr>
          <w:rFonts w:hint="eastAsia"/>
          <w:szCs w:val="32"/>
          <w:lang w:val="en-US" w:eastAsia="zh-CN"/>
        </w:rPr>
        <w:t>71</w:t>
      </w:r>
      <w:r>
        <w:rPr>
          <w:szCs w:val="32"/>
        </w:rPr>
        <w:t>公顷，有效用地面积34.68公顷，容纳中长期可宿住人口6.94万人。（详见附</w:t>
      </w:r>
      <w:r>
        <w:rPr>
          <w:rFonts w:hint="eastAsia"/>
          <w:szCs w:val="32"/>
          <w:lang w:val="en-US" w:eastAsia="zh-CN"/>
        </w:rPr>
        <w:t>表4</w:t>
      </w:r>
      <w:r>
        <w:rPr>
          <w:szCs w:val="32"/>
        </w:rPr>
        <w:t>）</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第四十四条  </w:t>
      </w:r>
      <w:bookmarkStart w:id="216" w:name="_Toc158038245"/>
      <w:bookmarkStart w:id="217" w:name="_Toc158038149"/>
      <w:bookmarkStart w:id="218" w:name="_Toc156307029"/>
      <w:r>
        <w:rPr>
          <w:rFonts w:hint="eastAsia" w:ascii="方正黑体_GBK" w:hAnsi="Times New Roman" w:eastAsia="方正黑体_GBK" w:cstheme="minorBidi"/>
          <w:b w:val="0"/>
          <w:bCs/>
          <w:kern w:val="0"/>
          <w:sz w:val="32"/>
          <w:szCs w:val="32"/>
          <w:lang w:val="en-US" w:eastAsia="zh-CN" w:bidi="ar-SA"/>
        </w:rPr>
        <w:t>短期避难场所布局规划</w:t>
      </w:r>
      <w:bookmarkEnd w:id="216"/>
      <w:bookmarkEnd w:id="217"/>
      <w:bookmarkEnd w:id="218"/>
    </w:p>
    <w:p>
      <w:pPr>
        <w:adjustRightInd w:val="0"/>
        <w:snapToGrid w:val="0"/>
        <w:spacing w:line="576" w:lineRule="exact"/>
        <w:ind w:firstLine="640" w:firstLineChars="200"/>
        <w:jc w:val="left"/>
        <w:rPr>
          <w:szCs w:val="32"/>
        </w:rPr>
      </w:pPr>
      <w:r>
        <w:rPr>
          <w:szCs w:val="32"/>
        </w:rPr>
        <w:t>规划在綦江中心城区设置9处短期应急避难场所，总占地面积92.0</w:t>
      </w:r>
      <w:r>
        <w:rPr>
          <w:rFonts w:hint="eastAsia"/>
          <w:szCs w:val="32"/>
          <w:lang w:val="en-US" w:eastAsia="zh-CN"/>
        </w:rPr>
        <w:t>8</w:t>
      </w:r>
      <w:r>
        <w:rPr>
          <w:szCs w:val="32"/>
        </w:rPr>
        <w:t>公顷，有效用地面积31.8</w:t>
      </w:r>
      <w:r>
        <w:rPr>
          <w:rFonts w:hint="eastAsia"/>
          <w:szCs w:val="32"/>
          <w:lang w:val="en-US" w:eastAsia="zh-CN"/>
        </w:rPr>
        <w:t>6</w:t>
      </w:r>
      <w:r>
        <w:rPr>
          <w:szCs w:val="32"/>
        </w:rPr>
        <w:t>公顷，容纳短期可宿住人口10.62万人，满足规划区可宿住人口避难疏散需求。（详见附</w:t>
      </w:r>
      <w:r>
        <w:rPr>
          <w:rFonts w:hint="eastAsia"/>
          <w:szCs w:val="32"/>
          <w:lang w:val="en-US" w:eastAsia="zh-CN"/>
        </w:rPr>
        <w:t>表5</w:t>
      </w:r>
      <w:r>
        <w:rPr>
          <w:szCs w:val="32"/>
        </w:rPr>
        <w:t>）</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第四十五条  </w:t>
      </w:r>
      <w:bookmarkStart w:id="219" w:name="_Toc158038246"/>
      <w:bookmarkStart w:id="220" w:name="_Toc158038150"/>
      <w:bookmarkStart w:id="221" w:name="_Toc156307030"/>
      <w:r>
        <w:rPr>
          <w:rFonts w:hint="eastAsia" w:ascii="方正黑体_GBK" w:hAnsi="Times New Roman" w:eastAsia="方正黑体_GBK" w:cstheme="minorBidi"/>
          <w:b w:val="0"/>
          <w:bCs/>
          <w:kern w:val="0"/>
          <w:sz w:val="32"/>
          <w:szCs w:val="32"/>
          <w:lang w:val="en-US" w:eastAsia="zh-CN" w:bidi="ar-SA"/>
        </w:rPr>
        <w:t>暂时避难场所布局规划</w:t>
      </w:r>
      <w:bookmarkEnd w:id="219"/>
      <w:bookmarkEnd w:id="220"/>
      <w:bookmarkEnd w:id="221"/>
    </w:p>
    <w:p>
      <w:pPr>
        <w:adjustRightInd w:val="0"/>
        <w:snapToGrid w:val="0"/>
        <w:spacing w:line="576" w:lineRule="exact"/>
        <w:ind w:firstLine="640" w:firstLineChars="200"/>
        <w:jc w:val="left"/>
        <w:rPr>
          <w:szCs w:val="32"/>
        </w:rPr>
      </w:pPr>
      <w:r>
        <w:rPr>
          <w:szCs w:val="32"/>
        </w:rPr>
        <w:t>规划在綦江中心城区设置71处暂时应急避难场所，总用地面积292.</w:t>
      </w:r>
      <w:r>
        <w:rPr>
          <w:rFonts w:hint="eastAsia"/>
          <w:szCs w:val="32"/>
          <w:lang w:val="en-US" w:eastAsia="zh-CN"/>
        </w:rPr>
        <w:t>02</w:t>
      </w:r>
      <w:r>
        <w:rPr>
          <w:szCs w:val="32"/>
        </w:rPr>
        <w:t>公顷，有效用地面积8</w:t>
      </w:r>
      <w:r>
        <w:rPr>
          <w:rFonts w:hint="eastAsia"/>
          <w:szCs w:val="32"/>
          <w:lang w:val="en-US" w:eastAsia="zh-CN"/>
        </w:rPr>
        <w:t>3</w:t>
      </w:r>
      <w:r>
        <w:rPr>
          <w:szCs w:val="32"/>
        </w:rPr>
        <w:t>.</w:t>
      </w:r>
      <w:r>
        <w:rPr>
          <w:rFonts w:hint="eastAsia"/>
          <w:szCs w:val="32"/>
          <w:lang w:val="en-US" w:eastAsia="zh-CN"/>
        </w:rPr>
        <w:t>66</w:t>
      </w:r>
      <w:r>
        <w:rPr>
          <w:szCs w:val="32"/>
        </w:rPr>
        <w:t>公顷，容纳暂时避难人口约5</w:t>
      </w:r>
      <w:r>
        <w:rPr>
          <w:rFonts w:hint="eastAsia"/>
          <w:szCs w:val="32"/>
          <w:lang w:val="en-US" w:eastAsia="zh-CN"/>
        </w:rPr>
        <w:t>5</w:t>
      </w:r>
      <w:r>
        <w:rPr>
          <w:szCs w:val="32"/>
        </w:rPr>
        <w:t>.</w:t>
      </w:r>
      <w:r>
        <w:rPr>
          <w:rFonts w:hint="eastAsia"/>
          <w:szCs w:val="32"/>
          <w:lang w:val="en-US" w:eastAsia="zh-CN"/>
        </w:rPr>
        <w:t>76</w:t>
      </w:r>
      <w:r>
        <w:rPr>
          <w:szCs w:val="32"/>
        </w:rPr>
        <w:t>万人，满足规划区暂时避难规模需求。（详见附</w:t>
      </w:r>
      <w:r>
        <w:rPr>
          <w:rFonts w:hint="eastAsia"/>
          <w:szCs w:val="32"/>
          <w:lang w:val="en-US" w:eastAsia="zh-CN"/>
        </w:rPr>
        <w:t>表6</w:t>
      </w:r>
      <w:r>
        <w:rPr>
          <w:szCs w:val="32"/>
        </w:rPr>
        <w:t>）</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第四十六条 </w:t>
      </w:r>
      <w:bookmarkStart w:id="222" w:name="_Toc158038247"/>
      <w:bookmarkStart w:id="223" w:name="_Toc158038151"/>
      <w:bookmarkStart w:id="224" w:name="_Toc156307031"/>
      <w:r>
        <w:rPr>
          <w:rFonts w:hint="eastAsia" w:ascii="方正黑体_GBK" w:hAnsi="Times New Roman" w:eastAsia="方正黑体_GBK" w:cstheme="minorBidi"/>
          <w:b w:val="0"/>
          <w:bCs/>
          <w:kern w:val="0"/>
          <w:sz w:val="32"/>
          <w:szCs w:val="32"/>
          <w:lang w:val="en-US" w:eastAsia="zh-CN" w:bidi="ar-SA"/>
        </w:rPr>
        <w:t>避难场所管理要求</w:t>
      </w:r>
      <w:bookmarkEnd w:id="222"/>
      <w:bookmarkEnd w:id="223"/>
      <w:bookmarkEnd w:id="224"/>
    </w:p>
    <w:p>
      <w:pPr>
        <w:numPr>
          <w:ilvl w:val="1"/>
          <w:numId w:val="0"/>
        </w:numPr>
        <w:adjustRightInd w:val="0"/>
        <w:snapToGrid w:val="0"/>
        <w:spacing w:line="576" w:lineRule="exact"/>
        <w:ind w:left="0" w:leftChars="0" w:firstLine="640" w:firstLineChars="200"/>
        <w:jc w:val="left"/>
        <w:rPr>
          <w:szCs w:val="32"/>
        </w:rPr>
      </w:pPr>
      <w:r>
        <w:rPr>
          <w:rFonts w:ascii="Times New Roman" w:hAnsi="Times New Roman" w:eastAsia="方正仿宋_GBK" w:cs="Times New Roman"/>
          <w:kern w:val="2"/>
          <w:sz w:val="32"/>
          <w:szCs w:val="32"/>
          <w:lang w:val="en-US" w:eastAsia="zh-CN" w:bidi="ar-SA"/>
        </w:rPr>
        <w:t>1</w:t>
      </w:r>
      <w:r>
        <w:rPr>
          <w:rFonts w:hint="default" w:ascii="Times New Roman" w:hAnsi="Times New Roman" w:eastAsia="方正仿宋_GBK" w:cs="Times New Roman"/>
          <w:b w:val="0"/>
          <w:bCs w:val="0"/>
          <w:sz w:val="32"/>
          <w:szCs w:val="32"/>
          <w:lang w:val="en-US" w:eastAsia="zh-CN"/>
        </w:rPr>
        <w:t>．</w:t>
      </w:r>
      <w:r>
        <w:rPr>
          <w:rFonts w:hint="eastAsia"/>
          <w:szCs w:val="32"/>
          <w:lang w:eastAsia="zh-CN"/>
        </w:rPr>
        <w:t>区</w:t>
      </w:r>
      <w:r>
        <w:rPr>
          <w:szCs w:val="32"/>
        </w:rPr>
        <w:t>应急局应协调相关部门，加强应急避难场所的建设、维护与管理，并配套制定应急避难场所紧急</w:t>
      </w:r>
      <w:r>
        <w:rPr>
          <w:rFonts w:hint="eastAsia"/>
          <w:szCs w:val="32"/>
        </w:rPr>
        <w:t>救援</w:t>
      </w:r>
      <w:r>
        <w:rPr>
          <w:szCs w:val="32"/>
        </w:rPr>
        <w:t>物资的规划、应急避难场所管理与使用的规章制度、宣传教育与避难演习方案。</w:t>
      </w:r>
    </w:p>
    <w:p>
      <w:pPr>
        <w:numPr>
          <w:ilvl w:val="1"/>
          <w:numId w:val="0"/>
        </w:numPr>
        <w:adjustRightInd w:val="0"/>
        <w:snapToGrid w:val="0"/>
        <w:spacing w:line="576" w:lineRule="exact"/>
        <w:ind w:left="0" w:leftChars="0" w:firstLine="640" w:firstLineChars="200"/>
        <w:jc w:val="left"/>
        <w:rPr>
          <w:spacing w:val="-6"/>
          <w:szCs w:val="32"/>
        </w:rPr>
      </w:pPr>
      <w:r>
        <w:rPr>
          <w:rFonts w:ascii="Times New Roman" w:hAnsi="Times New Roman" w:eastAsia="方正仿宋_GBK" w:cs="Times New Roman"/>
          <w:kern w:val="2"/>
          <w:sz w:val="32"/>
          <w:szCs w:val="32"/>
          <w:lang w:val="en-US" w:eastAsia="zh-CN" w:bidi="ar-SA"/>
        </w:rPr>
        <w:t>2</w:t>
      </w:r>
      <w:r>
        <w:rPr>
          <w:rFonts w:hint="default" w:ascii="Times New Roman" w:hAnsi="Times New Roman" w:eastAsia="方正仿宋_GBK" w:cs="Times New Roman"/>
          <w:b w:val="0"/>
          <w:bCs w:val="0"/>
          <w:sz w:val="32"/>
          <w:szCs w:val="32"/>
          <w:lang w:val="en-US" w:eastAsia="zh-CN"/>
        </w:rPr>
        <w:t>．</w:t>
      </w:r>
      <w:r>
        <w:rPr>
          <w:szCs w:val="32"/>
        </w:rPr>
        <w:t>避震疏散实施和疏散对象的确定是涉及全局的至关重要的决策，全区应有组织</w:t>
      </w:r>
      <w:r>
        <w:rPr>
          <w:rFonts w:hint="eastAsia"/>
          <w:szCs w:val="32"/>
          <w:lang w:eastAsia="zh-CN"/>
        </w:rPr>
        <w:t>的</w:t>
      </w:r>
      <w:r>
        <w:rPr>
          <w:szCs w:val="32"/>
        </w:rPr>
        <w:t>统一行动，实施疏散和解除疏散的命令由</w:t>
      </w:r>
      <w:r>
        <w:rPr>
          <w:rFonts w:hint="eastAsia"/>
          <w:spacing w:val="-6"/>
          <w:szCs w:val="32"/>
          <w:lang w:eastAsia="zh-CN"/>
        </w:rPr>
        <w:t>区</w:t>
      </w:r>
      <w:r>
        <w:rPr>
          <w:spacing w:val="-6"/>
          <w:szCs w:val="32"/>
        </w:rPr>
        <w:t>抗震救灾指挥</w:t>
      </w:r>
      <w:r>
        <w:rPr>
          <w:rFonts w:hint="eastAsia"/>
          <w:spacing w:val="-6"/>
          <w:szCs w:val="32"/>
          <w:lang w:eastAsia="zh-CN"/>
        </w:rPr>
        <w:t>部</w:t>
      </w:r>
      <w:r>
        <w:rPr>
          <w:spacing w:val="-6"/>
          <w:szCs w:val="32"/>
        </w:rPr>
        <w:t>发布，任何街道、居委会和单位不得擅自行动。</w:t>
      </w:r>
    </w:p>
    <w:p>
      <w:pPr>
        <w:numPr>
          <w:ilvl w:val="1"/>
          <w:numId w:val="0"/>
        </w:numPr>
        <w:adjustRightInd w:val="0"/>
        <w:snapToGrid w:val="0"/>
        <w:spacing w:line="576" w:lineRule="exact"/>
        <w:ind w:left="0" w:leftChars="0" w:firstLine="640" w:firstLineChars="200"/>
        <w:jc w:val="left"/>
        <w:rPr>
          <w:szCs w:val="32"/>
        </w:rPr>
      </w:pPr>
      <w:r>
        <w:rPr>
          <w:rFonts w:ascii="Times New Roman" w:hAnsi="Times New Roman" w:eastAsia="方正仿宋_GBK" w:cs="Times New Roman"/>
          <w:kern w:val="2"/>
          <w:sz w:val="32"/>
          <w:szCs w:val="32"/>
          <w:lang w:val="en-US" w:eastAsia="zh-CN" w:bidi="ar-SA"/>
        </w:rPr>
        <w:t>3</w:t>
      </w:r>
      <w:r>
        <w:rPr>
          <w:rFonts w:hint="default" w:ascii="Times New Roman" w:hAnsi="Times New Roman" w:eastAsia="方正仿宋_GBK" w:cs="Times New Roman"/>
          <w:b w:val="0"/>
          <w:bCs w:val="0"/>
          <w:sz w:val="32"/>
          <w:szCs w:val="32"/>
          <w:lang w:val="en-US" w:eastAsia="zh-CN"/>
        </w:rPr>
        <w:t>．</w:t>
      </w:r>
      <w:r>
        <w:rPr>
          <w:szCs w:val="32"/>
        </w:rPr>
        <w:t>居民疏散由居委会、街道办事处等各级政府组织按照安排的场地和路线具体组织实施。较大的企事业单位应制定本部门的避震疏散应急安排计划，并报区抗震防灾主管部门批准，震时负责本单位避震疏散的组织实施。</w:t>
      </w:r>
    </w:p>
    <w:p>
      <w:pPr>
        <w:numPr>
          <w:ilvl w:val="1"/>
          <w:numId w:val="0"/>
        </w:numPr>
        <w:adjustRightInd w:val="0"/>
        <w:snapToGrid w:val="0"/>
        <w:spacing w:line="576" w:lineRule="exact"/>
        <w:ind w:left="0" w:leftChars="0" w:firstLine="640" w:firstLineChars="200"/>
        <w:jc w:val="left"/>
        <w:rPr>
          <w:szCs w:val="32"/>
        </w:rPr>
      </w:pPr>
      <w:r>
        <w:rPr>
          <w:rFonts w:ascii="Times New Roman" w:hAnsi="Times New Roman" w:eastAsia="方正仿宋_GBK" w:cs="Times New Roman"/>
          <w:kern w:val="2"/>
          <w:sz w:val="32"/>
          <w:szCs w:val="32"/>
          <w:lang w:val="en-US" w:eastAsia="zh-CN" w:bidi="ar-SA"/>
        </w:rPr>
        <w:t>4</w:t>
      </w:r>
      <w:r>
        <w:rPr>
          <w:rFonts w:hint="default" w:ascii="Times New Roman" w:hAnsi="Times New Roman" w:eastAsia="方正仿宋_GBK" w:cs="Times New Roman"/>
          <w:b w:val="0"/>
          <w:bCs w:val="0"/>
          <w:sz w:val="32"/>
          <w:szCs w:val="32"/>
          <w:lang w:val="en-US" w:eastAsia="zh-CN"/>
        </w:rPr>
        <w:t>．</w:t>
      </w:r>
      <w:r>
        <w:rPr>
          <w:szCs w:val="32"/>
        </w:rPr>
        <w:t>避难场所规划的实施应遵循周密、准确、简单三原则，避免和减轻地震时居民恐慌和行为混乱。</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第四十七条  </w:t>
      </w:r>
      <w:bookmarkStart w:id="225" w:name="_Toc158038248"/>
      <w:bookmarkStart w:id="226" w:name="_Toc156307032"/>
      <w:bookmarkStart w:id="227" w:name="_Toc158038152"/>
      <w:r>
        <w:rPr>
          <w:rFonts w:hint="eastAsia" w:ascii="方正黑体_GBK" w:hAnsi="Times New Roman" w:eastAsia="方正黑体_GBK" w:cstheme="minorBidi"/>
          <w:b w:val="0"/>
          <w:bCs/>
          <w:kern w:val="0"/>
          <w:sz w:val="32"/>
          <w:szCs w:val="32"/>
          <w:lang w:val="en-US" w:eastAsia="zh-CN" w:bidi="ar-SA"/>
        </w:rPr>
        <w:t>疏散通道空间布局</w:t>
      </w:r>
      <w:bookmarkEnd w:id="225"/>
      <w:bookmarkEnd w:id="226"/>
      <w:bookmarkEnd w:id="227"/>
    </w:p>
    <w:p>
      <w:pPr>
        <w:spacing w:line="576" w:lineRule="exact"/>
        <w:ind w:firstLine="640" w:firstLineChars="200"/>
        <w:rPr>
          <w:rFonts w:hint="eastAsia"/>
          <w:szCs w:val="32"/>
          <w:u w:val="none"/>
          <w:lang w:eastAsia="zh-CN"/>
        </w:rPr>
      </w:pPr>
      <w:r>
        <w:rPr>
          <w:rFonts w:hint="eastAsia"/>
          <w:szCs w:val="32"/>
          <w:u w:val="none"/>
          <w:lang w:val="en-US" w:eastAsia="zh-CN"/>
        </w:rPr>
        <w:t>1</w:t>
      </w:r>
      <w:r>
        <w:rPr>
          <w:rFonts w:hint="default"/>
          <w:szCs w:val="32"/>
          <w:u w:val="none"/>
          <w:lang w:val="en-US" w:eastAsia="zh-CN"/>
        </w:rPr>
        <w:t>．</w:t>
      </w:r>
      <w:r>
        <w:rPr>
          <w:rFonts w:hint="eastAsia"/>
          <w:szCs w:val="32"/>
          <w:u w:val="none"/>
        </w:rPr>
        <w:t>疏散通道布局要求</w:t>
      </w:r>
      <w:r>
        <w:rPr>
          <w:rFonts w:hint="eastAsia"/>
          <w:szCs w:val="32"/>
          <w:u w:val="none"/>
          <w:lang w:eastAsia="zh-CN"/>
        </w:rPr>
        <w:t>。</w:t>
      </w:r>
    </w:p>
    <w:p>
      <w:pPr>
        <w:pStyle w:val="20"/>
        <w:numPr>
          <w:ilvl w:val="0"/>
          <w:numId w:val="0"/>
        </w:numPr>
        <w:spacing w:line="576" w:lineRule="exact"/>
        <w:ind w:left="0" w:leftChars="0" w:firstLine="640" w:firstLineChars="200"/>
        <w:rPr>
          <w:rFonts w:ascii="Times New Roman" w:hAnsi="Times New Roman" w:eastAsia="方正仿宋_GBK"/>
          <w:sz w:val="32"/>
          <w:szCs w:val="32"/>
          <w:u w:val="none"/>
          <w:lang w:bidi="ar"/>
        </w:rPr>
      </w:pPr>
      <w:r>
        <w:rPr>
          <w:rFonts w:ascii="Times New Roman" w:hAnsi="Times New Roman" w:eastAsia="方正仿宋_GBK" w:cs="Times New Roman"/>
          <w:kern w:val="2"/>
          <w:sz w:val="32"/>
          <w:szCs w:val="32"/>
          <w:u w:val="none"/>
          <w:lang w:val="en-US" w:eastAsia="zh-CN" w:bidi="ar"/>
        </w:rPr>
        <w:t>（1）</w:t>
      </w:r>
      <w:r>
        <w:rPr>
          <w:rFonts w:ascii="Times New Roman" w:hAnsi="Times New Roman" w:eastAsia="方正仿宋_GBK"/>
          <w:sz w:val="32"/>
          <w:szCs w:val="32"/>
          <w:u w:val="none"/>
          <w:lang w:bidi="ar"/>
        </w:rPr>
        <w:t>按避难场所应有方向不同的两条以上与外界相通的避震疏散通道要求，规划以避震疏散场地为核心，利用城市主干路和次干路组织避难疏散通道。</w:t>
      </w:r>
    </w:p>
    <w:p>
      <w:pPr>
        <w:pStyle w:val="20"/>
        <w:numPr>
          <w:ilvl w:val="0"/>
          <w:numId w:val="0"/>
        </w:numPr>
        <w:spacing w:line="576" w:lineRule="exact"/>
        <w:ind w:left="0" w:leftChars="0" w:firstLine="640" w:firstLineChars="200"/>
        <w:rPr>
          <w:rFonts w:ascii="Times New Roman" w:hAnsi="Times New Roman" w:eastAsia="方正仿宋_GBK"/>
          <w:sz w:val="32"/>
          <w:szCs w:val="32"/>
          <w:u w:val="none"/>
          <w:lang w:bidi="ar"/>
        </w:rPr>
      </w:pPr>
      <w:r>
        <w:rPr>
          <w:rFonts w:ascii="Times New Roman" w:hAnsi="Times New Roman" w:eastAsia="方正仿宋_GBK" w:cs="Times New Roman"/>
          <w:kern w:val="2"/>
          <w:sz w:val="32"/>
          <w:szCs w:val="32"/>
          <w:u w:val="none"/>
          <w:lang w:val="en-US" w:eastAsia="zh-CN" w:bidi="ar"/>
        </w:rPr>
        <w:t>（2）</w:t>
      </w:r>
      <w:r>
        <w:rPr>
          <w:rFonts w:ascii="Times New Roman" w:hAnsi="Times New Roman" w:eastAsia="方正仿宋_GBK"/>
          <w:sz w:val="32"/>
          <w:szCs w:val="32"/>
          <w:u w:val="none"/>
          <w:lang w:bidi="ar"/>
        </w:rPr>
        <w:t>避震疏散通道两侧多层建筑退道路红线不低于10米，高层建筑退道路红线不低于15米，以防建筑物倒塌阻碍交通。</w:t>
      </w:r>
    </w:p>
    <w:p>
      <w:pPr>
        <w:pStyle w:val="20"/>
        <w:numPr>
          <w:ilvl w:val="0"/>
          <w:numId w:val="0"/>
        </w:numPr>
        <w:spacing w:line="576" w:lineRule="exact"/>
        <w:ind w:left="0" w:leftChars="0" w:firstLine="640" w:firstLineChars="200"/>
        <w:rPr>
          <w:rFonts w:ascii="Times New Roman" w:hAnsi="Times New Roman" w:eastAsia="方正仿宋_GBK"/>
          <w:sz w:val="32"/>
          <w:szCs w:val="32"/>
          <w:u w:val="none"/>
          <w:lang w:bidi="ar"/>
        </w:rPr>
      </w:pPr>
      <w:r>
        <w:rPr>
          <w:rFonts w:ascii="Times New Roman" w:hAnsi="Times New Roman" w:eastAsia="方正仿宋_GBK" w:cs="Times New Roman"/>
          <w:kern w:val="2"/>
          <w:sz w:val="32"/>
          <w:szCs w:val="32"/>
          <w:u w:val="none"/>
          <w:lang w:val="en-US" w:eastAsia="zh-CN" w:bidi="ar"/>
        </w:rPr>
        <w:t>（3）</w:t>
      </w:r>
      <w:r>
        <w:rPr>
          <w:rFonts w:ascii="Times New Roman" w:hAnsi="Times New Roman" w:eastAsia="方正仿宋_GBK"/>
          <w:sz w:val="32"/>
          <w:szCs w:val="32"/>
          <w:u w:val="none"/>
          <w:lang w:bidi="ar"/>
        </w:rPr>
        <w:t>考虑城市用地的场地破坏因素，救灾干道、疏散主干道应选择</w:t>
      </w:r>
      <w:r>
        <w:rPr>
          <w:rFonts w:hint="eastAsia" w:ascii="Times New Roman" w:hAnsi="Times New Roman" w:eastAsia="方正仿宋_GBK"/>
          <w:sz w:val="32"/>
          <w:szCs w:val="32"/>
          <w:u w:val="none"/>
          <w:lang w:bidi="ar"/>
        </w:rPr>
        <w:t>场地</w:t>
      </w:r>
      <w:r>
        <w:rPr>
          <w:rFonts w:ascii="Times New Roman" w:hAnsi="Times New Roman" w:eastAsia="方正仿宋_GBK"/>
          <w:sz w:val="32"/>
          <w:szCs w:val="32"/>
          <w:u w:val="none"/>
          <w:lang w:bidi="ar"/>
        </w:rPr>
        <w:t>破坏因素小的用地，保障道路在灾后的可靠性。</w:t>
      </w:r>
    </w:p>
    <w:p>
      <w:pPr>
        <w:pStyle w:val="20"/>
        <w:numPr>
          <w:ilvl w:val="0"/>
          <w:numId w:val="0"/>
        </w:numPr>
        <w:spacing w:line="576" w:lineRule="exact"/>
        <w:ind w:left="0" w:leftChars="0" w:firstLine="640" w:firstLineChars="200"/>
        <w:rPr>
          <w:rFonts w:ascii="Times New Roman" w:hAnsi="Times New Roman" w:eastAsia="方正仿宋_GBK"/>
          <w:sz w:val="32"/>
          <w:szCs w:val="32"/>
          <w:u w:val="none"/>
          <w:lang w:bidi="ar"/>
        </w:rPr>
      </w:pPr>
      <w:r>
        <w:rPr>
          <w:rFonts w:ascii="Times New Roman" w:hAnsi="Times New Roman" w:eastAsia="方正仿宋_GBK" w:cs="Times New Roman"/>
          <w:kern w:val="2"/>
          <w:sz w:val="32"/>
          <w:szCs w:val="32"/>
          <w:u w:val="none"/>
          <w:lang w:val="en-US" w:eastAsia="zh-CN" w:bidi="ar"/>
        </w:rPr>
        <w:t>（4）</w:t>
      </w:r>
      <w:r>
        <w:rPr>
          <w:rFonts w:ascii="Times New Roman" w:hAnsi="Times New Roman" w:eastAsia="方正仿宋_GBK"/>
          <w:sz w:val="32"/>
          <w:szCs w:val="32"/>
          <w:u w:val="none"/>
          <w:lang w:bidi="ar"/>
        </w:rPr>
        <w:t>救灾干道、疏散主干道应尽可能与城市出入口相连，并形成互联互通的网络形式。</w:t>
      </w:r>
    </w:p>
    <w:p>
      <w:pPr>
        <w:pStyle w:val="20"/>
        <w:numPr>
          <w:ilvl w:val="0"/>
          <w:numId w:val="0"/>
        </w:numPr>
        <w:spacing w:line="576" w:lineRule="exact"/>
        <w:ind w:left="0" w:leftChars="0" w:firstLine="640" w:firstLineChars="200"/>
        <w:rPr>
          <w:rFonts w:ascii="Times New Roman" w:hAnsi="Times New Roman" w:eastAsia="方正仿宋_GBK"/>
          <w:sz w:val="32"/>
          <w:szCs w:val="32"/>
          <w:u w:val="none"/>
          <w:lang w:bidi="ar"/>
        </w:rPr>
      </w:pPr>
      <w:r>
        <w:rPr>
          <w:rFonts w:ascii="Times New Roman" w:hAnsi="Times New Roman" w:eastAsia="方正仿宋_GBK" w:cs="Times New Roman"/>
          <w:kern w:val="2"/>
          <w:sz w:val="32"/>
          <w:szCs w:val="32"/>
          <w:u w:val="none"/>
          <w:lang w:val="en-US" w:eastAsia="zh-CN" w:bidi="ar"/>
        </w:rPr>
        <w:t>（5）</w:t>
      </w:r>
      <w:r>
        <w:rPr>
          <w:rFonts w:ascii="Times New Roman" w:hAnsi="Times New Roman" w:eastAsia="方正仿宋_GBK"/>
          <w:sz w:val="32"/>
          <w:szCs w:val="32"/>
          <w:u w:val="none"/>
          <w:lang w:bidi="ar"/>
        </w:rPr>
        <w:t>救灾干道的桥梁应采取提高一度进行抗震设防或考虑桥梁垮塌后通行宽度满足救灾干道要求，满足大灾时的通行要求。</w:t>
      </w:r>
    </w:p>
    <w:p>
      <w:pPr>
        <w:spacing w:line="576" w:lineRule="exact"/>
        <w:ind w:firstLine="640" w:firstLineChars="200"/>
        <w:rPr>
          <w:rFonts w:hint="eastAsia"/>
          <w:szCs w:val="32"/>
          <w:u w:val="none"/>
          <w:lang w:eastAsia="zh-CN"/>
        </w:rPr>
      </w:pPr>
      <w:r>
        <w:rPr>
          <w:rFonts w:hint="eastAsia"/>
          <w:szCs w:val="32"/>
          <w:u w:val="none"/>
          <w:lang w:val="en-US" w:eastAsia="zh-CN"/>
        </w:rPr>
        <w:t>2</w:t>
      </w:r>
      <w:r>
        <w:rPr>
          <w:rFonts w:hint="default"/>
          <w:szCs w:val="32"/>
          <w:u w:val="none"/>
          <w:lang w:val="en-US" w:eastAsia="zh-CN"/>
        </w:rPr>
        <w:t>．</w:t>
      </w:r>
      <w:r>
        <w:rPr>
          <w:rFonts w:hint="eastAsia"/>
          <w:szCs w:val="32"/>
          <w:u w:val="none"/>
        </w:rPr>
        <w:t>疏散通道空间布局</w:t>
      </w:r>
      <w:r>
        <w:rPr>
          <w:rFonts w:hint="eastAsia"/>
          <w:szCs w:val="32"/>
          <w:u w:val="none"/>
          <w:lang w:eastAsia="zh-CN"/>
        </w:rPr>
        <w:t>。</w:t>
      </w:r>
    </w:p>
    <w:p>
      <w:pPr>
        <w:spacing w:line="576" w:lineRule="exact"/>
        <w:ind w:firstLine="640" w:firstLineChars="200"/>
      </w:pPr>
      <w:r>
        <w:rPr>
          <w:szCs w:val="32"/>
          <w:lang w:bidi="ar"/>
        </w:rPr>
        <w:t>根据綦江中心城区城市道路网和对外交通的情况，将避震疏</w:t>
      </w:r>
      <w:r>
        <w:t>散道路分为三级：救灾干道、疏散主干道、疏散次干道（详见附</w:t>
      </w:r>
      <w:r>
        <w:rPr>
          <w:rFonts w:hint="eastAsia"/>
          <w:lang w:eastAsia="zh-CN"/>
        </w:rPr>
        <w:t>表</w:t>
      </w:r>
      <w:r>
        <w:rPr>
          <w:rFonts w:hint="eastAsia"/>
          <w:lang w:val="en-US" w:eastAsia="zh-CN"/>
        </w:rPr>
        <w:t>7</w:t>
      </w:r>
      <w:r>
        <w:t>）。</w:t>
      </w:r>
    </w:p>
    <w:p>
      <w:pPr>
        <w:pStyle w:val="20"/>
        <w:numPr>
          <w:ilvl w:val="1"/>
          <w:numId w:val="0"/>
        </w:numPr>
        <w:spacing w:line="576" w:lineRule="exact"/>
        <w:ind w:left="0" w:leftChars="0" w:firstLine="640" w:firstLineChars="200"/>
        <w:rPr>
          <w:rFonts w:hint="eastAsia" w:ascii="Times New Roman" w:hAnsi="Times New Roman" w:eastAsia="方正仿宋_GBK"/>
          <w:sz w:val="32"/>
          <w:szCs w:val="32"/>
          <w:lang w:eastAsia="zh-CN" w:bidi="ar"/>
        </w:rPr>
      </w:pPr>
      <w:r>
        <w:rPr>
          <w:rFonts w:ascii="Times New Roman" w:hAnsi="Times New Roman" w:eastAsia="方正仿宋_GBK" w:cs="Times New Roman"/>
          <w:kern w:val="2"/>
          <w:sz w:val="32"/>
          <w:szCs w:val="32"/>
          <w:lang w:val="en-US" w:eastAsia="zh-CN" w:bidi="ar"/>
        </w:rPr>
        <w:t>（1）</w:t>
      </w:r>
      <w:r>
        <w:rPr>
          <w:rFonts w:ascii="Times New Roman" w:hAnsi="Times New Roman" w:eastAsia="方正仿宋_GBK"/>
          <w:sz w:val="32"/>
          <w:szCs w:val="32"/>
          <w:lang w:bidi="ar"/>
        </w:rPr>
        <w:t>救灾干道</w:t>
      </w:r>
      <w:r>
        <w:rPr>
          <w:rFonts w:hint="eastAsia" w:ascii="Times New Roman" w:hAnsi="Times New Roman" w:eastAsia="方正仿宋_GBK"/>
          <w:sz w:val="32"/>
          <w:szCs w:val="32"/>
          <w:lang w:eastAsia="zh-CN" w:bidi="ar"/>
        </w:rPr>
        <w:t>。</w:t>
      </w:r>
    </w:p>
    <w:p>
      <w:pPr>
        <w:pStyle w:val="20"/>
        <w:spacing w:line="576" w:lineRule="exact"/>
        <w:ind w:firstLine="640"/>
        <w:rPr>
          <w:rFonts w:ascii="Times New Roman" w:hAnsi="Times New Roman" w:eastAsia="方正仿宋_GBK"/>
          <w:sz w:val="32"/>
          <w:szCs w:val="32"/>
          <w:lang w:bidi="ar"/>
        </w:rPr>
      </w:pPr>
      <w:r>
        <w:rPr>
          <w:rFonts w:ascii="Times New Roman" w:hAnsi="Times New Roman" w:eastAsia="方正仿宋_GBK"/>
          <w:sz w:val="32"/>
          <w:szCs w:val="32"/>
          <w:lang w:bidi="ar"/>
        </w:rPr>
        <w:t>城市进行抗震救灾对内对外交通主干道，以城市对外交通</w:t>
      </w:r>
      <w:r>
        <w:rPr>
          <w:rFonts w:hint="eastAsia" w:ascii="Times New Roman" w:hAnsi="Times New Roman" w:eastAsia="方正仿宋_GBK"/>
          <w:sz w:val="32"/>
          <w:szCs w:val="32"/>
          <w:lang w:bidi="ar"/>
        </w:rPr>
        <w:t>主干道</w:t>
      </w:r>
      <w:r>
        <w:rPr>
          <w:rFonts w:ascii="Times New Roman" w:hAnsi="Times New Roman" w:eastAsia="方正仿宋_GBK"/>
          <w:sz w:val="32"/>
          <w:szCs w:val="32"/>
          <w:lang w:bidi="ar"/>
        </w:rPr>
        <w:t>为主要救灾干道，与城市出入口、中长期应急避难场所、长途交通设施、市政府抗震救灾指挥中心相连，保证有效宽度不小于15m（双向4车道）。</w:t>
      </w:r>
    </w:p>
    <w:p>
      <w:pPr>
        <w:pStyle w:val="20"/>
        <w:numPr>
          <w:ilvl w:val="1"/>
          <w:numId w:val="0"/>
        </w:numPr>
        <w:spacing w:line="576" w:lineRule="exact"/>
        <w:ind w:left="0" w:leftChars="0" w:firstLine="640" w:firstLineChars="200"/>
        <w:rPr>
          <w:rFonts w:hint="eastAsia" w:ascii="Times New Roman" w:hAnsi="Times New Roman" w:eastAsia="方正仿宋_GBK"/>
          <w:sz w:val="32"/>
          <w:szCs w:val="32"/>
          <w:lang w:eastAsia="zh-CN" w:bidi="ar"/>
        </w:rPr>
      </w:pPr>
      <w:r>
        <w:rPr>
          <w:rFonts w:ascii="Times New Roman" w:hAnsi="Times New Roman" w:eastAsia="方正仿宋_GBK" w:cs="Times New Roman"/>
          <w:kern w:val="2"/>
          <w:sz w:val="32"/>
          <w:szCs w:val="32"/>
          <w:lang w:val="en-US" w:eastAsia="zh-CN" w:bidi="ar"/>
        </w:rPr>
        <w:t>（2）</w:t>
      </w:r>
      <w:r>
        <w:rPr>
          <w:rFonts w:ascii="Times New Roman" w:hAnsi="Times New Roman" w:eastAsia="方正仿宋_GBK"/>
          <w:sz w:val="32"/>
          <w:szCs w:val="32"/>
          <w:lang w:bidi="ar"/>
        </w:rPr>
        <w:t>疏散主干道</w:t>
      </w:r>
      <w:r>
        <w:rPr>
          <w:rFonts w:hint="eastAsia" w:ascii="Times New Roman" w:hAnsi="Times New Roman" w:eastAsia="方正仿宋_GBK"/>
          <w:sz w:val="32"/>
          <w:szCs w:val="32"/>
          <w:lang w:eastAsia="zh-CN" w:bidi="ar"/>
        </w:rPr>
        <w:t>。</w:t>
      </w:r>
    </w:p>
    <w:p>
      <w:pPr>
        <w:spacing w:line="576" w:lineRule="exact"/>
        <w:ind w:firstLine="640" w:firstLineChars="200"/>
        <w:rPr>
          <w:szCs w:val="32"/>
          <w:lang w:bidi="ar"/>
        </w:rPr>
      </w:pPr>
      <w:r>
        <w:rPr>
          <w:szCs w:val="32"/>
          <w:lang w:bidi="ar"/>
        </w:rPr>
        <w:t>以城市主干道（生活性干道、交通性干道）为主要疏散干道，并与救灾干道一起形成网络状连接，保证有效宽度不小于7m（双向2车道），需要考虑大灾影响的安全通行。</w:t>
      </w:r>
    </w:p>
    <w:p>
      <w:pPr>
        <w:pStyle w:val="20"/>
        <w:numPr>
          <w:ilvl w:val="1"/>
          <w:numId w:val="0"/>
        </w:numPr>
        <w:spacing w:line="576" w:lineRule="exact"/>
        <w:ind w:left="0" w:leftChars="0" w:firstLine="640" w:firstLineChars="200"/>
        <w:rPr>
          <w:rFonts w:hint="eastAsia" w:ascii="Times New Roman" w:hAnsi="Times New Roman" w:eastAsia="方正仿宋_GBK"/>
          <w:sz w:val="32"/>
          <w:szCs w:val="32"/>
          <w:lang w:eastAsia="zh-CN" w:bidi="ar"/>
        </w:rPr>
      </w:pPr>
      <w:r>
        <w:rPr>
          <w:rFonts w:ascii="Times New Roman" w:hAnsi="Times New Roman" w:eastAsia="方正仿宋_GBK" w:cs="Times New Roman"/>
          <w:kern w:val="2"/>
          <w:sz w:val="32"/>
          <w:szCs w:val="32"/>
          <w:lang w:val="en-US" w:eastAsia="zh-CN" w:bidi="ar"/>
        </w:rPr>
        <w:t>（3）</w:t>
      </w:r>
      <w:r>
        <w:rPr>
          <w:rFonts w:ascii="Times New Roman" w:hAnsi="Times New Roman" w:eastAsia="方正仿宋_GBK"/>
          <w:sz w:val="32"/>
          <w:szCs w:val="32"/>
          <w:lang w:bidi="ar"/>
        </w:rPr>
        <w:t>疏散次干道</w:t>
      </w:r>
      <w:r>
        <w:rPr>
          <w:rFonts w:hint="eastAsia" w:ascii="Times New Roman" w:hAnsi="Times New Roman" w:eastAsia="方正仿宋_GBK"/>
          <w:sz w:val="32"/>
          <w:szCs w:val="32"/>
          <w:lang w:eastAsia="zh-CN" w:bidi="ar"/>
        </w:rPr>
        <w:t>。</w:t>
      </w:r>
    </w:p>
    <w:p>
      <w:pPr>
        <w:spacing w:line="576" w:lineRule="exact"/>
        <w:ind w:firstLine="640" w:firstLineChars="200"/>
        <w:rPr>
          <w:szCs w:val="32"/>
          <w:lang w:bidi="ar"/>
        </w:rPr>
      </w:pPr>
      <w:r>
        <w:rPr>
          <w:szCs w:val="32"/>
          <w:lang w:bidi="ar"/>
        </w:rPr>
        <w:t>以城市次干道作为疏散次干道，保证有效宽度不小于4m，需要考虑中灾情况下的疏散通行和大灾情况下的次生灾害蔓延阻止。</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第四十八条  </w:t>
      </w:r>
      <w:bookmarkStart w:id="228" w:name="_Toc158038249"/>
      <w:bookmarkStart w:id="229" w:name="_Toc156307033"/>
      <w:bookmarkStart w:id="230" w:name="_Toc158038153"/>
      <w:r>
        <w:rPr>
          <w:rFonts w:hint="eastAsia" w:ascii="方正黑体_GBK" w:hAnsi="Times New Roman" w:eastAsia="方正黑体_GBK" w:cstheme="minorBidi"/>
          <w:b w:val="0"/>
          <w:bCs/>
          <w:kern w:val="0"/>
          <w:sz w:val="32"/>
          <w:szCs w:val="32"/>
          <w:lang w:val="en-US" w:eastAsia="zh-CN" w:bidi="ar-SA"/>
        </w:rPr>
        <w:t>疏散通道技术指标</w:t>
      </w:r>
      <w:bookmarkEnd w:id="228"/>
      <w:bookmarkEnd w:id="229"/>
      <w:bookmarkEnd w:id="230"/>
    </w:p>
    <w:p>
      <w:pPr>
        <w:numPr>
          <w:ilvl w:val="1"/>
          <w:numId w:val="0"/>
        </w:numPr>
        <w:adjustRightInd w:val="0"/>
        <w:snapToGrid w:val="0"/>
        <w:spacing w:line="576" w:lineRule="exact"/>
        <w:ind w:left="0" w:leftChars="0" w:firstLine="640" w:firstLineChars="200"/>
        <w:rPr>
          <w:szCs w:val="32"/>
          <w:u w:val="none"/>
        </w:rPr>
      </w:pPr>
      <w:r>
        <w:rPr>
          <w:rFonts w:ascii="Times New Roman" w:hAnsi="Times New Roman" w:eastAsia="方正仿宋_GBK" w:cs="Times New Roman"/>
          <w:kern w:val="2"/>
          <w:sz w:val="32"/>
          <w:szCs w:val="32"/>
          <w:u w:val="none"/>
          <w:lang w:val="en-US" w:eastAsia="zh-CN" w:bidi="ar-SA"/>
        </w:rPr>
        <w:t>1</w:t>
      </w:r>
      <w:r>
        <w:rPr>
          <w:rFonts w:hint="default" w:ascii="Times New Roman" w:hAnsi="Times New Roman" w:eastAsia="方正仿宋_GBK" w:cs="Times New Roman"/>
          <w:b w:val="0"/>
          <w:bCs w:val="0"/>
          <w:sz w:val="32"/>
          <w:szCs w:val="32"/>
          <w:lang w:val="en-US" w:eastAsia="zh-CN"/>
        </w:rPr>
        <w:t>．</w:t>
      </w:r>
      <w:r>
        <w:rPr>
          <w:szCs w:val="32"/>
          <w:u w:val="none"/>
        </w:rPr>
        <w:t>宽度指标：城市疏散道路应保证两侧建筑物倒塌堆积后的通行，若道路两旁有易破坏的非结构物和构件，应及时排除，抗震有效宽度应满足：救灾干道不小于15m；疏散主干道不小于7m；疏散次干道和疏散通道不小于4m。</w:t>
      </w:r>
    </w:p>
    <w:p>
      <w:pPr>
        <w:numPr>
          <w:ilvl w:val="1"/>
          <w:numId w:val="0"/>
        </w:numPr>
        <w:adjustRightInd w:val="0"/>
        <w:snapToGrid w:val="0"/>
        <w:spacing w:line="576" w:lineRule="exact"/>
        <w:ind w:left="0" w:leftChars="0" w:firstLine="640" w:firstLineChars="200"/>
        <w:rPr>
          <w:szCs w:val="32"/>
          <w:u w:val="none"/>
        </w:rPr>
      </w:pPr>
      <w:r>
        <w:rPr>
          <w:rFonts w:ascii="Times New Roman" w:hAnsi="Times New Roman" w:eastAsia="方正仿宋_GBK" w:cs="Times New Roman"/>
          <w:kern w:val="2"/>
          <w:sz w:val="32"/>
          <w:szCs w:val="32"/>
          <w:u w:val="none"/>
          <w:lang w:val="en-US" w:eastAsia="zh-CN" w:bidi="ar-SA"/>
        </w:rPr>
        <w:t>2</w:t>
      </w:r>
      <w:r>
        <w:rPr>
          <w:rFonts w:hint="default" w:ascii="Times New Roman" w:hAnsi="Times New Roman" w:eastAsia="方正仿宋_GBK" w:cs="Times New Roman"/>
          <w:b w:val="0"/>
          <w:bCs w:val="0"/>
          <w:sz w:val="32"/>
          <w:szCs w:val="32"/>
          <w:lang w:val="en-US" w:eastAsia="zh-CN"/>
        </w:rPr>
        <w:t>．</w:t>
      </w:r>
      <w:r>
        <w:rPr>
          <w:szCs w:val="32"/>
          <w:u w:val="none"/>
        </w:rPr>
        <w:t>通行保障指标：提高道路上桥梁的抗震性能，尤其是跨河桥梁的抗震性能，应采取预落梁措施，保证震后道路通行。</w:t>
      </w:r>
    </w:p>
    <w:p>
      <w:pPr>
        <w:numPr>
          <w:ilvl w:val="1"/>
          <w:numId w:val="0"/>
        </w:numPr>
        <w:adjustRightInd w:val="0"/>
        <w:snapToGrid w:val="0"/>
        <w:spacing w:line="576" w:lineRule="exact"/>
        <w:ind w:left="0" w:leftChars="0" w:firstLine="640" w:firstLineChars="200"/>
        <w:rPr>
          <w:szCs w:val="32"/>
          <w:u w:val="none"/>
        </w:rPr>
      </w:pPr>
      <w:r>
        <w:rPr>
          <w:rFonts w:ascii="Times New Roman" w:hAnsi="Times New Roman" w:eastAsia="方正仿宋_GBK" w:cs="Times New Roman"/>
          <w:kern w:val="2"/>
          <w:sz w:val="32"/>
          <w:szCs w:val="32"/>
          <w:u w:val="none"/>
          <w:lang w:val="en-US" w:eastAsia="zh-CN" w:bidi="ar-SA"/>
        </w:rPr>
        <w:t>3</w:t>
      </w:r>
      <w:r>
        <w:rPr>
          <w:rFonts w:hint="default" w:ascii="Times New Roman" w:hAnsi="Times New Roman" w:eastAsia="方正仿宋_GBK" w:cs="Times New Roman"/>
          <w:b w:val="0"/>
          <w:bCs w:val="0"/>
          <w:sz w:val="32"/>
          <w:szCs w:val="32"/>
          <w:lang w:val="en-US" w:eastAsia="zh-CN"/>
        </w:rPr>
        <w:t>．</w:t>
      </w:r>
      <w:r>
        <w:rPr>
          <w:szCs w:val="32"/>
          <w:u w:val="none"/>
        </w:rPr>
        <w:t>对外通道指标：城市出入口应保证地震时外部救援和抗震救灾的要求，不应少于4个。城市出入口空间分布宜均匀，便于与周边地区的救灾联系。</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第四十九条  </w:t>
      </w:r>
      <w:bookmarkStart w:id="231" w:name="_Toc156307034"/>
      <w:bookmarkStart w:id="232" w:name="_Toc158038250"/>
      <w:bookmarkStart w:id="233" w:name="_Toc158038154"/>
      <w:r>
        <w:rPr>
          <w:rFonts w:hint="eastAsia" w:ascii="方正黑体_GBK" w:hAnsi="Times New Roman" w:eastAsia="方正黑体_GBK" w:cstheme="minorBidi"/>
          <w:b w:val="0"/>
          <w:bCs/>
          <w:kern w:val="0"/>
          <w:sz w:val="32"/>
          <w:szCs w:val="32"/>
          <w:lang w:val="en-US" w:eastAsia="zh-CN" w:bidi="ar-SA"/>
        </w:rPr>
        <w:t>应急避难场所配套设施内容</w:t>
      </w:r>
      <w:bookmarkEnd w:id="231"/>
      <w:bookmarkEnd w:id="232"/>
      <w:bookmarkEnd w:id="233"/>
    </w:p>
    <w:p>
      <w:pPr>
        <w:adjustRightInd w:val="0"/>
        <w:snapToGrid w:val="0"/>
        <w:spacing w:line="576" w:lineRule="exact"/>
        <w:ind w:firstLine="640" w:firstLineChars="200"/>
        <w:jc w:val="left"/>
        <w:rPr>
          <w:szCs w:val="32"/>
        </w:rPr>
      </w:pPr>
      <w:r>
        <w:rPr>
          <w:szCs w:val="32"/>
        </w:rPr>
        <w:t>根据避难场所承担的不同应急功能，配套建设相应设施。暂时避难场所应提供临时用水、供电照明，设置临时厕所。短期避难场所应增设灾民栖身场所、生活必需品与药品储备库、消防设施、应急通信设施与广播设施、临时发电与照明设备、医疗设施以及畅通的交通环境等。中长期避难场所应考虑修建应急停机坪、紧急车辆基地以及应急物资储备仓库等。（详见附</w:t>
      </w:r>
      <w:r>
        <w:rPr>
          <w:rFonts w:hint="eastAsia"/>
          <w:szCs w:val="32"/>
          <w:lang w:val="en-US" w:eastAsia="zh-CN"/>
        </w:rPr>
        <w:t>表8</w:t>
      </w:r>
      <w:r>
        <w:rPr>
          <w:szCs w:val="32"/>
        </w:rPr>
        <w:t>）</w:t>
      </w:r>
    </w:p>
    <w:p>
      <w:pPr>
        <w:pStyle w:val="2"/>
        <w:rPr>
          <w:rFonts w:hint="eastAsia"/>
        </w:rPr>
      </w:pPr>
    </w:p>
    <w:p>
      <w:pPr>
        <w:pStyle w:val="4"/>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ascii="方正黑体_GBK"/>
          <w:bCs/>
        </w:rPr>
      </w:pPr>
      <w:r>
        <w:rPr>
          <w:rFonts w:hint="eastAsia" w:ascii="方正黑体_GBK" w:hAnsi="Times New Roman" w:eastAsia="方正黑体_GBK" w:cstheme="minorBidi"/>
          <w:bCs/>
          <w:kern w:val="0"/>
          <w:sz w:val="32"/>
          <w:szCs w:val="32"/>
          <w:lang w:val="en-US" w:eastAsia="zh-CN" w:bidi="ar-SA"/>
        </w:rPr>
        <w:t>第十章</w:t>
      </w:r>
      <w:r>
        <w:rPr>
          <w:rFonts w:ascii="方正黑体_GBK"/>
          <w:bCs/>
        </w:rPr>
        <w:t xml:space="preserve">  </w:t>
      </w:r>
      <w:bookmarkStart w:id="234" w:name="_Toc158038251"/>
      <w:bookmarkStart w:id="235" w:name="_Toc156307036"/>
      <w:bookmarkStart w:id="236" w:name="_Toc158038155"/>
      <w:r>
        <w:rPr>
          <w:rFonts w:ascii="方正黑体_GBK"/>
          <w:bCs/>
        </w:rPr>
        <w:t>应急保障基础设施规划</w:t>
      </w:r>
      <w:bookmarkEnd w:id="234"/>
      <w:bookmarkEnd w:id="235"/>
      <w:bookmarkEnd w:id="236"/>
    </w:p>
    <w:p>
      <w:pPr>
        <w:keepNext/>
        <w:spacing w:line="576" w:lineRule="exact"/>
        <w:ind w:firstLine="640" w:firstLineChars="200"/>
        <w:rPr>
          <w:lang w:val="zh-CN"/>
        </w:rPr>
      </w:pP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第五十条  </w:t>
      </w:r>
      <w:bookmarkStart w:id="237" w:name="_Toc158038156"/>
      <w:bookmarkStart w:id="238" w:name="_Toc156307037"/>
      <w:bookmarkStart w:id="239" w:name="_Toc158038252"/>
      <w:r>
        <w:rPr>
          <w:rFonts w:hint="eastAsia" w:ascii="方正黑体_GBK" w:hAnsi="Times New Roman" w:eastAsia="方正黑体_GBK" w:cstheme="minorBidi"/>
          <w:b w:val="0"/>
          <w:bCs/>
          <w:kern w:val="0"/>
          <w:sz w:val="32"/>
          <w:szCs w:val="32"/>
          <w:lang w:val="en-US" w:eastAsia="zh-CN" w:bidi="ar-SA"/>
        </w:rPr>
        <w:t>应急供水保障规划</w:t>
      </w:r>
      <w:bookmarkEnd w:id="237"/>
      <w:bookmarkEnd w:id="238"/>
      <w:bookmarkEnd w:id="239"/>
    </w:p>
    <w:p>
      <w:pPr>
        <w:spacing w:line="576" w:lineRule="exact"/>
        <w:ind w:firstLine="640" w:firstLineChars="200"/>
        <w:rPr>
          <w:rFonts w:hint="eastAsia"/>
          <w:szCs w:val="32"/>
          <w:u w:val="none"/>
          <w:lang w:eastAsia="zh-CN"/>
        </w:rPr>
      </w:pPr>
      <w:r>
        <w:rPr>
          <w:rFonts w:hint="eastAsia"/>
          <w:szCs w:val="32"/>
          <w:u w:val="none"/>
          <w:lang w:val="en-US" w:eastAsia="zh-CN"/>
        </w:rPr>
        <w:t>1</w:t>
      </w:r>
      <w:r>
        <w:rPr>
          <w:rFonts w:hint="default"/>
          <w:szCs w:val="32"/>
          <w:u w:val="none"/>
          <w:lang w:val="en-US" w:eastAsia="zh-CN"/>
        </w:rPr>
        <w:t>．</w:t>
      </w:r>
      <w:r>
        <w:rPr>
          <w:rFonts w:hint="eastAsia"/>
          <w:szCs w:val="32"/>
          <w:u w:val="none"/>
        </w:rPr>
        <w:t>应急供水体系与防灾目标</w:t>
      </w:r>
      <w:r>
        <w:rPr>
          <w:rFonts w:hint="eastAsia"/>
          <w:szCs w:val="32"/>
          <w:u w:val="none"/>
          <w:lang w:eastAsia="zh-CN"/>
        </w:rPr>
        <w:t>。</w:t>
      </w:r>
    </w:p>
    <w:p>
      <w:pPr>
        <w:spacing w:line="576" w:lineRule="exact"/>
        <w:ind w:firstLine="640" w:firstLineChars="200"/>
        <w:rPr>
          <w:szCs w:val="32"/>
        </w:rPr>
      </w:pPr>
      <w:r>
        <w:rPr>
          <w:szCs w:val="32"/>
        </w:rPr>
        <w:t>应急供水体系主要包括：市政供水、供水车供水、应急取水以及外部救援饮用水。</w:t>
      </w:r>
    </w:p>
    <w:p>
      <w:pPr>
        <w:spacing w:line="576" w:lineRule="exact"/>
        <w:ind w:firstLine="640" w:firstLineChars="200"/>
        <w:rPr>
          <w:szCs w:val="32"/>
          <w:u w:val="none"/>
        </w:rPr>
      </w:pPr>
      <w:r>
        <w:rPr>
          <w:szCs w:val="32"/>
          <w:u w:val="none"/>
        </w:rPr>
        <w:t>防灾目标：（1）当遭受罕遇地震影响时，能够保障有供水需求单位的震后供给量，防灾关键管网及为防灾关键管网供水的水厂可有效维持运转，一般管网可能发生震害但便于抢修和迅速恢复使用。（2）当遭受超越设防水准以上的重大或特大地震影响时，震后初期可通过外部救援饮用水、应急取水及供水车供水方式满足灾民基本用水需求，震后一个月内供水系统逐步恢复到满足人员基本生活需求。</w:t>
      </w:r>
    </w:p>
    <w:p>
      <w:pPr>
        <w:spacing w:line="576" w:lineRule="exact"/>
        <w:ind w:firstLine="640" w:firstLineChars="200"/>
        <w:rPr>
          <w:rFonts w:hint="eastAsia"/>
          <w:szCs w:val="32"/>
          <w:u w:val="none"/>
          <w:lang w:eastAsia="zh-CN"/>
        </w:rPr>
      </w:pPr>
      <w:r>
        <w:rPr>
          <w:rFonts w:hint="eastAsia"/>
          <w:szCs w:val="32"/>
          <w:u w:val="none"/>
          <w:lang w:val="en-US" w:eastAsia="zh-CN"/>
        </w:rPr>
        <w:t>2</w:t>
      </w:r>
      <w:r>
        <w:rPr>
          <w:rFonts w:hint="default"/>
          <w:szCs w:val="32"/>
          <w:u w:val="none"/>
          <w:lang w:val="en-US" w:eastAsia="zh-CN"/>
        </w:rPr>
        <w:t>．</w:t>
      </w:r>
      <w:r>
        <w:rPr>
          <w:rFonts w:hint="eastAsia"/>
          <w:szCs w:val="32"/>
          <w:u w:val="none"/>
        </w:rPr>
        <w:t>供水水源与水质保护</w:t>
      </w:r>
      <w:r>
        <w:rPr>
          <w:rFonts w:hint="eastAsia"/>
          <w:szCs w:val="32"/>
          <w:u w:val="none"/>
          <w:lang w:eastAsia="zh-CN"/>
        </w:rPr>
        <w:t>。</w:t>
      </w:r>
    </w:p>
    <w:p>
      <w:pPr>
        <w:spacing w:line="576" w:lineRule="exact"/>
        <w:ind w:firstLine="640" w:firstLineChars="200"/>
        <w:rPr>
          <w:szCs w:val="32"/>
        </w:rPr>
      </w:pPr>
      <w:r>
        <w:rPr>
          <w:szCs w:val="32"/>
        </w:rPr>
        <w:t>近期水源</w:t>
      </w:r>
      <w:r>
        <w:rPr>
          <w:rFonts w:hint="eastAsia"/>
          <w:szCs w:val="32"/>
        </w:rPr>
        <w:t>来自</w:t>
      </w:r>
      <w:r>
        <w:rPr>
          <w:szCs w:val="32"/>
        </w:rPr>
        <w:t>鱼栏咀水库自流取水，中期为鱼栏咀水库及珠滩电站库区取水（三江水厂取水口），远期水源为藻渡水库。根据GB3838</w:t>
      </w:r>
      <w:r>
        <w:rPr>
          <w:rFonts w:hint="eastAsia" w:ascii="方正仿宋_GBK" w:hAnsi="方正仿宋_GBK" w:eastAsia="方正仿宋_GBK" w:cs="方正仿宋_GBK"/>
          <w:szCs w:val="32"/>
        </w:rPr>
        <w:t>-</w:t>
      </w:r>
      <w:r>
        <w:rPr>
          <w:szCs w:val="32"/>
        </w:rPr>
        <w:t>2002《地表水环境质量标准》的水域功能和标准分类，水库一级保护区内的水域执行GB3838</w:t>
      </w:r>
      <w:r>
        <w:rPr>
          <w:rFonts w:hint="eastAsia" w:ascii="方正仿宋_GBK" w:hAnsi="方正仿宋_GBK" w:eastAsia="方正仿宋_GBK" w:cs="方正仿宋_GBK"/>
          <w:szCs w:val="32"/>
        </w:rPr>
        <w:t>-</w:t>
      </w:r>
      <w:r>
        <w:rPr>
          <w:szCs w:val="32"/>
        </w:rPr>
        <w:t>2002《地表水环境质量标准》</w:t>
      </w:r>
      <w:r>
        <w:rPr>
          <w:rFonts w:hint="eastAsia" w:ascii="宋体" w:hAnsi="宋体" w:cs="宋体"/>
          <w:szCs w:val="32"/>
        </w:rPr>
        <w:t>Ⅱ</w:t>
      </w:r>
      <w:r>
        <w:rPr>
          <w:szCs w:val="32"/>
        </w:rPr>
        <w:t>类水域水质标准，水库一级保护区以外的集雨区以及水库所在的通惠河下游执行GB3838</w:t>
      </w:r>
      <w:r>
        <w:rPr>
          <w:rFonts w:hint="eastAsia" w:ascii="方正仿宋_GBK" w:hAnsi="方正仿宋_GBK" w:eastAsia="方正仿宋_GBK" w:cs="方正仿宋_GBK"/>
          <w:szCs w:val="32"/>
        </w:rPr>
        <w:t>-</w:t>
      </w:r>
      <w:r>
        <w:rPr>
          <w:szCs w:val="32"/>
        </w:rPr>
        <w:t>2002《地表水环境质量标准》</w:t>
      </w:r>
      <w:r>
        <w:rPr>
          <w:rFonts w:hint="eastAsia" w:ascii="宋体" w:hAnsi="宋体" w:cs="宋体"/>
          <w:szCs w:val="32"/>
        </w:rPr>
        <w:t>Ⅲ</w:t>
      </w:r>
      <w:r>
        <w:rPr>
          <w:szCs w:val="32"/>
        </w:rPr>
        <w:t>类水域水质标准。并将通惠河、石龙水库、黑千沟水库等作为备用应急水源考虑。</w:t>
      </w:r>
    </w:p>
    <w:p>
      <w:pPr>
        <w:spacing w:line="576" w:lineRule="exact"/>
        <w:ind w:firstLine="640" w:firstLineChars="200"/>
        <w:rPr>
          <w:rFonts w:hint="eastAsia"/>
          <w:szCs w:val="32"/>
          <w:u w:val="none"/>
          <w:lang w:eastAsia="zh-CN"/>
        </w:rPr>
      </w:pPr>
      <w:r>
        <w:rPr>
          <w:rFonts w:hint="eastAsia"/>
          <w:szCs w:val="32"/>
          <w:u w:val="none"/>
          <w:lang w:val="en-US" w:eastAsia="zh-CN"/>
        </w:rPr>
        <w:t>3</w:t>
      </w:r>
      <w:r>
        <w:rPr>
          <w:rFonts w:hint="default"/>
          <w:szCs w:val="32"/>
          <w:u w:val="none"/>
          <w:lang w:val="en-US" w:eastAsia="zh-CN"/>
        </w:rPr>
        <w:t>．</w:t>
      </w:r>
      <w:r>
        <w:rPr>
          <w:rFonts w:hint="eastAsia"/>
          <w:szCs w:val="32"/>
          <w:u w:val="none"/>
        </w:rPr>
        <w:t>应急供水防灾空间布局与设防要求</w:t>
      </w:r>
      <w:r>
        <w:rPr>
          <w:rFonts w:hint="eastAsia"/>
          <w:szCs w:val="32"/>
          <w:u w:val="none"/>
          <w:lang w:eastAsia="zh-CN"/>
        </w:rPr>
        <w:t>。</w:t>
      </w:r>
    </w:p>
    <w:p>
      <w:pPr>
        <w:pStyle w:val="20"/>
        <w:spacing w:line="576" w:lineRule="exact"/>
        <w:ind w:firstLine="640"/>
        <w:rPr>
          <w:rFonts w:ascii="Times New Roman" w:hAnsi="Times New Roman" w:eastAsia="方正仿宋_GBK"/>
          <w:sz w:val="32"/>
          <w:szCs w:val="32"/>
        </w:rPr>
      </w:pPr>
      <w:r>
        <w:rPr>
          <w:rFonts w:ascii="Times New Roman" w:hAnsi="Times New Roman" w:eastAsia="方正仿宋_GBK"/>
          <w:sz w:val="32"/>
          <w:szCs w:val="32"/>
          <w:lang w:bidi="ar"/>
        </w:rPr>
        <w:t>规划范围内现状有文龙水厂、通惠食品园区水厂、三江一水厂、桥河水厂、新桥河水厂、永城水厂6座水厂，近期规划东部新城水厂（在建）、永桐新城水厂，远期规划北渡工业园水厂。为了保障震后初期灾民基本生活及消防用水需求，支持灾后供水系统快速恢复，并综合</w:t>
      </w:r>
      <w:r>
        <w:rPr>
          <w:rFonts w:hint="eastAsia" w:ascii="Times New Roman" w:hAnsi="Times New Roman" w:eastAsia="方正仿宋_GBK"/>
          <w:sz w:val="32"/>
          <w:szCs w:val="32"/>
          <w:lang w:bidi="ar"/>
        </w:rPr>
        <w:t>考虑</w:t>
      </w:r>
      <w:r>
        <w:rPr>
          <w:rFonts w:ascii="Times New Roman" w:hAnsi="Times New Roman" w:eastAsia="方正仿宋_GBK"/>
          <w:sz w:val="32"/>
          <w:szCs w:val="32"/>
          <w:lang w:bidi="ar"/>
        </w:rPr>
        <w:t>应急需水点的布置，按照每个防灾分区均有</w:t>
      </w:r>
      <w:r>
        <w:rPr>
          <w:rFonts w:hint="eastAsia" w:ascii="宋体" w:hAnsi="宋体" w:cs="宋体"/>
          <w:sz w:val="32"/>
          <w:szCs w:val="32"/>
          <w:lang w:bidi="ar"/>
        </w:rPr>
        <w:t>Ⅰ</w:t>
      </w:r>
      <w:r>
        <w:rPr>
          <w:rFonts w:ascii="Times New Roman" w:hAnsi="Times New Roman" w:eastAsia="方正仿宋_GBK"/>
          <w:sz w:val="32"/>
          <w:szCs w:val="32"/>
          <w:lang w:bidi="ar"/>
        </w:rPr>
        <w:t>级防灾管网覆盖要求进行布局。（详见附</w:t>
      </w:r>
      <w:r>
        <w:rPr>
          <w:rFonts w:hint="eastAsia" w:ascii="Times New Roman" w:hAnsi="Times New Roman" w:eastAsia="方正仿宋_GBK"/>
          <w:sz w:val="32"/>
          <w:szCs w:val="32"/>
          <w:lang w:eastAsia="zh-CN" w:bidi="ar"/>
        </w:rPr>
        <w:t>表</w:t>
      </w:r>
      <w:r>
        <w:rPr>
          <w:rFonts w:hint="eastAsia" w:ascii="Times New Roman" w:hAnsi="Times New Roman" w:eastAsia="方正仿宋_GBK"/>
          <w:sz w:val="32"/>
          <w:szCs w:val="32"/>
          <w:lang w:val="en-US" w:eastAsia="zh-CN" w:bidi="ar"/>
        </w:rPr>
        <w:t>9</w:t>
      </w:r>
      <w:r>
        <w:rPr>
          <w:rFonts w:ascii="Times New Roman" w:hAnsi="Times New Roman" w:eastAsia="方正仿宋_GBK"/>
          <w:sz w:val="32"/>
          <w:szCs w:val="32"/>
          <w:lang w:bidi="ar"/>
        </w:rPr>
        <w:t>）。</w:t>
      </w:r>
    </w:p>
    <w:p>
      <w:pPr>
        <w:numPr>
          <w:ilvl w:val="1"/>
          <w:numId w:val="0"/>
        </w:numPr>
        <w:spacing w:line="576" w:lineRule="exact"/>
        <w:ind w:left="0" w:leftChars="0" w:firstLine="640" w:firstLineChars="200"/>
        <w:rPr>
          <w:szCs w:val="32"/>
          <w:u w:val="none"/>
          <w:lang w:bidi="ar"/>
        </w:rPr>
      </w:pPr>
      <w:r>
        <w:rPr>
          <w:rFonts w:hint="default" w:ascii="Times New Roman" w:hAnsi="Times New Roman" w:eastAsia="方正仿宋_GBK" w:cs="Times New Roman"/>
          <w:kern w:val="2"/>
          <w:sz w:val="32"/>
          <w:szCs w:val="32"/>
          <w:lang w:val="en-US" w:eastAsia="zh-CN" w:bidi="ar"/>
        </w:rPr>
        <w:t>（1）</w:t>
      </w:r>
      <w:r>
        <w:rPr>
          <w:szCs w:val="32"/>
          <w:u w:val="none"/>
          <w:lang w:bidi="ar"/>
        </w:rPr>
        <w:t>属于</w:t>
      </w:r>
      <w:r>
        <w:rPr>
          <w:rFonts w:hint="eastAsia" w:ascii="宋体" w:hAnsi="宋体" w:cs="宋体"/>
          <w:szCs w:val="32"/>
          <w:u w:val="none"/>
          <w:lang w:bidi="ar"/>
        </w:rPr>
        <w:t>Ⅰ</w:t>
      </w:r>
      <w:r>
        <w:rPr>
          <w:szCs w:val="32"/>
          <w:u w:val="none"/>
          <w:lang w:bidi="ar"/>
        </w:rPr>
        <w:t>级防灾管网的现状和规划源水输水管线和配水管线，应按照特殊设防类进行抗震设防，并应采取柔性连接措施。对于</w:t>
      </w:r>
      <w:r>
        <w:rPr>
          <w:rFonts w:hint="eastAsia" w:ascii="宋体" w:hAnsi="宋体" w:cs="宋体"/>
          <w:szCs w:val="32"/>
          <w:u w:val="none"/>
          <w:lang w:bidi="ar"/>
        </w:rPr>
        <w:t>Ⅱ</w:t>
      </w:r>
      <w:r>
        <w:rPr>
          <w:szCs w:val="32"/>
          <w:u w:val="none"/>
          <w:lang w:bidi="ar"/>
        </w:rPr>
        <w:t>级防灾管网的现状和规划源水输水管线和配水管线，应按照不低于重点设防类进行抗震设防，或采取相应的抗震措施保障管网在超设防水准地震作用下的供水安全。</w:t>
      </w:r>
    </w:p>
    <w:p>
      <w:pPr>
        <w:numPr>
          <w:ilvl w:val="1"/>
          <w:numId w:val="0"/>
        </w:numPr>
        <w:spacing w:line="576" w:lineRule="exact"/>
        <w:ind w:left="0" w:leftChars="0" w:firstLine="640" w:firstLineChars="200"/>
        <w:rPr>
          <w:szCs w:val="32"/>
          <w:u w:val="none"/>
          <w:lang w:bidi="ar"/>
        </w:rPr>
      </w:pPr>
      <w:r>
        <w:rPr>
          <w:rFonts w:hint="default" w:ascii="Times New Roman" w:hAnsi="Times New Roman" w:eastAsia="方正仿宋_GBK" w:cs="Times New Roman"/>
          <w:kern w:val="2"/>
          <w:sz w:val="32"/>
          <w:szCs w:val="32"/>
          <w:u w:val="none"/>
          <w:lang w:val="en-US" w:eastAsia="zh-CN" w:bidi="ar"/>
        </w:rPr>
        <w:t>（2）</w:t>
      </w:r>
      <w:r>
        <w:rPr>
          <w:szCs w:val="32"/>
          <w:u w:val="none"/>
          <w:lang w:bidi="ar"/>
        </w:rPr>
        <w:t>为</w:t>
      </w:r>
      <w:r>
        <w:rPr>
          <w:rFonts w:hint="eastAsia" w:ascii="宋体" w:hAnsi="宋体" w:cs="宋体"/>
          <w:szCs w:val="32"/>
          <w:u w:val="none"/>
          <w:lang w:bidi="ar"/>
        </w:rPr>
        <w:t>Ⅰ</w:t>
      </w:r>
      <w:r>
        <w:rPr>
          <w:szCs w:val="32"/>
          <w:u w:val="none"/>
          <w:lang w:bidi="ar"/>
        </w:rPr>
        <w:t>、</w:t>
      </w:r>
      <w:r>
        <w:rPr>
          <w:rFonts w:hint="eastAsia" w:ascii="宋体" w:hAnsi="宋体" w:cs="宋体"/>
          <w:szCs w:val="32"/>
          <w:u w:val="none"/>
          <w:lang w:bidi="ar"/>
        </w:rPr>
        <w:t>Ⅱ</w:t>
      </w:r>
      <w:r>
        <w:rPr>
          <w:szCs w:val="32"/>
          <w:u w:val="none"/>
          <w:lang w:bidi="ar"/>
        </w:rPr>
        <w:t>级防灾管网供水的建设工程中，主要取水设施和输水管线、水质净化处理厂的主要水处理建（构）筑物、配水井、送水泵房、中控室、化验室等，应按照不低于重点设防类进行抗震设防。</w:t>
      </w:r>
    </w:p>
    <w:p>
      <w:pPr>
        <w:spacing w:line="576" w:lineRule="exact"/>
        <w:ind w:firstLine="640" w:firstLineChars="200"/>
        <w:rPr>
          <w:rFonts w:hint="eastAsia"/>
          <w:szCs w:val="32"/>
          <w:u w:val="none"/>
          <w:lang w:eastAsia="zh-CN"/>
        </w:rPr>
      </w:pPr>
      <w:r>
        <w:rPr>
          <w:rFonts w:hint="eastAsia"/>
          <w:szCs w:val="32"/>
          <w:u w:val="none"/>
          <w:lang w:val="en-US" w:eastAsia="zh-CN"/>
        </w:rPr>
        <w:t>4</w:t>
      </w:r>
      <w:r>
        <w:rPr>
          <w:rFonts w:hint="default"/>
          <w:szCs w:val="32"/>
          <w:u w:val="none"/>
          <w:lang w:val="en-US" w:eastAsia="zh-CN"/>
        </w:rPr>
        <w:t>．</w:t>
      </w:r>
      <w:r>
        <w:rPr>
          <w:rFonts w:hint="eastAsia"/>
          <w:szCs w:val="32"/>
          <w:u w:val="none"/>
        </w:rPr>
        <w:t>避难场所供水保障</w:t>
      </w:r>
      <w:r>
        <w:rPr>
          <w:rFonts w:hint="eastAsia"/>
          <w:szCs w:val="32"/>
          <w:u w:val="none"/>
          <w:lang w:eastAsia="zh-CN"/>
        </w:rPr>
        <w:t>。</w:t>
      </w:r>
    </w:p>
    <w:p>
      <w:pPr>
        <w:spacing w:line="576" w:lineRule="exact"/>
        <w:ind w:firstLine="640" w:firstLineChars="200"/>
        <w:rPr>
          <w:szCs w:val="32"/>
          <w:lang w:bidi="ar"/>
        </w:rPr>
      </w:pPr>
      <w:r>
        <w:rPr>
          <w:szCs w:val="32"/>
          <w:lang w:bidi="ar"/>
        </w:rPr>
        <w:t>考虑到避难场所作为灾后灾民集中安置的作用，灾民在此范围内要进行必要的生活用水，且为了防止灾民集聚导致次生火灾的发生，所以在避难场所建设过程中配备必要的供水设施。另外，考虑极端灾害影响后中长期避难场所作为大量灾民集中安置或向城市外部集中疏散的场点，故配置必要的应急给水点。</w:t>
      </w:r>
    </w:p>
    <w:p>
      <w:pPr>
        <w:spacing w:line="576" w:lineRule="exact"/>
        <w:ind w:firstLine="640" w:firstLineChars="200"/>
        <w:rPr>
          <w:szCs w:val="32"/>
          <w:u w:val="none"/>
          <w:lang w:bidi="ar"/>
        </w:rPr>
      </w:pPr>
      <w:r>
        <w:rPr>
          <w:szCs w:val="32"/>
          <w:u w:val="none"/>
          <w:lang w:bidi="ar"/>
        </w:rPr>
        <w:t>根据《防灾避难场所设计规范》，结合相关案例分析，确定临时救援而设置的门诊和医院等每人每天40</w:t>
      </w:r>
      <w:r>
        <w:rPr>
          <w:rFonts w:hint="eastAsia"/>
          <w:szCs w:val="32"/>
          <w:u w:val="none"/>
          <w:lang w:bidi="ar"/>
        </w:rPr>
        <w:t>—</w:t>
      </w:r>
      <w:r>
        <w:rPr>
          <w:szCs w:val="32"/>
          <w:u w:val="none"/>
          <w:lang w:bidi="ar"/>
        </w:rPr>
        <w:t>60L，集中安置点等每人每天15</w:t>
      </w:r>
      <w:r>
        <w:rPr>
          <w:rFonts w:hint="eastAsia"/>
          <w:szCs w:val="32"/>
          <w:u w:val="none"/>
          <w:lang w:bidi="ar"/>
        </w:rPr>
        <w:t>—</w:t>
      </w:r>
      <w:r>
        <w:rPr>
          <w:szCs w:val="32"/>
          <w:u w:val="none"/>
          <w:lang w:bidi="ar"/>
        </w:rPr>
        <w:t>30L，最低不应低于3</w:t>
      </w:r>
      <w:r>
        <w:rPr>
          <w:rFonts w:hint="eastAsia"/>
          <w:szCs w:val="32"/>
          <w:u w:val="none"/>
          <w:lang w:bidi="ar"/>
        </w:rPr>
        <w:t>—</w:t>
      </w:r>
      <w:r>
        <w:rPr>
          <w:szCs w:val="32"/>
          <w:u w:val="none"/>
          <w:lang w:bidi="ar"/>
        </w:rPr>
        <w:t>5L。确定应急供水指标30L/（人</w:t>
      </w:r>
      <w:r>
        <w:rPr>
          <w:rFonts w:hint="eastAsia"/>
          <w:szCs w:val="32"/>
          <w:u w:val="none"/>
          <w:lang w:val="en-US" w:eastAsia="zh-CN" w:bidi="ar"/>
        </w:rPr>
        <w:t>·</w:t>
      </w:r>
      <w:r>
        <w:rPr>
          <w:szCs w:val="32"/>
          <w:u w:val="none"/>
          <w:lang w:bidi="ar"/>
        </w:rPr>
        <w:t>d），其中饮用水为3L/（人</w:t>
      </w:r>
      <w:r>
        <w:rPr>
          <w:rFonts w:hint="eastAsia"/>
          <w:szCs w:val="32"/>
          <w:u w:val="none"/>
          <w:lang w:val="en-US" w:eastAsia="zh-CN" w:bidi="ar"/>
        </w:rPr>
        <w:t>·</w:t>
      </w:r>
      <w:r>
        <w:rPr>
          <w:szCs w:val="32"/>
          <w:u w:val="none"/>
          <w:lang w:bidi="ar"/>
        </w:rPr>
        <w:t>d）。</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第五十一条  </w:t>
      </w:r>
      <w:bookmarkStart w:id="240" w:name="_Toc158038253"/>
      <w:bookmarkStart w:id="241" w:name="_Toc156307038"/>
      <w:bookmarkStart w:id="242" w:name="_Toc158038157"/>
      <w:r>
        <w:rPr>
          <w:rFonts w:hint="eastAsia" w:ascii="方正黑体_GBK" w:hAnsi="Times New Roman" w:eastAsia="方正黑体_GBK" w:cstheme="minorBidi"/>
          <w:b w:val="0"/>
          <w:bCs/>
          <w:kern w:val="0"/>
          <w:sz w:val="32"/>
          <w:szCs w:val="32"/>
          <w:lang w:val="en-US" w:eastAsia="zh-CN" w:bidi="ar-SA"/>
        </w:rPr>
        <w:t>应急供电保障规划</w:t>
      </w:r>
      <w:bookmarkEnd w:id="240"/>
      <w:bookmarkEnd w:id="241"/>
      <w:bookmarkEnd w:id="242"/>
    </w:p>
    <w:p>
      <w:pPr>
        <w:spacing w:line="576" w:lineRule="exact"/>
        <w:ind w:firstLine="640" w:firstLineChars="200"/>
        <w:rPr>
          <w:rFonts w:hint="eastAsia"/>
          <w:szCs w:val="32"/>
          <w:u w:val="none"/>
          <w:lang w:eastAsia="zh-CN"/>
        </w:rPr>
      </w:pPr>
      <w:r>
        <w:rPr>
          <w:rFonts w:hint="eastAsia"/>
          <w:szCs w:val="32"/>
          <w:u w:val="none"/>
          <w:lang w:val="en-US" w:eastAsia="zh-CN"/>
        </w:rPr>
        <w:t>1</w:t>
      </w:r>
      <w:r>
        <w:rPr>
          <w:rFonts w:hint="default"/>
          <w:szCs w:val="32"/>
          <w:u w:val="none"/>
          <w:lang w:val="en-US" w:eastAsia="zh-CN"/>
        </w:rPr>
        <w:t>．</w:t>
      </w:r>
      <w:r>
        <w:rPr>
          <w:rFonts w:hint="eastAsia"/>
          <w:szCs w:val="32"/>
          <w:u w:val="none"/>
        </w:rPr>
        <w:t>应急供电体系与防灾目标</w:t>
      </w:r>
      <w:r>
        <w:rPr>
          <w:rFonts w:hint="eastAsia"/>
          <w:szCs w:val="32"/>
          <w:u w:val="none"/>
          <w:lang w:eastAsia="zh-CN"/>
        </w:rPr>
        <w:t>。</w:t>
      </w:r>
    </w:p>
    <w:p>
      <w:pPr>
        <w:spacing w:line="576" w:lineRule="exact"/>
        <w:ind w:firstLine="640" w:firstLineChars="200"/>
        <w:rPr>
          <w:szCs w:val="32"/>
        </w:rPr>
      </w:pPr>
      <w:r>
        <w:rPr>
          <w:szCs w:val="32"/>
          <w:lang w:bidi="ar"/>
        </w:rPr>
        <w:t>供电体系主要包括三部分：变电站、供电线路、应急发电设备。根据重点保障、优先恢复的原则，按照不同设防类别的抗震要求构建城市应急供电体系。</w:t>
      </w:r>
    </w:p>
    <w:p>
      <w:pPr>
        <w:spacing w:line="576" w:lineRule="exact"/>
        <w:ind w:firstLine="640" w:firstLineChars="200"/>
        <w:rPr>
          <w:szCs w:val="32"/>
        </w:rPr>
      </w:pPr>
      <w:r>
        <w:rPr>
          <w:szCs w:val="32"/>
          <w:lang w:bidi="ar"/>
        </w:rPr>
        <w:t>防灾目标：</w:t>
      </w:r>
    </w:p>
    <w:p>
      <w:pPr>
        <w:numPr>
          <w:ilvl w:val="3"/>
          <w:numId w:val="0"/>
        </w:numPr>
        <w:spacing w:line="576" w:lineRule="exact"/>
        <w:ind w:left="0" w:leftChars="0" w:firstLine="640" w:firstLineChars="200"/>
        <w:rPr>
          <w:szCs w:val="32"/>
          <w:u w:val="none"/>
        </w:rPr>
      </w:pPr>
      <w:r>
        <w:rPr>
          <w:rFonts w:hint="default" w:ascii="Times New Roman" w:hAnsi="Times New Roman" w:eastAsia="方正仿宋_GBK" w:cs="Times New Roman"/>
          <w:kern w:val="2"/>
          <w:sz w:val="32"/>
          <w:szCs w:val="32"/>
          <w:lang w:val="en-US" w:eastAsia="zh-CN" w:bidi="ar-SA"/>
        </w:rPr>
        <w:t>（1）</w:t>
      </w:r>
      <w:r>
        <w:rPr>
          <w:szCs w:val="32"/>
          <w:u w:val="none"/>
          <w:lang w:bidi="ar"/>
        </w:rPr>
        <w:t>当遭受罕遇地震影响时，一级防灾分区依托变电站及供电线路可有效维持运转，重点保障变电站及供电线路可能发生轻微损坏，经抢修后可快速恢复；</w:t>
      </w:r>
    </w:p>
    <w:p>
      <w:pPr>
        <w:numPr>
          <w:ilvl w:val="3"/>
          <w:numId w:val="0"/>
        </w:numPr>
        <w:spacing w:line="576" w:lineRule="exact"/>
        <w:ind w:left="0" w:leftChars="0" w:firstLine="640" w:firstLineChars="200"/>
        <w:rPr>
          <w:szCs w:val="32"/>
          <w:u w:val="none"/>
        </w:rPr>
      </w:pPr>
      <w:r>
        <w:rPr>
          <w:rFonts w:ascii="Times New Roman" w:hAnsi="Times New Roman" w:eastAsia="方正仿宋_GBK" w:cs="Times New Roman"/>
          <w:kern w:val="2"/>
          <w:sz w:val="32"/>
          <w:szCs w:val="32"/>
          <w:lang w:val="en-US" w:eastAsia="zh-CN" w:bidi="ar-SA"/>
        </w:rPr>
        <w:t>（2）</w:t>
      </w:r>
      <w:r>
        <w:rPr>
          <w:szCs w:val="32"/>
          <w:u w:val="none"/>
          <w:lang w:bidi="ar"/>
        </w:rPr>
        <w:t>当遭受超越设防标准以上的重大或特大地震影响时，应通过确保可替代性、多重化等手段综合维护系统功能，避免发生严重（长期且大范围）的供电故障，有应急供电需求的单位独立发电设施可有效发（供）电。</w:t>
      </w:r>
    </w:p>
    <w:p>
      <w:pPr>
        <w:spacing w:line="576" w:lineRule="exact"/>
        <w:ind w:firstLine="640" w:firstLineChars="200"/>
        <w:rPr>
          <w:rFonts w:hint="eastAsia"/>
          <w:szCs w:val="32"/>
          <w:u w:val="none"/>
          <w:lang w:eastAsia="zh-CN"/>
        </w:rPr>
      </w:pPr>
      <w:r>
        <w:rPr>
          <w:rFonts w:hint="eastAsia"/>
          <w:szCs w:val="32"/>
          <w:u w:val="none"/>
          <w:lang w:val="en-US" w:eastAsia="zh-CN"/>
        </w:rPr>
        <w:t>2</w:t>
      </w:r>
      <w:r>
        <w:rPr>
          <w:rFonts w:hint="default"/>
          <w:szCs w:val="32"/>
          <w:u w:val="none"/>
          <w:lang w:val="en-US" w:eastAsia="zh-CN"/>
        </w:rPr>
        <w:t>．</w:t>
      </w:r>
      <w:r>
        <w:rPr>
          <w:rFonts w:hint="eastAsia"/>
          <w:szCs w:val="32"/>
          <w:u w:val="none"/>
        </w:rPr>
        <w:t>供电系统防灾空间布局与设防要求</w:t>
      </w:r>
      <w:r>
        <w:rPr>
          <w:rFonts w:hint="eastAsia"/>
          <w:szCs w:val="32"/>
          <w:u w:val="none"/>
          <w:lang w:eastAsia="zh-CN"/>
        </w:rPr>
        <w:t>。</w:t>
      </w:r>
    </w:p>
    <w:p>
      <w:pPr>
        <w:pStyle w:val="20"/>
        <w:numPr>
          <w:ilvl w:val="2"/>
          <w:numId w:val="0"/>
        </w:numPr>
        <w:spacing w:line="576" w:lineRule="exact"/>
        <w:ind w:left="0" w:leftChars="0" w:firstLine="640" w:firstLineChars="200"/>
        <w:rPr>
          <w:rFonts w:ascii="Times New Roman" w:hAnsi="Times New Roman" w:eastAsia="方正仿宋_GBK"/>
          <w:sz w:val="32"/>
          <w:szCs w:val="32"/>
          <w:lang w:bidi="ar"/>
        </w:rPr>
      </w:pPr>
      <w:r>
        <w:rPr>
          <w:rFonts w:hint="default" w:ascii="Times New Roman" w:hAnsi="Times New Roman" w:eastAsia="方正仿宋_GBK" w:cs="Times New Roman"/>
          <w:kern w:val="2"/>
          <w:sz w:val="32"/>
          <w:szCs w:val="32"/>
          <w:lang w:val="en-US" w:eastAsia="zh-CN" w:bidi="ar"/>
        </w:rPr>
        <w:t>（1）</w:t>
      </w:r>
      <w:r>
        <w:rPr>
          <w:rFonts w:ascii="Times New Roman" w:hAnsi="Times New Roman" w:eastAsia="方正仿宋_GBK"/>
          <w:sz w:val="32"/>
          <w:szCs w:val="32"/>
          <w:lang w:bidi="ar"/>
        </w:rPr>
        <w:t>全区供电要逐步实现多路出入，互为备用，提高供电系统抗震可靠性和冗余度。规划通过采取增加回路等措施改善变电站供电抗震可靠性。</w:t>
      </w:r>
    </w:p>
    <w:p>
      <w:pPr>
        <w:pStyle w:val="20"/>
        <w:numPr>
          <w:ilvl w:val="2"/>
          <w:numId w:val="0"/>
        </w:numPr>
        <w:spacing w:line="576" w:lineRule="exact"/>
        <w:ind w:left="0" w:leftChars="0" w:firstLine="640" w:firstLineChars="200"/>
        <w:rPr>
          <w:rFonts w:ascii="Times New Roman" w:hAnsi="Times New Roman" w:eastAsia="方正仿宋_GBK"/>
          <w:sz w:val="32"/>
          <w:szCs w:val="32"/>
          <w:lang w:bidi="ar"/>
        </w:rPr>
      </w:pPr>
      <w:r>
        <w:rPr>
          <w:rFonts w:hint="default" w:ascii="Times New Roman" w:hAnsi="Times New Roman" w:eastAsia="方正仿宋_GBK" w:cs="Times New Roman"/>
          <w:kern w:val="2"/>
          <w:sz w:val="32"/>
          <w:szCs w:val="32"/>
          <w:lang w:val="en-US" w:eastAsia="zh-CN" w:bidi="ar"/>
        </w:rPr>
        <w:t>（2）</w:t>
      </w:r>
      <w:r>
        <w:rPr>
          <w:rFonts w:ascii="Times New Roman" w:hAnsi="Times New Roman" w:eastAsia="方正仿宋_GBK"/>
          <w:sz w:val="32"/>
          <w:szCs w:val="32"/>
          <w:lang w:bidi="ar"/>
        </w:rPr>
        <w:t>城市规划时，应根据应急功能保障对象的供电保障要求设置应急供电系统，按罕遇地震影响计算灾时负荷，采取应急功能保障措施。</w:t>
      </w:r>
      <w:r>
        <w:rPr>
          <w:rFonts w:hint="default" w:ascii="Times New Roman" w:hAnsi="Times New Roman" w:cs="Times New Roman"/>
          <w:sz w:val="32"/>
          <w:szCs w:val="32"/>
          <w:lang w:bidi="ar"/>
        </w:rPr>
        <w:t>Ⅰ</w:t>
      </w:r>
      <w:r>
        <w:rPr>
          <w:rFonts w:hint="default" w:ascii="Times New Roman" w:hAnsi="Times New Roman" w:eastAsia="方正仿宋_GBK" w:cs="Times New Roman"/>
          <w:sz w:val="32"/>
          <w:szCs w:val="32"/>
          <w:lang w:bidi="ar"/>
        </w:rPr>
        <w:t>、</w:t>
      </w:r>
      <w:r>
        <w:rPr>
          <w:rFonts w:hint="default" w:ascii="Times New Roman" w:hAnsi="Times New Roman" w:cs="Times New Roman"/>
          <w:sz w:val="32"/>
          <w:szCs w:val="32"/>
          <w:lang w:bidi="ar"/>
        </w:rPr>
        <w:t>Ⅱ</w:t>
      </w:r>
      <w:r>
        <w:rPr>
          <w:rFonts w:ascii="Times New Roman" w:hAnsi="Times New Roman" w:eastAsia="方正仿宋_GBK"/>
          <w:sz w:val="32"/>
          <w:szCs w:val="32"/>
          <w:lang w:bidi="ar"/>
        </w:rPr>
        <w:t>级抗震应急供电保障应采用双重电源，两路电源同时工作，任一路电源应满足平时一级负荷、消防负荷和不小于50%的正常照明负荷用电需要，电源容量应分别满足平时和灾时总计算负荷的需要。</w:t>
      </w:r>
    </w:p>
    <w:p>
      <w:pPr>
        <w:pStyle w:val="20"/>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9"/>
        <w:rPr>
          <w:rFonts w:ascii="Times New Roman" w:hAnsi="Times New Roman" w:eastAsia="方正仿宋_GBK"/>
          <w:sz w:val="32"/>
          <w:szCs w:val="32"/>
          <w:lang w:bidi="ar"/>
        </w:rPr>
      </w:pPr>
      <w:r>
        <w:rPr>
          <w:rFonts w:ascii="Times New Roman" w:hAnsi="Times New Roman" w:eastAsia="方正仿宋_GBK"/>
          <w:sz w:val="32"/>
          <w:szCs w:val="32"/>
          <w:lang w:bidi="ar"/>
        </w:rPr>
        <w:t>规划</w:t>
      </w:r>
      <w:r>
        <w:rPr>
          <w:rFonts w:hint="eastAsia" w:ascii="宋体" w:hAnsi="宋体" w:cs="宋体"/>
          <w:sz w:val="32"/>
          <w:szCs w:val="32"/>
          <w:lang w:bidi="ar"/>
        </w:rPr>
        <w:t>Ⅰ</w:t>
      </w:r>
      <w:r>
        <w:rPr>
          <w:rFonts w:ascii="Times New Roman" w:hAnsi="Times New Roman" w:eastAsia="方正仿宋_GBK"/>
          <w:sz w:val="32"/>
          <w:szCs w:val="32"/>
          <w:lang w:bidi="ar"/>
        </w:rPr>
        <w:t>级应急保障变电站：500kV的隆盛变电站（现状）、220kV的綦江变电站（现状）、110kV的通惠变电站（现状）；</w:t>
      </w:r>
    </w:p>
    <w:p>
      <w:pPr>
        <w:pStyle w:val="20"/>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9"/>
        <w:rPr>
          <w:rFonts w:ascii="Times New Roman" w:hAnsi="Times New Roman" w:eastAsia="方正仿宋_GBK"/>
          <w:sz w:val="32"/>
          <w:szCs w:val="32"/>
          <w:lang w:bidi="ar"/>
        </w:rPr>
      </w:pPr>
      <w:r>
        <w:rPr>
          <w:rFonts w:ascii="Times New Roman" w:hAnsi="Times New Roman" w:eastAsia="方正仿宋_GBK"/>
          <w:sz w:val="32"/>
          <w:szCs w:val="32"/>
          <w:lang w:bidi="ar"/>
        </w:rPr>
        <w:t>规划</w:t>
      </w:r>
      <w:r>
        <w:rPr>
          <w:rFonts w:hint="eastAsia" w:ascii="宋体" w:hAnsi="宋体" w:cs="宋体"/>
          <w:sz w:val="32"/>
          <w:szCs w:val="32"/>
          <w:lang w:bidi="ar"/>
        </w:rPr>
        <w:t>Ⅱ</w:t>
      </w:r>
      <w:r>
        <w:rPr>
          <w:rFonts w:ascii="Times New Roman" w:hAnsi="Times New Roman" w:eastAsia="方正仿宋_GBK"/>
          <w:sz w:val="32"/>
          <w:szCs w:val="32"/>
          <w:lang w:bidi="ar"/>
        </w:rPr>
        <w:t>级应急保障变电站有：110kV的天桥变电站（现状）、水井湾变电站（现状）、桥河变电站（现状）、三江变电站（现状）、玉龙变电站（规划）、綦江北变电站（规划）、新盛变电站（规划）、永桐变电站（规划）。</w:t>
      </w:r>
    </w:p>
    <w:p>
      <w:pPr>
        <w:pStyle w:val="20"/>
        <w:numPr>
          <w:ilvl w:val="2"/>
          <w:numId w:val="0"/>
        </w:numPr>
        <w:spacing w:line="576" w:lineRule="exact"/>
        <w:ind w:left="0" w:leftChars="0" w:firstLine="640" w:firstLineChars="200"/>
        <w:rPr>
          <w:rFonts w:ascii="Times New Roman" w:hAnsi="Times New Roman" w:eastAsia="方正仿宋_GBK"/>
          <w:sz w:val="32"/>
          <w:szCs w:val="32"/>
          <w:u w:val="none"/>
          <w:lang w:bidi="ar"/>
        </w:rPr>
      </w:pPr>
      <w:r>
        <w:rPr>
          <w:rFonts w:hint="default" w:ascii="Times New Roman" w:hAnsi="Times New Roman" w:eastAsia="方正仿宋_GBK" w:cs="Times New Roman"/>
          <w:kern w:val="2"/>
          <w:sz w:val="32"/>
          <w:szCs w:val="32"/>
          <w:lang w:val="en-US" w:eastAsia="zh-CN" w:bidi="ar"/>
        </w:rPr>
        <w:t>（3）</w:t>
      </w:r>
      <w:r>
        <w:rPr>
          <w:rFonts w:ascii="Times New Roman" w:hAnsi="Times New Roman" w:eastAsia="方正仿宋_GBK"/>
          <w:sz w:val="32"/>
          <w:szCs w:val="32"/>
          <w:u w:val="none"/>
          <w:lang w:bidi="ar"/>
        </w:rPr>
        <w:t>城市抗震应急供电保障应符合下列规定：</w:t>
      </w:r>
    </w:p>
    <w:p>
      <w:pPr>
        <w:pStyle w:val="20"/>
        <w:spacing w:line="576" w:lineRule="exact"/>
        <w:ind w:firstLine="640"/>
        <w:rPr>
          <w:rFonts w:ascii="Times New Roman" w:hAnsi="Times New Roman" w:eastAsia="方正仿宋_GBK"/>
          <w:sz w:val="32"/>
          <w:szCs w:val="32"/>
          <w:u w:val="none"/>
          <w:lang w:bidi="ar"/>
        </w:rPr>
      </w:pPr>
      <w:r>
        <w:rPr>
          <w:rFonts w:hint="eastAsia" w:ascii="宋体" w:hAnsi="宋体" w:cs="宋体"/>
          <w:sz w:val="32"/>
          <w:szCs w:val="32"/>
          <w:u w:val="none"/>
          <w:lang w:bidi="ar"/>
        </w:rPr>
        <w:t>①Ⅰ</w:t>
      </w:r>
      <w:r>
        <w:rPr>
          <w:rFonts w:ascii="Times New Roman" w:hAnsi="Times New Roman" w:eastAsia="方正仿宋_GBK"/>
          <w:sz w:val="32"/>
          <w:szCs w:val="32"/>
          <w:u w:val="none"/>
          <w:lang w:bidi="ar"/>
        </w:rPr>
        <w:t>、</w:t>
      </w:r>
      <w:r>
        <w:rPr>
          <w:rFonts w:hint="eastAsia" w:ascii="宋体" w:hAnsi="宋体" w:cs="宋体"/>
          <w:sz w:val="32"/>
          <w:szCs w:val="32"/>
          <w:u w:val="none"/>
          <w:lang w:bidi="ar"/>
        </w:rPr>
        <w:t>Ⅱ</w:t>
      </w:r>
      <w:r>
        <w:rPr>
          <w:rFonts w:ascii="Times New Roman" w:hAnsi="Times New Roman" w:eastAsia="方正仿宋_GBK"/>
          <w:sz w:val="32"/>
          <w:szCs w:val="32"/>
          <w:u w:val="none"/>
          <w:lang w:bidi="ar"/>
        </w:rPr>
        <w:t>级抗震应急供电保障应配置应急发电机组，灾时供电容量应满足灾时一级、二级电力负荷的要求；</w:t>
      </w:r>
    </w:p>
    <w:p>
      <w:pPr>
        <w:pStyle w:val="20"/>
        <w:spacing w:line="576" w:lineRule="exact"/>
        <w:ind w:firstLine="640"/>
        <w:rPr>
          <w:rFonts w:ascii="Times New Roman" w:hAnsi="Times New Roman" w:eastAsia="方正仿宋_GBK"/>
          <w:sz w:val="32"/>
          <w:szCs w:val="32"/>
          <w:u w:val="none"/>
          <w:lang w:bidi="ar"/>
        </w:rPr>
      </w:pPr>
      <w:r>
        <w:rPr>
          <w:rFonts w:hint="eastAsia" w:ascii="宋体" w:hAnsi="宋体" w:cs="宋体"/>
          <w:sz w:val="32"/>
          <w:szCs w:val="32"/>
          <w:u w:val="none"/>
          <w:lang w:bidi="ar"/>
        </w:rPr>
        <w:t>②Ⅰ</w:t>
      </w:r>
      <w:r>
        <w:rPr>
          <w:rFonts w:ascii="Times New Roman" w:hAnsi="Times New Roman" w:eastAsia="方正仿宋_GBK"/>
          <w:sz w:val="32"/>
          <w:szCs w:val="32"/>
          <w:u w:val="none"/>
          <w:lang w:bidi="ar"/>
        </w:rPr>
        <w:t>级抗震应急供电保障的应急发电机组台数应不少于2台，其中每台机组的容量应满足灾时一级负荷的用电需要；</w:t>
      </w:r>
    </w:p>
    <w:p>
      <w:pPr>
        <w:pStyle w:val="20"/>
        <w:spacing w:line="576" w:lineRule="exact"/>
        <w:ind w:firstLine="640"/>
        <w:rPr>
          <w:rFonts w:ascii="Times New Roman" w:hAnsi="Times New Roman" w:eastAsia="方正仿宋_GBK"/>
          <w:sz w:val="32"/>
          <w:szCs w:val="32"/>
          <w:u w:val="none"/>
          <w:lang w:bidi="ar"/>
        </w:rPr>
      </w:pPr>
      <w:r>
        <w:rPr>
          <w:rFonts w:hint="eastAsia" w:ascii="宋体" w:hAnsi="宋体" w:cs="宋体"/>
          <w:sz w:val="32"/>
          <w:szCs w:val="32"/>
          <w:u w:val="none"/>
          <w:lang w:bidi="ar"/>
        </w:rPr>
        <w:t>③</w:t>
      </w:r>
      <w:r>
        <w:rPr>
          <w:rFonts w:ascii="Times New Roman" w:hAnsi="Times New Roman" w:eastAsia="方正仿宋_GBK"/>
          <w:sz w:val="32"/>
          <w:szCs w:val="32"/>
          <w:u w:val="none"/>
          <w:lang w:bidi="ar"/>
        </w:rPr>
        <w:t>至少有一路</w:t>
      </w:r>
      <w:r>
        <w:rPr>
          <w:rFonts w:hint="eastAsia" w:ascii="宋体" w:hAnsi="宋体" w:cs="宋体"/>
          <w:sz w:val="32"/>
          <w:szCs w:val="32"/>
          <w:u w:val="none"/>
          <w:lang w:bidi="ar"/>
        </w:rPr>
        <w:t>Ⅰ</w:t>
      </w:r>
      <w:r>
        <w:rPr>
          <w:rFonts w:ascii="Times New Roman" w:hAnsi="Times New Roman" w:eastAsia="方正仿宋_GBK"/>
          <w:sz w:val="32"/>
          <w:szCs w:val="32"/>
          <w:u w:val="none"/>
          <w:lang w:bidi="ar"/>
        </w:rPr>
        <w:t>级市政应急供电保障系统的配电站抗震设防类别应不低于重点设防类，当无法满足要求时，应增配备用应急发电机组，其容量应满足灾时二级负荷的用电需要；</w:t>
      </w:r>
    </w:p>
    <w:p>
      <w:pPr>
        <w:pStyle w:val="20"/>
        <w:spacing w:line="576" w:lineRule="exact"/>
        <w:ind w:firstLine="640"/>
        <w:rPr>
          <w:rFonts w:ascii="Times New Roman" w:hAnsi="Times New Roman" w:eastAsia="方正仿宋_GBK"/>
          <w:sz w:val="32"/>
          <w:szCs w:val="32"/>
          <w:u w:val="none"/>
          <w:lang w:bidi="ar"/>
        </w:rPr>
      </w:pPr>
      <w:r>
        <w:rPr>
          <w:rFonts w:hint="eastAsia" w:ascii="宋体" w:hAnsi="宋体" w:cs="宋体"/>
          <w:sz w:val="32"/>
          <w:szCs w:val="32"/>
          <w:u w:val="none"/>
          <w:lang w:bidi="ar"/>
        </w:rPr>
        <w:t>④</w:t>
      </w:r>
      <w:r>
        <w:rPr>
          <w:rFonts w:ascii="Times New Roman" w:hAnsi="Times New Roman" w:eastAsia="方正仿宋_GBK"/>
          <w:sz w:val="32"/>
          <w:szCs w:val="32"/>
          <w:u w:val="none"/>
          <w:lang w:bidi="ar"/>
        </w:rPr>
        <w:t>当应急发电机组台数为2台时，其中1台或处于备用状态应急发电机组，可选择设置蓄电池组电源，其连续供电时间应不小于6小时。</w:t>
      </w:r>
    </w:p>
    <w:p>
      <w:pPr>
        <w:spacing w:line="576" w:lineRule="exact"/>
        <w:ind w:firstLine="640" w:firstLineChars="200"/>
        <w:rPr>
          <w:rFonts w:hint="eastAsia"/>
          <w:szCs w:val="32"/>
          <w:u w:val="none"/>
          <w:lang w:eastAsia="zh-CN"/>
        </w:rPr>
      </w:pPr>
      <w:r>
        <w:rPr>
          <w:rFonts w:hint="eastAsia"/>
          <w:szCs w:val="32"/>
          <w:u w:val="none"/>
          <w:lang w:val="en-US" w:eastAsia="zh-CN"/>
        </w:rPr>
        <w:t>3</w:t>
      </w:r>
      <w:r>
        <w:rPr>
          <w:rFonts w:hint="default"/>
          <w:szCs w:val="32"/>
          <w:u w:val="none"/>
          <w:lang w:val="en-US" w:eastAsia="zh-CN"/>
        </w:rPr>
        <w:t>．</w:t>
      </w:r>
      <w:r>
        <w:rPr>
          <w:rFonts w:hint="eastAsia"/>
          <w:szCs w:val="32"/>
          <w:u w:val="none"/>
        </w:rPr>
        <w:t>供电应急措施</w:t>
      </w:r>
      <w:r>
        <w:rPr>
          <w:rFonts w:hint="eastAsia"/>
          <w:szCs w:val="32"/>
          <w:u w:val="none"/>
          <w:lang w:eastAsia="zh-CN"/>
        </w:rPr>
        <w:t>。</w:t>
      </w:r>
    </w:p>
    <w:p>
      <w:pPr>
        <w:pStyle w:val="20"/>
        <w:spacing w:line="576" w:lineRule="exact"/>
        <w:ind w:firstLine="640"/>
        <w:rPr>
          <w:rFonts w:eastAsia="方正仿宋_GBK"/>
          <w:sz w:val="32"/>
          <w:szCs w:val="32"/>
          <w:lang w:bidi="ar"/>
        </w:rPr>
      </w:pPr>
      <w:r>
        <w:rPr>
          <w:rFonts w:eastAsia="方正仿宋_GBK"/>
          <w:sz w:val="32"/>
          <w:szCs w:val="32"/>
          <w:lang w:bidi="ar"/>
        </w:rPr>
        <w:t>电力主管部门应制定电力系统的地震应急、抢修预案，备用一定的高压电器设备。对重点供电单位、抗震救灾指挥部门及负有重要救灾任务的职能部门，应制定供电保障和震后抢排险、应急恢复供电措施。</w:t>
      </w:r>
    </w:p>
    <w:p>
      <w:pPr>
        <w:pStyle w:val="20"/>
        <w:spacing w:line="576" w:lineRule="exact"/>
        <w:ind w:firstLine="640"/>
        <w:rPr>
          <w:rFonts w:eastAsia="方正仿宋_GBK"/>
          <w:sz w:val="32"/>
          <w:szCs w:val="32"/>
          <w:lang w:bidi="ar"/>
        </w:rPr>
      </w:pPr>
      <w:r>
        <w:rPr>
          <w:rFonts w:eastAsia="方正仿宋_GBK"/>
          <w:sz w:val="32"/>
          <w:szCs w:val="32"/>
          <w:lang w:bidi="ar"/>
        </w:rPr>
        <w:t>对震后有紧急供电要求的单位储备应急发（供）电设备，包括指挥机构、避难场所、医疗救助、供水水厂等各系统，具体见本规划相关部分重点保障对象。</w:t>
      </w:r>
    </w:p>
    <w:p>
      <w:pPr>
        <w:spacing w:line="576" w:lineRule="exact"/>
        <w:ind w:firstLine="640" w:firstLineChars="200"/>
        <w:rPr>
          <w:rFonts w:hint="eastAsia"/>
          <w:szCs w:val="32"/>
          <w:u w:val="none"/>
          <w:lang w:eastAsia="zh-CN"/>
        </w:rPr>
      </w:pPr>
      <w:r>
        <w:rPr>
          <w:rFonts w:hint="eastAsia"/>
          <w:szCs w:val="32"/>
          <w:u w:val="none"/>
          <w:lang w:val="en-US" w:eastAsia="zh-CN"/>
        </w:rPr>
        <w:t>4</w:t>
      </w:r>
      <w:r>
        <w:rPr>
          <w:rFonts w:hint="default"/>
          <w:szCs w:val="32"/>
          <w:u w:val="none"/>
          <w:lang w:val="en-US" w:eastAsia="zh-CN"/>
        </w:rPr>
        <w:t>．</w:t>
      </w:r>
      <w:r>
        <w:rPr>
          <w:rFonts w:hint="eastAsia"/>
          <w:szCs w:val="32"/>
          <w:u w:val="none"/>
        </w:rPr>
        <w:t>供电系统震后恢复优先次序</w:t>
      </w:r>
      <w:r>
        <w:rPr>
          <w:rFonts w:hint="eastAsia"/>
          <w:szCs w:val="32"/>
          <w:u w:val="none"/>
          <w:lang w:eastAsia="zh-CN"/>
        </w:rPr>
        <w:t>。</w:t>
      </w:r>
    </w:p>
    <w:p>
      <w:pPr>
        <w:spacing w:line="576" w:lineRule="exact"/>
        <w:ind w:firstLine="640" w:firstLineChars="200"/>
        <w:rPr>
          <w:szCs w:val="32"/>
        </w:rPr>
      </w:pPr>
      <w:r>
        <w:rPr>
          <w:szCs w:val="32"/>
          <w:lang w:bidi="ar"/>
        </w:rPr>
        <w:t>500kV变电站</w:t>
      </w:r>
      <w:r>
        <w:rPr>
          <w:rFonts w:hint="eastAsia"/>
          <w:szCs w:val="32"/>
          <w:lang w:eastAsia="zh-CN" w:bidi="ar"/>
        </w:rPr>
        <w:t>—</w:t>
      </w:r>
      <w:r>
        <w:rPr>
          <w:szCs w:val="32"/>
          <w:lang w:bidi="ar"/>
        </w:rPr>
        <w:t>220kV变电站</w:t>
      </w:r>
      <w:r>
        <w:rPr>
          <w:rFonts w:hint="eastAsia"/>
          <w:szCs w:val="32"/>
          <w:lang w:eastAsia="zh-CN" w:bidi="ar"/>
        </w:rPr>
        <w:t>—</w:t>
      </w:r>
      <w:r>
        <w:rPr>
          <w:szCs w:val="32"/>
          <w:lang w:bidi="ar"/>
        </w:rPr>
        <w:t>110kV变电站</w:t>
      </w:r>
      <w:r>
        <w:rPr>
          <w:rFonts w:hint="eastAsia"/>
          <w:szCs w:val="32"/>
          <w:lang w:eastAsia="zh-CN" w:bidi="ar"/>
        </w:rPr>
        <w:t>—</w:t>
      </w:r>
      <w:r>
        <w:rPr>
          <w:szCs w:val="32"/>
          <w:lang w:bidi="ar"/>
        </w:rPr>
        <w:t>交通、通信、给水、燃气、消防等生命线系统，医院、党、政、军领导机关和食品加工厂、粮库、应急避难场所等救灾资源供电的线路。同时应根据震害状况、用电需求和恢复的难易程度灵活调整。</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第五十二条  </w:t>
      </w:r>
      <w:bookmarkStart w:id="243" w:name="_Toc158038158"/>
      <w:bookmarkStart w:id="244" w:name="_Toc156307039"/>
      <w:bookmarkStart w:id="245" w:name="_Toc158038254"/>
      <w:r>
        <w:rPr>
          <w:rFonts w:hint="eastAsia" w:ascii="方正黑体_GBK" w:hAnsi="Times New Roman" w:eastAsia="方正黑体_GBK" w:cstheme="minorBidi"/>
          <w:b w:val="0"/>
          <w:bCs/>
          <w:kern w:val="0"/>
          <w:sz w:val="32"/>
          <w:szCs w:val="32"/>
          <w:lang w:val="en-US" w:eastAsia="zh-CN" w:bidi="ar-SA"/>
        </w:rPr>
        <w:t>应急救灾医疗保障规划</w:t>
      </w:r>
      <w:bookmarkEnd w:id="243"/>
      <w:bookmarkEnd w:id="244"/>
      <w:bookmarkEnd w:id="245"/>
    </w:p>
    <w:p>
      <w:pPr>
        <w:spacing w:line="576" w:lineRule="exact"/>
        <w:ind w:firstLine="640" w:firstLineChars="200"/>
        <w:rPr>
          <w:rFonts w:hint="eastAsia"/>
          <w:szCs w:val="32"/>
          <w:u w:val="none"/>
          <w:lang w:eastAsia="zh-CN"/>
        </w:rPr>
      </w:pPr>
      <w:r>
        <w:rPr>
          <w:rFonts w:hint="eastAsia"/>
          <w:szCs w:val="32"/>
          <w:u w:val="none"/>
          <w:lang w:val="en-US" w:eastAsia="zh-CN"/>
        </w:rPr>
        <w:t>1</w:t>
      </w:r>
      <w:r>
        <w:rPr>
          <w:rFonts w:hint="default"/>
          <w:szCs w:val="32"/>
          <w:u w:val="none"/>
          <w:lang w:val="en-US" w:eastAsia="zh-CN"/>
        </w:rPr>
        <w:t>．</w:t>
      </w:r>
      <w:r>
        <w:rPr>
          <w:rFonts w:hint="eastAsia"/>
          <w:szCs w:val="32"/>
          <w:u w:val="none"/>
        </w:rPr>
        <w:t>医疗体系与防灾目标</w:t>
      </w:r>
      <w:r>
        <w:rPr>
          <w:rFonts w:hint="eastAsia"/>
          <w:szCs w:val="32"/>
          <w:u w:val="none"/>
          <w:lang w:eastAsia="zh-CN"/>
        </w:rPr>
        <w:t>。</w:t>
      </w:r>
    </w:p>
    <w:p>
      <w:pPr>
        <w:spacing w:line="576" w:lineRule="exact"/>
        <w:ind w:firstLine="640" w:firstLineChars="200"/>
        <w:rPr>
          <w:szCs w:val="32"/>
        </w:rPr>
      </w:pPr>
      <w:r>
        <w:rPr>
          <w:szCs w:val="32"/>
          <w:lang w:bidi="ar"/>
        </w:rPr>
        <w:t>按照均衡布局、重灾加强、服务可靠的原则，构建包括医疗机构、卫生机构和社区卫生服务机构组成的应急医疗体系。</w:t>
      </w:r>
    </w:p>
    <w:p>
      <w:pPr>
        <w:spacing w:line="576" w:lineRule="exact"/>
        <w:ind w:firstLine="640" w:firstLineChars="200"/>
        <w:rPr>
          <w:szCs w:val="32"/>
        </w:rPr>
      </w:pPr>
      <w:r>
        <w:rPr>
          <w:szCs w:val="32"/>
          <w:lang w:bidi="ar"/>
        </w:rPr>
        <w:t>防灾目标：</w:t>
      </w:r>
    </w:p>
    <w:p>
      <w:pPr>
        <w:numPr>
          <w:ilvl w:val="0"/>
          <w:numId w:val="0"/>
        </w:numPr>
        <w:spacing w:line="576" w:lineRule="exact"/>
        <w:ind w:left="0" w:leftChars="0" w:firstLine="640" w:firstLineChars="200"/>
        <w:rPr>
          <w:rFonts w:hint="default" w:ascii="Times New Roman" w:hAnsi="Times New Roman" w:cs="Times New Roman"/>
          <w:szCs w:val="32"/>
          <w:u w:val="none"/>
        </w:rPr>
      </w:pPr>
      <w:r>
        <w:rPr>
          <w:rFonts w:hint="default" w:ascii="Times New Roman" w:hAnsi="Times New Roman" w:eastAsia="方正仿宋_GBK" w:cs="Times New Roman"/>
          <w:kern w:val="2"/>
          <w:sz w:val="32"/>
          <w:szCs w:val="32"/>
          <w:u w:val="none"/>
          <w:lang w:val="en-US" w:eastAsia="zh-CN" w:bidi="ar-SA"/>
        </w:rPr>
        <w:t>（1）</w:t>
      </w:r>
      <w:r>
        <w:rPr>
          <w:rFonts w:hint="default" w:ascii="Times New Roman" w:hAnsi="Times New Roman" w:cs="Times New Roman"/>
          <w:szCs w:val="32"/>
          <w:u w:val="none"/>
          <w:lang w:bidi="ar"/>
        </w:rPr>
        <w:t>当遭受罕遇地震影响时，为二级防灾分区提供服务的医疗机构不发生严重破坏，医疗功能不丧失，可马上或经简单抢修后提供医疗服务；</w:t>
      </w:r>
    </w:p>
    <w:p>
      <w:pPr>
        <w:numPr>
          <w:ilvl w:val="0"/>
          <w:numId w:val="0"/>
        </w:numPr>
        <w:spacing w:line="576" w:lineRule="exact"/>
        <w:ind w:left="0" w:leftChars="0" w:firstLine="640" w:firstLineChars="200"/>
        <w:rPr>
          <w:rFonts w:hint="default" w:ascii="Times New Roman" w:hAnsi="Times New Roman" w:cs="Times New Roman"/>
          <w:szCs w:val="32"/>
          <w:u w:val="none"/>
        </w:rPr>
      </w:pPr>
      <w:r>
        <w:rPr>
          <w:rFonts w:hint="default" w:ascii="Times New Roman" w:hAnsi="Times New Roman" w:eastAsia="方正仿宋_GBK" w:cs="Times New Roman"/>
          <w:kern w:val="2"/>
          <w:sz w:val="32"/>
          <w:szCs w:val="32"/>
          <w:u w:val="none"/>
          <w:lang w:val="en-US" w:eastAsia="zh-CN" w:bidi="ar-SA"/>
        </w:rPr>
        <w:t>（2）</w:t>
      </w:r>
      <w:r>
        <w:rPr>
          <w:rFonts w:hint="default" w:ascii="Times New Roman" w:hAnsi="Times New Roman" w:cs="Times New Roman"/>
          <w:szCs w:val="32"/>
          <w:u w:val="none"/>
          <w:lang w:bidi="ar"/>
        </w:rPr>
        <w:t>当遭受超越设防水准以上的重大或特大地震影响时，中长期应急避难场所医疗工作启动，重伤员可迅速有效转移到其他城市进行救助。</w:t>
      </w:r>
    </w:p>
    <w:p>
      <w:pPr>
        <w:spacing w:line="576" w:lineRule="exact"/>
        <w:ind w:firstLine="640" w:firstLineChars="200"/>
        <w:rPr>
          <w:rFonts w:hint="eastAsia"/>
          <w:szCs w:val="32"/>
          <w:u w:val="none"/>
          <w:lang w:eastAsia="zh-CN"/>
        </w:rPr>
      </w:pPr>
      <w:r>
        <w:rPr>
          <w:rFonts w:hint="eastAsia"/>
          <w:szCs w:val="32"/>
          <w:u w:val="none"/>
          <w:lang w:val="en-US" w:eastAsia="zh-CN"/>
        </w:rPr>
        <w:t>2</w:t>
      </w:r>
      <w:r>
        <w:rPr>
          <w:rFonts w:hint="default"/>
          <w:szCs w:val="32"/>
          <w:u w:val="none"/>
          <w:lang w:val="en-US" w:eastAsia="zh-CN"/>
        </w:rPr>
        <w:t>．</w:t>
      </w:r>
      <w:r>
        <w:rPr>
          <w:rFonts w:hint="eastAsia"/>
          <w:szCs w:val="32"/>
          <w:u w:val="none"/>
        </w:rPr>
        <w:t>应急医疗防灾空间布局与设防要求</w:t>
      </w:r>
      <w:r>
        <w:rPr>
          <w:rFonts w:hint="eastAsia"/>
          <w:szCs w:val="32"/>
          <w:u w:val="none"/>
          <w:lang w:eastAsia="zh-CN"/>
        </w:rPr>
        <w:t>。</w:t>
      </w:r>
    </w:p>
    <w:p>
      <w:pPr>
        <w:spacing w:line="576" w:lineRule="exact"/>
        <w:ind w:firstLine="640" w:firstLineChars="200"/>
        <w:rPr>
          <w:szCs w:val="32"/>
          <w:lang w:bidi="ar"/>
        </w:rPr>
      </w:pPr>
      <w:r>
        <w:rPr>
          <w:szCs w:val="32"/>
          <w:lang w:bidi="ar"/>
        </w:rPr>
        <w:t>现状应急医疗设施13处，规划新增应急医疗设施3处。结合医疗卫生规划，进一步完善</w:t>
      </w:r>
      <w:r>
        <w:rPr>
          <w:rFonts w:hint="eastAsia"/>
          <w:szCs w:val="32"/>
          <w:lang w:bidi="ar"/>
        </w:rPr>
        <w:t>区域</w:t>
      </w:r>
      <w:r>
        <w:rPr>
          <w:szCs w:val="32"/>
          <w:lang w:bidi="ar"/>
        </w:rPr>
        <w:t>急救网络系统，增强应急能力，扩大覆盖区域；在城市规划区，医疗网点布置与中长期应急避难场所之间应具有便捷的通道。城市规划时，应急医疗卫生建设工程布局和建设应符合下列规定：</w:t>
      </w:r>
    </w:p>
    <w:p>
      <w:pPr>
        <w:numPr>
          <w:ilvl w:val="1"/>
          <w:numId w:val="0"/>
        </w:numPr>
        <w:spacing w:line="576" w:lineRule="exact"/>
        <w:ind w:left="0" w:leftChars="0" w:firstLine="640" w:firstLineChars="200"/>
        <w:rPr>
          <w:sz w:val="32"/>
          <w:szCs w:val="32"/>
          <w:lang w:bidi="ar"/>
        </w:rPr>
      </w:pPr>
      <w:r>
        <w:rPr>
          <w:rFonts w:hint="default" w:ascii="Times New Roman" w:hAnsi="Times New Roman" w:eastAsia="方正仿宋_GBK" w:cs="Times New Roman"/>
          <w:kern w:val="2"/>
          <w:sz w:val="32"/>
          <w:szCs w:val="32"/>
          <w:lang w:val="en-US" w:eastAsia="zh-CN" w:bidi="ar"/>
        </w:rPr>
        <w:t>（1）</w:t>
      </w:r>
      <w:r>
        <w:rPr>
          <w:sz w:val="32"/>
          <w:szCs w:val="32"/>
          <w:lang w:bidi="ar"/>
        </w:rPr>
        <w:t>具有</w:t>
      </w:r>
      <w:r>
        <w:rPr>
          <w:rFonts w:hint="eastAsia" w:ascii="宋体" w:hAnsi="宋体" w:cs="宋体"/>
          <w:sz w:val="32"/>
          <w:szCs w:val="32"/>
          <w:lang w:bidi="ar"/>
        </w:rPr>
        <w:t>Ⅰ</w:t>
      </w:r>
      <w:r>
        <w:rPr>
          <w:sz w:val="32"/>
          <w:szCs w:val="32"/>
          <w:lang w:bidi="ar"/>
        </w:rPr>
        <w:t>级抗震应急功能保障医院服务范围的常住人口规模应不大于50万人；</w:t>
      </w:r>
    </w:p>
    <w:p>
      <w:pPr>
        <w:numPr>
          <w:ilvl w:val="1"/>
          <w:numId w:val="0"/>
        </w:numPr>
        <w:spacing w:line="576" w:lineRule="exact"/>
        <w:ind w:left="0" w:leftChars="0" w:firstLine="640" w:firstLineChars="200"/>
        <w:rPr>
          <w:sz w:val="32"/>
          <w:szCs w:val="32"/>
        </w:rPr>
      </w:pPr>
      <w:r>
        <w:rPr>
          <w:rFonts w:hint="default" w:ascii="Times New Roman" w:hAnsi="Times New Roman" w:eastAsia="方正仿宋_GBK" w:cs="Times New Roman"/>
          <w:kern w:val="2"/>
          <w:sz w:val="32"/>
          <w:szCs w:val="32"/>
          <w:lang w:val="en-US" w:eastAsia="zh-CN" w:bidi="ar-SA"/>
        </w:rPr>
        <w:t>（2）</w:t>
      </w:r>
      <w:r>
        <w:rPr>
          <w:sz w:val="32"/>
          <w:szCs w:val="32"/>
          <w:lang w:bidi="ar"/>
        </w:rPr>
        <w:t>具有</w:t>
      </w:r>
      <w:r>
        <w:rPr>
          <w:rFonts w:hint="eastAsia" w:ascii="宋体" w:hAnsi="宋体" w:cs="宋体"/>
          <w:sz w:val="32"/>
          <w:szCs w:val="32"/>
          <w:lang w:bidi="ar"/>
        </w:rPr>
        <w:t>Ⅱ</w:t>
      </w:r>
      <w:r>
        <w:rPr>
          <w:sz w:val="32"/>
          <w:szCs w:val="32"/>
          <w:lang w:bidi="ar"/>
        </w:rPr>
        <w:t>级抗震应急功能保障医院服务范围的常住人口规模应不大于20万人。</w:t>
      </w:r>
    </w:p>
    <w:p>
      <w:pPr>
        <w:spacing w:line="576" w:lineRule="exact"/>
        <w:ind w:firstLine="640" w:firstLineChars="200"/>
        <w:rPr>
          <w:sz w:val="32"/>
          <w:szCs w:val="32"/>
          <w:u w:val="none"/>
          <w:lang w:bidi="ar"/>
        </w:rPr>
      </w:pPr>
      <w:r>
        <w:rPr>
          <w:rFonts w:hint="eastAsia" w:ascii="宋体" w:hAnsi="宋体" w:cs="宋体"/>
          <w:sz w:val="32"/>
          <w:szCs w:val="32"/>
          <w:lang w:bidi="ar"/>
        </w:rPr>
        <w:t>Ⅰ</w:t>
      </w:r>
      <w:r>
        <w:rPr>
          <w:sz w:val="32"/>
          <w:szCs w:val="32"/>
          <w:lang w:bidi="ar"/>
        </w:rPr>
        <w:t>级抗震应急功能保障医院共3处，</w:t>
      </w:r>
      <w:r>
        <w:rPr>
          <w:rFonts w:hint="eastAsia" w:ascii="宋体" w:hAnsi="宋体" w:cs="宋体"/>
          <w:sz w:val="32"/>
          <w:szCs w:val="32"/>
          <w:lang w:bidi="ar"/>
        </w:rPr>
        <w:t>Ⅱ</w:t>
      </w:r>
      <w:r>
        <w:rPr>
          <w:sz w:val="32"/>
          <w:szCs w:val="32"/>
          <w:lang w:bidi="ar"/>
        </w:rPr>
        <w:t>级抗震应急功能保障医院共13处。</w:t>
      </w:r>
      <w:r>
        <w:rPr>
          <w:rFonts w:hint="eastAsia" w:ascii="宋体" w:hAnsi="宋体" w:cs="宋体"/>
          <w:sz w:val="32"/>
          <w:szCs w:val="32"/>
          <w:u w:val="none"/>
          <w:lang w:bidi="ar"/>
        </w:rPr>
        <w:t>Ⅰ</w:t>
      </w:r>
      <w:r>
        <w:rPr>
          <w:sz w:val="32"/>
          <w:szCs w:val="32"/>
          <w:u w:val="none"/>
          <w:lang w:bidi="ar"/>
        </w:rPr>
        <w:t>级抗震应急功能保障医院中承担特别重要医疗任务的门诊、医技、住院用房，应按照特殊设防类的要求逐步进行改造建设；</w:t>
      </w:r>
      <w:r>
        <w:rPr>
          <w:rFonts w:hint="eastAsia" w:ascii="宋体" w:hAnsi="宋体" w:cs="宋体"/>
          <w:sz w:val="32"/>
          <w:szCs w:val="32"/>
          <w:u w:val="none"/>
          <w:lang w:bidi="ar"/>
        </w:rPr>
        <w:t>Ⅱ</w:t>
      </w:r>
      <w:r>
        <w:rPr>
          <w:sz w:val="32"/>
          <w:szCs w:val="32"/>
          <w:u w:val="none"/>
          <w:lang w:bidi="ar"/>
        </w:rPr>
        <w:t>级抗震应急功能保障医院的门诊、医技、住院用房，承担外科手术或急诊手术的医疗用房，应按照重点设防类的要求逐步进行改造建设。</w:t>
      </w:r>
    </w:p>
    <w:p>
      <w:pPr>
        <w:spacing w:line="576" w:lineRule="exact"/>
        <w:ind w:firstLine="640" w:firstLineChars="200"/>
        <w:rPr>
          <w:sz w:val="32"/>
          <w:szCs w:val="32"/>
          <w:u w:val="single"/>
          <w:lang w:bidi="ar"/>
        </w:rPr>
      </w:pPr>
      <w:r>
        <w:rPr>
          <w:sz w:val="32"/>
          <w:szCs w:val="32"/>
          <w:u w:val="none"/>
          <w:lang w:bidi="ar"/>
        </w:rPr>
        <w:t>遵循中长期应急避难场所对口三级综合医院、短期应急避难场所对口就近医疗设施的原则，优先利用三级或二级医院进行对口配置，并保证距离最短，以保障医疗设施为避难场所提供对口、便捷的服务。</w:t>
      </w:r>
      <w:r>
        <w:rPr>
          <w:sz w:val="32"/>
          <w:szCs w:val="32"/>
          <w:lang w:bidi="ar"/>
        </w:rPr>
        <w:t>（详见附</w:t>
      </w:r>
      <w:r>
        <w:rPr>
          <w:rFonts w:hint="eastAsia"/>
          <w:sz w:val="32"/>
          <w:szCs w:val="32"/>
          <w:lang w:val="en-US" w:eastAsia="zh-CN" w:bidi="ar"/>
        </w:rPr>
        <w:t>表10</w:t>
      </w:r>
      <w:r>
        <w:rPr>
          <w:sz w:val="32"/>
          <w:szCs w:val="32"/>
          <w:lang w:bidi="ar"/>
        </w:rPr>
        <w:t>）</w:t>
      </w:r>
    </w:p>
    <w:p>
      <w:pPr>
        <w:spacing w:line="576" w:lineRule="exact"/>
        <w:ind w:firstLine="640" w:firstLineChars="200"/>
        <w:rPr>
          <w:rFonts w:hint="eastAsia"/>
          <w:szCs w:val="32"/>
          <w:u w:val="none"/>
          <w:lang w:eastAsia="zh-CN"/>
        </w:rPr>
      </w:pPr>
      <w:r>
        <w:rPr>
          <w:rFonts w:hint="eastAsia"/>
          <w:szCs w:val="32"/>
          <w:u w:val="none"/>
          <w:lang w:val="en-US" w:eastAsia="zh-CN"/>
        </w:rPr>
        <w:t>3</w:t>
      </w:r>
      <w:r>
        <w:rPr>
          <w:rFonts w:hint="default"/>
          <w:szCs w:val="32"/>
          <w:u w:val="none"/>
          <w:lang w:val="en-US" w:eastAsia="zh-CN"/>
        </w:rPr>
        <w:t>．</w:t>
      </w:r>
      <w:r>
        <w:rPr>
          <w:rFonts w:hint="eastAsia"/>
          <w:szCs w:val="32"/>
          <w:u w:val="none"/>
        </w:rPr>
        <w:t>应急救灾医疗保障措施</w:t>
      </w:r>
      <w:r>
        <w:rPr>
          <w:rFonts w:hint="eastAsia"/>
          <w:szCs w:val="32"/>
          <w:u w:val="none"/>
          <w:lang w:eastAsia="zh-CN"/>
        </w:rPr>
        <w:t>。</w:t>
      </w:r>
    </w:p>
    <w:p>
      <w:pPr>
        <w:numPr>
          <w:ilvl w:val="0"/>
          <w:numId w:val="0"/>
        </w:numPr>
        <w:spacing w:line="576" w:lineRule="exact"/>
        <w:ind w:left="0" w:leftChars="0" w:firstLine="640" w:firstLineChars="200"/>
        <w:rPr>
          <w:rFonts w:hint="eastAsia" w:eastAsia="方正仿宋_GBK"/>
          <w:szCs w:val="32"/>
          <w:lang w:eastAsia="zh-CN" w:bidi="ar"/>
        </w:rPr>
      </w:pPr>
      <w:r>
        <w:rPr>
          <w:rFonts w:hint="default" w:ascii="Times New Roman" w:hAnsi="Times New Roman" w:eastAsia="方正仿宋_GBK" w:cs="Times New Roman"/>
          <w:kern w:val="2"/>
          <w:sz w:val="32"/>
          <w:szCs w:val="32"/>
          <w:lang w:val="en-US" w:eastAsia="zh-CN" w:bidi="ar"/>
        </w:rPr>
        <w:t>（1）</w:t>
      </w:r>
      <w:r>
        <w:rPr>
          <w:szCs w:val="32"/>
          <w:lang w:bidi="ar"/>
        </w:rPr>
        <w:t>医疗系统地震应急准备</w:t>
      </w:r>
      <w:r>
        <w:rPr>
          <w:rFonts w:hint="eastAsia"/>
          <w:szCs w:val="32"/>
          <w:lang w:eastAsia="zh-CN" w:bidi="ar"/>
        </w:rPr>
        <w:t>。</w:t>
      </w:r>
    </w:p>
    <w:p>
      <w:pPr>
        <w:spacing w:line="576" w:lineRule="exact"/>
        <w:ind w:firstLine="640" w:firstLineChars="200"/>
        <w:rPr>
          <w:szCs w:val="32"/>
          <w:lang w:bidi="ar"/>
        </w:rPr>
      </w:pPr>
      <w:r>
        <w:rPr>
          <w:szCs w:val="32"/>
          <w:lang w:bidi="ar"/>
        </w:rPr>
        <w:t>医院应该制定地震应急预案，加强应急教育和培训，制定应急保障对策，加强对医疗系统地震应急和医疗人员地震应急救援能力的建设。</w:t>
      </w:r>
    </w:p>
    <w:p>
      <w:pPr>
        <w:numPr>
          <w:ilvl w:val="0"/>
          <w:numId w:val="0"/>
        </w:numPr>
        <w:spacing w:line="576" w:lineRule="exact"/>
        <w:ind w:left="0" w:leftChars="0" w:firstLine="640" w:firstLineChars="200"/>
        <w:rPr>
          <w:rFonts w:hint="eastAsia" w:eastAsia="方正仿宋_GBK"/>
          <w:szCs w:val="32"/>
          <w:lang w:eastAsia="zh-CN" w:bidi="ar"/>
        </w:rPr>
      </w:pPr>
      <w:r>
        <w:rPr>
          <w:rFonts w:hint="default" w:ascii="Times New Roman" w:hAnsi="Times New Roman" w:eastAsia="方正仿宋_GBK" w:cs="Times New Roman"/>
          <w:kern w:val="2"/>
          <w:sz w:val="32"/>
          <w:szCs w:val="32"/>
          <w:lang w:val="en-US" w:eastAsia="zh-CN" w:bidi="ar"/>
        </w:rPr>
        <w:t>（2）</w:t>
      </w:r>
      <w:r>
        <w:rPr>
          <w:szCs w:val="32"/>
          <w:lang w:bidi="ar"/>
        </w:rPr>
        <w:t>重要医疗卫生设施保障</w:t>
      </w:r>
      <w:r>
        <w:rPr>
          <w:rFonts w:hint="eastAsia"/>
          <w:szCs w:val="32"/>
          <w:lang w:eastAsia="zh-CN" w:bidi="ar"/>
        </w:rPr>
        <w:t>。</w:t>
      </w:r>
    </w:p>
    <w:p>
      <w:pPr>
        <w:spacing w:line="576" w:lineRule="exact"/>
        <w:ind w:firstLine="640" w:firstLineChars="200"/>
        <w:rPr>
          <w:szCs w:val="32"/>
          <w:u w:val="none"/>
        </w:rPr>
      </w:pPr>
      <w:r>
        <w:rPr>
          <w:szCs w:val="32"/>
          <w:u w:val="none"/>
          <w:lang w:bidi="ar"/>
        </w:rPr>
        <w:t>医疗系统重要建筑物包括，卫生健康委办公楼、疾病预防控制中心办公楼、主要医院的门诊楼、血站、急救中心，抗震设防等级为重点设防类，设防要求按照国家法律法规及相关强制性标准进行确定。</w:t>
      </w:r>
    </w:p>
    <w:p>
      <w:pPr>
        <w:numPr>
          <w:ilvl w:val="0"/>
          <w:numId w:val="0"/>
        </w:numPr>
        <w:spacing w:line="576" w:lineRule="exact"/>
        <w:ind w:left="0" w:leftChars="0" w:firstLine="640" w:firstLineChars="200"/>
        <w:rPr>
          <w:rFonts w:hint="eastAsia" w:eastAsia="方正仿宋_GBK"/>
          <w:szCs w:val="32"/>
          <w:lang w:eastAsia="zh-CN" w:bidi="ar"/>
        </w:rPr>
      </w:pPr>
      <w:r>
        <w:rPr>
          <w:rFonts w:hint="default" w:ascii="Times New Roman" w:hAnsi="Times New Roman" w:eastAsia="方正仿宋_GBK" w:cs="Times New Roman"/>
          <w:kern w:val="2"/>
          <w:sz w:val="32"/>
          <w:szCs w:val="32"/>
          <w:lang w:val="en-US" w:eastAsia="zh-CN" w:bidi="ar"/>
        </w:rPr>
        <w:t>（3）</w:t>
      </w:r>
      <w:r>
        <w:rPr>
          <w:szCs w:val="32"/>
          <w:lang w:bidi="ar"/>
        </w:rPr>
        <w:t>应急医疗救护</w:t>
      </w:r>
      <w:r>
        <w:rPr>
          <w:rFonts w:hint="eastAsia"/>
          <w:szCs w:val="32"/>
          <w:lang w:eastAsia="zh-CN" w:bidi="ar"/>
        </w:rPr>
        <w:t>。</w:t>
      </w:r>
    </w:p>
    <w:p>
      <w:pPr>
        <w:spacing w:line="576" w:lineRule="exact"/>
        <w:ind w:firstLine="640" w:firstLineChars="200"/>
        <w:rPr>
          <w:szCs w:val="32"/>
        </w:rPr>
      </w:pPr>
      <w:r>
        <w:rPr>
          <w:szCs w:val="32"/>
          <w:lang w:bidi="ar"/>
        </w:rPr>
        <w:t>中长期应急避难场所内应设置应急医疗卫生救护区，安排三级医院作为对口援救。短期应急避难场所设置医疗救助站，可安排二级或三级医院作为对口援救。</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第五十三条  </w:t>
      </w:r>
      <w:bookmarkStart w:id="246" w:name="_Toc156307040"/>
      <w:bookmarkStart w:id="247" w:name="_Toc158038255"/>
      <w:bookmarkStart w:id="248" w:name="_Toc158038159"/>
      <w:r>
        <w:rPr>
          <w:rFonts w:hint="eastAsia" w:ascii="方正黑体_GBK" w:hAnsi="Times New Roman" w:eastAsia="方正黑体_GBK" w:cstheme="minorBidi"/>
          <w:b w:val="0"/>
          <w:bCs/>
          <w:kern w:val="0"/>
          <w:sz w:val="32"/>
          <w:szCs w:val="32"/>
          <w:lang w:val="en-US" w:eastAsia="zh-CN" w:bidi="ar-SA"/>
        </w:rPr>
        <w:t>应急通讯保障规划</w:t>
      </w:r>
      <w:bookmarkEnd w:id="246"/>
      <w:bookmarkEnd w:id="247"/>
      <w:bookmarkEnd w:id="248"/>
    </w:p>
    <w:p>
      <w:pPr>
        <w:spacing w:line="576" w:lineRule="exact"/>
        <w:ind w:firstLine="640" w:firstLineChars="200"/>
        <w:rPr>
          <w:rFonts w:hint="eastAsia"/>
          <w:szCs w:val="32"/>
          <w:u w:val="none"/>
          <w:lang w:eastAsia="zh-CN"/>
        </w:rPr>
      </w:pPr>
      <w:r>
        <w:rPr>
          <w:rFonts w:hint="eastAsia"/>
          <w:szCs w:val="32"/>
          <w:u w:val="none"/>
          <w:lang w:val="en-US" w:eastAsia="zh-CN"/>
        </w:rPr>
        <w:t>1</w:t>
      </w:r>
      <w:r>
        <w:rPr>
          <w:rFonts w:hint="default"/>
          <w:szCs w:val="32"/>
          <w:u w:val="none"/>
          <w:lang w:val="en-US" w:eastAsia="zh-CN"/>
        </w:rPr>
        <w:t>．</w:t>
      </w:r>
      <w:r>
        <w:rPr>
          <w:rFonts w:hint="eastAsia"/>
          <w:szCs w:val="32"/>
          <w:u w:val="none"/>
        </w:rPr>
        <w:t>通信防灾目标</w:t>
      </w:r>
      <w:r>
        <w:rPr>
          <w:rFonts w:hint="eastAsia"/>
          <w:szCs w:val="32"/>
          <w:u w:val="none"/>
          <w:lang w:eastAsia="zh-CN"/>
        </w:rPr>
        <w:t>。</w:t>
      </w:r>
    </w:p>
    <w:p>
      <w:pPr>
        <w:spacing w:line="576" w:lineRule="exact"/>
        <w:ind w:firstLine="640" w:firstLineChars="200"/>
        <w:rPr>
          <w:szCs w:val="32"/>
          <w:lang w:bidi="ar"/>
        </w:rPr>
      </w:pPr>
      <w:r>
        <w:rPr>
          <w:szCs w:val="32"/>
          <w:lang w:bidi="ar"/>
        </w:rPr>
        <w:t>通信系统相关单位应确保地震发生后应急管理局能与各级指挥机构建立专线电话，保证消防救援、医疗、生命线等部门指挥机构的通讯畅通。</w:t>
      </w:r>
    </w:p>
    <w:p>
      <w:pPr>
        <w:spacing w:line="576" w:lineRule="exact"/>
        <w:ind w:firstLine="640" w:firstLineChars="200"/>
        <w:rPr>
          <w:szCs w:val="32"/>
          <w:u w:val="none"/>
          <w:lang w:bidi="ar"/>
        </w:rPr>
      </w:pPr>
      <w:r>
        <w:rPr>
          <w:szCs w:val="32"/>
          <w:u w:val="none"/>
          <w:lang w:bidi="ar"/>
        </w:rPr>
        <w:t>在遭遇到小震、中震影响时，不影响通信系统的正常运作，对通信系统网络造成较小影响；</w:t>
      </w:r>
    </w:p>
    <w:p>
      <w:pPr>
        <w:spacing w:line="576" w:lineRule="exact"/>
        <w:ind w:firstLine="640" w:firstLineChars="200"/>
        <w:rPr>
          <w:szCs w:val="32"/>
          <w:u w:val="none"/>
          <w:lang w:bidi="ar"/>
        </w:rPr>
      </w:pPr>
      <w:r>
        <w:rPr>
          <w:szCs w:val="32"/>
          <w:u w:val="none"/>
          <w:lang w:bidi="ar"/>
        </w:rPr>
        <w:t>在遭遇到大震影响时，通</w:t>
      </w:r>
      <w:r>
        <w:rPr>
          <w:rFonts w:hint="eastAsia"/>
          <w:szCs w:val="32"/>
          <w:u w:val="none"/>
          <w:lang w:eastAsia="zh-CN" w:bidi="ar"/>
        </w:rPr>
        <w:t>信</w:t>
      </w:r>
      <w:r>
        <w:rPr>
          <w:szCs w:val="32"/>
          <w:u w:val="none"/>
          <w:lang w:bidi="ar"/>
        </w:rPr>
        <w:t>队伍能迅速搭建应急通</w:t>
      </w:r>
      <w:r>
        <w:rPr>
          <w:rFonts w:hint="eastAsia"/>
          <w:szCs w:val="32"/>
          <w:u w:val="none"/>
          <w:lang w:eastAsia="zh-CN" w:bidi="ar"/>
        </w:rPr>
        <w:t>信</w:t>
      </w:r>
      <w:r>
        <w:rPr>
          <w:szCs w:val="32"/>
          <w:u w:val="none"/>
          <w:lang w:bidi="ar"/>
        </w:rPr>
        <w:t>系统，不会中断或仅短暂中断应急指挥中心、消防、生命线工程系统专线通信线路。</w:t>
      </w:r>
    </w:p>
    <w:p>
      <w:pPr>
        <w:spacing w:line="576" w:lineRule="exact"/>
        <w:ind w:firstLine="640" w:firstLineChars="200"/>
        <w:rPr>
          <w:rFonts w:hint="eastAsia"/>
          <w:szCs w:val="32"/>
          <w:u w:val="none"/>
          <w:lang w:eastAsia="zh-CN"/>
        </w:rPr>
      </w:pPr>
      <w:r>
        <w:rPr>
          <w:rFonts w:hint="eastAsia"/>
          <w:szCs w:val="32"/>
          <w:u w:val="none"/>
          <w:lang w:val="en-US" w:eastAsia="zh-CN"/>
        </w:rPr>
        <w:t>2</w:t>
      </w:r>
      <w:r>
        <w:rPr>
          <w:rFonts w:hint="default"/>
          <w:szCs w:val="32"/>
          <w:u w:val="none"/>
          <w:lang w:val="en-US" w:eastAsia="zh-CN"/>
        </w:rPr>
        <w:t>．</w:t>
      </w:r>
      <w:r>
        <w:rPr>
          <w:rFonts w:hint="eastAsia"/>
          <w:szCs w:val="32"/>
          <w:u w:val="none"/>
        </w:rPr>
        <w:t>通信防灾空间布局</w:t>
      </w:r>
      <w:r>
        <w:rPr>
          <w:rFonts w:hint="eastAsia"/>
          <w:szCs w:val="32"/>
          <w:u w:val="none"/>
          <w:lang w:eastAsia="zh-CN"/>
        </w:rPr>
        <w:t>。</w:t>
      </w:r>
    </w:p>
    <w:p>
      <w:pPr>
        <w:spacing w:line="576" w:lineRule="exact"/>
        <w:ind w:firstLine="640" w:firstLineChars="200"/>
        <w:rPr>
          <w:szCs w:val="32"/>
        </w:rPr>
      </w:pPr>
      <w:r>
        <w:rPr>
          <w:szCs w:val="32"/>
          <w:lang w:bidi="ar"/>
        </w:rPr>
        <w:t>规划保留现状通信设施，规划新增6座通信端局、1座邮政端局，规划新增通信宏站431座、室分站206座。结合通讯及避难场所相关规划，进一步完善通信系统设施布局，提升避难场所通信覆盖，增强应急通信保障能力。（详见附</w:t>
      </w:r>
      <w:r>
        <w:rPr>
          <w:rFonts w:hint="eastAsia"/>
          <w:szCs w:val="32"/>
          <w:lang w:eastAsia="zh-CN" w:bidi="ar"/>
        </w:rPr>
        <w:t>表</w:t>
      </w:r>
      <w:r>
        <w:rPr>
          <w:rFonts w:hint="eastAsia"/>
          <w:szCs w:val="32"/>
          <w:lang w:val="en-US" w:eastAsia="zh-CN" w:bidi="ar"/>
        </w:rPr>
        <w:t>11</w:t>
      </w:r>
      <w:r>
        <w:rPr>
          <w:szCs w:val="32"/>
          <w:lang w:bidi="ar"/>
        </w:rPr>
        <w:t>）</w:t>
      </w:r>
    </w:p>
    <w:p>
      <w:pPr>
        <w:spacing w:line="576" w:lineRule="exact"/>
        <w:ind w:firstLine="640" w:firstLineChars="200"/>
        <w:rPr>
          <w:rFonts w:hint="eastAsia"/>
          <w:szCs w:val="32"/>
          <w:u w:val="none"/>
          <w:lang w:eastAsia="zh-CN"/>
        </w:rPr>
      </w:pPr>
      <w:r>
        <w:rPr>
          <w:rFonts w:hint="eastAsia"/>
          <w:szCs w:val="32"/>
          <w:u w:val="none"/>
          <w:lang w:val="en-US" w:eastAsia="zh-CN"/>
        </w:rPr>
        <w:t>3</w:t>
      </w:r>
      <w:r>
        <w:rPr>
          <w:rFonts w:hint="default"/>
          <w:szCs w:val="32"/>
          <w:u w:val="none"/>
          <w:lang w:val="en-US" w:eastAsia="zh-CN"/>
        </w:rPr>
        <w:t>．</w:t>
      </w:r>
      <w:r>
        <w:rPr>
          <w:rFonts w:hint="eastAsia"/>
          <w:szCs w:val="32"/>
          <w:u w:val="none"/>
        </w:rPr>
        <w:t>应急通信保障措施</w:t>
      </w:r>
      <w:r>
        <w:rPr>
          <w:rFonts w:hint="eastAsia"/>
          <w:szCs w:val="32"/>
          <w:u w:val="none"/>
          <w:lang w:eastAsia="zh-CN"/>
        </w:rPr>
        <w:t>。</w:t>
      </w:r>
    </w:p>
    <w:p>
      <w:pPr>
        <w:pStyle w:val="20"/>
        <w:numPr>
          <w:ilvl w:val="0"/>
          <w:numId w:val="0"/>
        </w:numPr>
        <w:spacing w:line="576" w:lineRule="exact"/>
        <w:ind w:left="0" w:leftChars="0" w:firstLine="640" w:firstLineChars="200"/>
        <w:rPr>
          <w:rFonts w:ascii="Times New Roman" w:hAnsi="Times New Roman" w:eastAsia="方正仿宋_GBK"/>
          <w:sz w:val="32"/>
          <w:szCs w:val="32"/>
          <w:lang w:bidi="ar"/>
        </w:rPr>
      </w:pPr>
      <w:bookmarkStart w:id="249" w:name="_Hlk113968690"/>
      <w:r>
        <w:rPr>
          <w:rFonts w:ascii="Times New Roman" w:hAnsi="Times New Roman" w:eastAsia="方正仿宋_GBK" w:cs="Times New Roman"/>
          <w:kern w:val="2"/>
          <w:sz w:val="32"/>
          <w:szCs w:val="32"/>
          <w:lang w:val="en-US" w:eastAsia="zh-CN" w:bidi="ar"/>
        </w:rPr>
        <w:t>（1）</w:t>
      </w:r>
      <w:r>
        <w:rPr>
          <w:rFonts w:ascii="Times New Roman" w:hAnsi="Times New Roman" w:eastAsia="方正仿宋_GBK"/>
          <w:sz w:val="32"/>
          <w:szCs w:val="32"/>
          <w:lang w:bidi="ar"/>
        </w:rPr>
        <w:t>统筹建立应急通信保障警地联合指挥部及专门的消防救援通信专线系统，建立专业的应急保障作战队伍，实行应急救援队伍一体管理体制，服从联合指挥部的统一领导、统一调度。</w:t>
      </w:r>
    </w:p>
    <w:bookmarkEnd w:id="249"/>
    <w:p>
      <w:pPr>
        <w:pStyle w:val="20"/>
        <w:numPr>
          <w:ilvl w:val="0"/>
          <w:numId w:val="0"/>
        </w:numPr>
        <w:spacing w:line="576" w:lineRule="exact"/>
        <w:ind w:left="0" w:leftChars="0" w:firstLine="640" w:firstLineChars="200"/>
        <w:rPr>
          <w:rFonts w:ascii="Times New Roman" w:hAnsi="Times New Roman" w:eastAsia="方正仿宋_GBK"/>
          <w:sz w:val="32"/>
          <w:szCs w:val="32"/>
          <w:lang w:bidi="ar"/>
        </w:rPr>
      </w:pPr>
      <w:bookmarkStart w:id="250" w:name="_Hlk113958112"/>
      <w:r>
        <w:rPr>
          <w:rFonts w:ascii="Times New Roman" w:hAnsi="Times New Roman" w:eastAsia="方正仿宋_GBK" w:cs="Times New Roman"/>
          <w:kern w:val="2"/>
          <w:sz w:val="32"/>
          <w:szCs w:val="32"/>
          <w:lang w:val="en-US" w:eastAsia="zh-CN" w:bidi="ar"/>
        </w:rPr>
        <w:t>（2）</w:t>
      </w:r>
      <w:r>
        <w:rPr>
          <w:rFonts w:ascii="Times New Roman" w:hAnsi="Times New Roman" w:eastAsia="方正仿宋_GBK"/>
          <w:sz w:val="32"/>
          <w:szCs w:val="32"/>
          <w:lang w:bidi="ar"/>
        </w:rPr>
        <w:t>灾害发生后，</w:t>
      </w:r>
      <w:bookmarkEnd w:id="250"/>
      <w:r>
        <w:rPr>
          <w:rFonts w:ascii="Times New Roman" w:hAnsi="Times New Roman" w:eastAsia="方正仿宋_GBK"/>
          <w:sz w:val="32"/>
          <w:szCs w:val="32"/>
          <w:lang w:bidi="ar"/>
        </w:rPr>
        <w:t>立即组织通信系统抢险救灾队伍，尽快恢复救灾指挥部与各级救灾部门间的通信联系。</w:t>
      </w:r>
    </w:p>
    <w:p>
      <w:pPr>
        <w:pStyle w:val="20"/>
        <w:numPr>
          <w:ilvl w:val="0"/>
          <w:numId w:val="0"/>
        </w:numPr>
        <w:spacing w:line="576" w:lineRule="exact"/>
        <w:ind w:left="0" w:leftChars="0" w:firstLine="640" w:firstLineChars="200"/>
        <w:rPr>
          <w:rFonts w:ascii="Times New Roman" w:hAnsi="Times New Roman" w:eastAsia="方正仿宋_GBK"/>
          <w:sz w:val="32"/>
          <w:szCs w:val="32"/>
          <w:lang w:bidi="ar"/>
        </w:rPr>
      </w:pPr>
      <w:r>
        <w:rPr>
          <w:rFonts w:ascii="Times New Roman" w:hAnsi="Times New Roman" w:eastAsia="方正仿宋_GBK" w:cs="Times New Roman"/>
          <w:kern w:val="2"/>
          <w:sz w:val="32"/>
          <w:szCs w:val="32"/>
          <w:lang w:val="en-US" w:eastAsia="zh-CN" w:bidi="ar"/>
        </w:rPr>
        <w:t>（3）</w:t>
      </w:r>
      <w:r>
        <w:rPr>
          <w:rFonts w:ascii="Times New Roman" w:hAnsi="Times New Roman" w:eastAsia="方正仿宋_GBK"/>
          <w:sz w:val="32"/>
          <w:szCs w:val="32"/>
          <w:lang w:bidi="ar"/>
        </w:rPr>
        <w:t>采用微波和卫星通信作为中继电路备份，也可利用无线自组网络技术多跳中转。</w:t>
      </w:r>
    </w:p>
    <w:p>
      <w:pPr>
        <w:pStyle w:val="20"/>
        <w:numPr>
          <w:ilvl w:val="0"/>
          <w:numId w:val="0"/>
        </w:numPr>
        <w:spacing w:line="576" w:lineRule="exact"/>
        <w:ind w:left="0" w:leftChars="0" w:firstLine="640" w:firstLineChars="200"/>
        <w:rPr>
          <w:rFonts w:ascii="Times New Roman" w:hAnsi="Times New Roman" w:eastAsia="方正仿宋_GBK"/>
          <w:sz w:val="32"/>
          <w:szCs w:val="32"/>
          <w:lang w:bidi="ar"/>
        </w:rPr>
      </w:pPr>
      <w:r>
        <w:rPr>
          <w:rFonts w:ascii="Times New Roman" w:hAnsi="Times New Roman" w:eastAsia="方正仿宋_GBK" w:cs="Times New Roman"/>
          <w:kern w:val="2"/>
          <w:sz w:val="32"/>
          <w:szCs w:val="32"/>
          <w:lang w:val="en-US" w:eastAsia="zh-CN" w:bidi="ar"/>
        </w:rPr>
        <w:t>（4）</w:t>
      </w:r>
      <w:r>
        <w:rPr>
          <w:rFonts w:ascii="Times New Roman" w:hAnsi="Times New Roman" w:eastAsia="方正仿宋_GBK"/>
          <w:sz w:val="32"/>
          <w:szCs w:val="32"/>
          <w:lang w:bidi="ar"/>
        </w:rPr>
        <w:t>灾害发生后，设置地面通信车、车载便携式卫星站，也可部署非路基通信网</w:t>
      </w:r>
      <w:r>
        <w:rPr>
          <w:rFonts w:hint="eastAsia" w:ascii="方正仿宋_GBK" w:hAnsi="方正仿宋_GBK" w:eastAsia="方正仿宋_GBK" w:cs="方正仿宋_GBK"/>
          <w:sz w:val="32"/>
          <w:szCs w:val="32"/>
          <w:lang w:bidi="ar"/>
        </w:rPr>
        <w:t>络，搭载“空中基站”，</w:t>
      </w:r>
      <w:r>
        <w:rPr>
          <w:rFonts w:ascii="Times New Roman" w:hAnsi="Times New Roman" w:eastAsia="方正仿宋_GBK"/>
          <w:sz w:val="32"/>
          <w:szCs w:val="32"/>
          <w:lang w:bidi="ar"/>
        </w:rPr>
        <w:t>协同运作。</w:t>
      </w:r>
    </w:p>
    <w:p>
      <w:pPr>
        <w:pStyle w:val="20"/>
        <w:numPr>
          <w:ilvl w:val="0"/>
          <w:numId w:val="0"/>
        </w:numPr>
        <w:spacing w:line="576" w:lineRule="exact"/>
        <w:ind w:left="0" w:leftChars="0" w:firstLine="640" w:firstLineChars="200"/>
        <w:rPr>
          <w:rFonts w:ascii="Times New Roman" w:hAnsi="Times New Roman" w:eastAsia="方正仿宋_GBK"/>
          <w:sz w:val="32"/>
          <w:szCs w:val="32"/>
          <w:lang w:bidi="ar"/>
        </w:rPr>
      </w:pPr>
      <w:r>
        <w:rPr>
          <w:rFonts w:ascii="Times New Roman" w:hAnsi="Times New Roman" w:eastAsia="方正仿宋_GBK" w:cs="Times New Roman"/>
          <w:kern w:val="2"/>
          <w:sz w:val="32"/>
          <w:szCs w:val="32"/>
          <w:lang w:val="en-US" w:eastAsia="zh-CN" w:bidi="ar"/>
        </w:rPr>
        <w:t>（5）</w:t>
      </w:r>
      <w:r>
        <w:rPr>
          <w:rFonts w:ascii="Times New Roman" w:hAnsi="Times New Roman" w:eastAsia="方正仿宋_GBK"/>
          <w:sz w:val="32"/>
          <w:szCs w:val="32"/>
          <w:lang w:bidi="ar"/>
        </w:rPr>
        <w:t>在应急避难场所设置免费电话，供避难的居民使用。</w:t>
      </w:r>
    </w:p>
    <w:p>
      <w:pPr>
        <w:spacing w:line="576" w:lineRule="exact"/>
        <w:rPr>
          <w:szCs w:val="32"/>
        </w:rPr>
      </w:pPr>
    </w:p>
    <w:p>
      <w:pPr>
        <w:pStyle w:val="4"/>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ascii="方正黑体_GBK"/>
          <w:bCs/>
        </w:rPr>
      </w:pPr>
      <w:r>
        <w:rPr>
          <w:rFonts w:hint="eastAsia" w:ascii="方正黑体_GBK" w:hAnsi="Times New Roman" w:eastAsia="方正黑体_GBK" w:cstheme="minorBidi"/>
          <w:bCs/>
          <w:kern w:val="0"/>
          <w:sz w:val="32"/>
          <w:szCs w:val="32"/>
          <w:lang w:val="en-US" w:eastAsia="zh-CN" w:bidi="ar-SA"/>
        </w:rPr>
        <w:t>第十一章</w:t>
      </w:r>
      <w:r>
        <w:rPr>
          <w:rFonts w:ascii="方正黑体_GBK"/>
          <w:bCs/>
        </w:rPr>
        <w:t xml:space="preserve">  </w:t>
      </w:r>
      <w:bookmarkStart w:id="251" w:name="_Toc158038256"/>
      <w:bookmarkStart w:id="252" w:name="_Toc158038160"/>
      <w:bookmarkStart w:id="253" w:name="_Toc156307041"/>
      <w:r>
        <w:rPr>
          <w:rFonts w:hint="eastAsia" w:ascii="方正黑体_GBK"/>
          <w:bCs/>
        </w:rPr>
        <w:t>救灾物资</w:t>
      </w:r>
      <w:r>
        <w:rPr>
          <w:rFonts w:ascii="方正黑体_GBK"/>
          <w:bCs/>
        </w:rPr>
        <w:t>与消防保障</w:t>
      </w:r>
      <w:bookmarkEnd w:id="251"/>
      <w:bookmarkEnd w:id="252"/>
      <w:bookmarkEnd w:id="253"/>
    </w:p>
    <w:p>
      <w:pPr>
        <w:keepNext/>
        <w:spacing w:line="576" w:lineRule="exact"/>
        <w:ind w:firstLine="640" w:firstLineChars="200"/>
        <w:rPr>
          <w:lang w:val="zh-CN"/>
        </w:rPr>
      </w:pP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第五十四条  </w:t>
      </w:r>
      <w:bookmarkStart w:id="254" w:name="_Toc158038161"/>
      <w:bookmarkStart w:id="255" w:name="_Toc156307042"/>
      <w:bookmarkStart w:id="256" w:name="_Toc158038257"/>
      <w:r>
        <w:rPr>
          <w:rFonts w:hint="eastAsia" w:ascii="方正黑体_GBK" w:hAnsi="Times New Roman" w:eastAsia="方正黑体_GBK" w:cstheme="minorBidi"/>
          <w:b w:val="0"/>
          <w:bCs/>
          <w:kern w:val="0"/>
          <w:sz w:val="32"/>
          <w:szCs w:val="32"/>
          <w:lang w:val="en-US" w:eastAsia="zh-CN" w:bidi="ar-SA"/>
        </w:rPr>
        <w:t>区域抗震救灾协调</w:t>
      </w:r>
      <w:bookmarkEnd w:id="254"/>
      <w:bookmarkEnd w:id="255"/>
      <w:bookmarkEnd w:id="256"/>
    </w:p>
    <w:p>
      <w:pPr>
        <w:spacing w:line="576" w:lineRule="exact"/>
        <w:ind w:firstLine="640" w:firstLineChars="200"/>
        <w:rPr>
          <w:szCs w:val="32"/>
        </w:rPr>
      </w:pPr>
      <w:r>
        <w:rPr>
          <w:szCs w:val="32"/>
        </w:rPr>
        <w:t>考虑大地震或特大地震下外部力量救援的需求，加强綦江区与其他省、市等地区的交通及救灾资源协调。东部与南川区，南部与贵州省，西部与江津区，北部与巴南区相连。</w:t>
      </w:r>
    </w:p>
    <w:p>
      <w:pPr>
        <w:spacing w:line="576" w:lineRule="exact"/>
        <w:ind w:firstLine="640" w:firstLineChars="200"/>
        <w:rPr>
          <w:szCs w:val="32"/>
        </w:rPr>
      </w:pPr>
      <w:r>
        <w:rPr>
          <w:szCs w:val="32"/>
        </w:rPr>
        <w:t>主要支援项目包括提供、筹措物资（食品、饮料水、生活必需品、医疗、防疫、紧急抢修设施等），安排、派遣应急工作所需人员（抢救、救助、紧急抢修、应急危险度评判师、志愿者等）。</w:t>
      </w:r>
    </w:p>
    <w:p>
      <w:pPr>
        <w:spacing w:line="576" w:lineRule="exact"/>
        <w:ind w:firstLine="640" w:firstLineChars="200"/>
        <w:rPr>
          <w:szCs w:val="32"/>
        </w:rPr>
      </w:pPr>
      <w:r>
        <w:rPr>
          <w:szCs w:val="32"/>
        </w:rPr>
        <w:t>结合綦江区交通体系特点，形成水、陆、空三维城市综合救灾通道格局。水上通道以綦江河为主要干航道，建设航运枢纽，建立水上救援网络通道；陆上通道以渝黔高速、江綦高速、綦万高速、G210、G353、S104、S307、渝贵铁路、川黔铁路、三万南铁路等为主体建立陆上救援网络通道；空中通道以江南机场，横山、古剑山、高庙、石壕直升机停机坪建立空中救援网络。</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第五十五条  </w:t>
      </w:r>
      <w:bookmarkStart w:id="257" w:name="_Toc158038162"/>
      <w:bookmarkStart w:id="258" w:name="_Toc156307043"/>
      <w:bookmarkStart w:id="259" w:name="_Toc158038258"/>
      <w:r>
        <w:rPr>
          <w:rFonts w:hint="eastAsia" w:ascii="方正黑体_GBK" w:hAnsi="Times New Roman" w:eastAsia="方正黑体_GBK" w:cstheme="minorBidi"/>
          <w:b w:val="0"/>
          <w:bCs/>
          <w:kern w:val="0"/>
          <w:sz w:val="32"/>
          <w:szCs w:val="32"/>
          <w:lang w:val="en-US" w:eastAsia="zh-CN" w:bidi="ar-SA"/>
        </w:rPr>
        <w:t>抗震指挥中心布局</w:t>
      </w:r>
      <w:bookmarkEnd w:id="257"/>
      <w:bookmarkEnd w:id="258"/>
      <w:bookmarkEnd w:id="259"/>
    </w:p>
    <w:p>
      <w:pPr>
        <w:spacing w:line="576" w:lineRule="exact"/>
        <w:ind w:firstLine="640" w:firstLineChars="200"/>
        <w:rPr>
          <w:szCs w:val="32"/>
        </w:rPr>
      </w:pPr>
      <w:r>
        <w:rPr>
          <w:szCs w:val="32"/>
        </w:rPr>
        <w:t>綦江区共设1个区级抗震救灾指挥中心，即綦江区应急管理局，设置6个街道级抗震救灾指挥中心，分别是新盛街道办、文龙街道办、通惠街道办、古南街道办、三江街道办、永城镇政府。</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第五十六条  </w:t>
      </w:r>
      <w:bookmarkStart w:id="260" w:name="_Toc156307044"/>
      <w:bookmarkStart w:id="261" w:name="_Toc158038163"/>
      <w:bookmarkStart w:id="262" w:name="_Toc158038259"/>
      <w:r>
        <w:rPr>
          <w:rFonts w:hint="eastAsia" w:ascii="方正黑体_GBK" w:hAnsi="Times New Roman" w:eastAsia="方正黑体_GBK" w:cstheme="minorBidi"/>
          <w:b w:val="0"/>
          <w:bCs/>
          <w:kern w:val="0"/>
          <w:sz w:val="32"/>
          <w:szCs w:val="32"/>
          <w:lang w:val="en-US" w:eastAsia="zh-CN" w:bidi="ar-SA"/>
        </w:rPr>
        <w:t>物资保障空间布局</w:t>
      </w:r>
      <w:bookmarkEnd w:id="260"/>
      <w:bookmarkEnd w:id="261"/>
      <w:bookmarkEnd w:id="262"/>
    </w:p>
    <w:p>
      <w:pPr>
        <w:pStyle w:val="23"/>
        <w:numPr>
          <w:ilvl w:val="0"/>
          <w:numId w:val="0"/>
        </w:numPr>
        <w:spacing w:line="576" w:lineRule="exact"/>
        <w:ind w:left="0" w:leftChars="0" w:firstLine="640" w:firstLineChars="200"/>
        <w:rPr>
          <w:szCs w:val="32"/>
        </w:rPr>
      </w:pPr>
      <w:r>
        <w:rPr>
          <w:rFonts w:hint="default" w:ascii="Times New Roman" w:hAnsi="Times New Roman" w:eastAsia="方正仿宋_GBK" w:cs="Times New Roman"/>
          <w:kern w:val="2"/>
          <w:sz w:val="32"/>
          <w:szCs w:val="32"/>
          <w:lang w:val="en-US" w:eastAsia="zh-CN" w:bidi="ar-SA"/>
        </w:rPr>
        <w:t>1</w:t>
      </w:r>
      <w:r>
        <w:rPr>
          <w:rFonts w:hint="default" w:ascii="Times New Roman" w:hAnsi="Times New Roman" w:eastAsia="方正仿宋_GBK" w:cs="Times New Roman"/>
          <w:b w:val="0"/>
          <w:bCs w:val="0"/>
          <w:sz w:val="32"/>
          <w:szCs w:val="32"/>
          <w:lang w:val="en-US" w:eastAsia="zh-CN"/>
        </w:rPr>
        <w:t>．</w:t>
      </w:r>
      <w:r>
        <w:rPr>
          <w:szCs w:val="32"/>
        </w:rPr>
        <w:t>结合物流中心体系建设和仓储用地规划，尽量利用现有与规划的物流基地和大型物资储备仓库，预先规划好救灾物资的储备场地，可提高物资中转和配送的效率。</w:t>
      </w:r>
    </w:p>
    <w:p>
      <w:pPr>
        <w:pStyle w:val="23"/>
        <w:numPr>
          <w:ilvl w:val="0"/>
          <w:numId w:val="0"/>
        </w:numPr>
        <w:spacing w:line="576" w:lineRule="exact"/>
        <w:ind w:left="0" w:leftChars="0" w:firstLine="640" w:firstLineChars="200"/>
        <w:rPr>
          <w:szCs w:val="32"/>
        </w:rPr>
      </w:pPr>
      <w:r>
        <w:rPr>
          <w:rFonts w:hint="default" w:ascii="Times New Roman" w:hAnsi="Times New Roman" w:eastAsia="方正仿宋_GBK" w:cs="Times New Roman"/>
          <w:kern w:val="2"/>
          <w:sz w:val="32"/>
          <w:szCs w:val="32"/>
          <w:lang w:val="en-US" w:eastAsia="zh-CN" w:bidi="ar-SA"/>
        </w:rPr>
        <w:t>2</w:t>
      </w:r>
      <w:r>
        <w:rPr>
          <w:rFonts w:hint="default" w:ascii="Times New Roman" w:hAnsi="Times New Roman" w:eastAsia="方正仿宋_GBK" w:cs="Times New Roman"/>
          <w:b w:val="0"/>
          <w:bCs w:val="0"/>
          <w:sz w:val="32"/>
          <w:szCs w:val="32"/>
          <w:lang w:val="en-US" w:eastAsia="zh-CN"/>
        </w:rPr>
        <w:t>．</w:t>
      </w:r>
      <w:r>
        <w:rPr>
          <w:szCs w:val="32"/>
        </w:rPr>
        <w:t>在中长期避难场所和大型的短期避难场所划定固定区域作为震时物资存储用地。</w:t>
      </w:r>
    </w:p>
    <w:p>
      <w:pPr>
        <w:pStyle w:val="23"/>
        <w:numPr>
          <w:ilvl w:val="0"/>
          <w:numId w:val="0"/>
        </w:numPr>
        <w:spacing w:line="576" w:lineRule="exact"/>
        <w:ind w:left="0" w:leftChars="0" w:firstLine="640" w:firstLineChars="200"/>
        <w:rPr>
          <w:szCs w:val="32"/>
        </w:rPr>
      </w:pPr>
      <w:r>
        <w:rPr>
          <w:rFonts w:hint="default" w:ascii="Times New Roman" w:hAnsi="Times New Roman" w:eastAsia="方正仿宋_GBK" w:cs="Times New Roman"/>
          <w:kern w:val="2"/>
          <w:sz w:val="32"/>
          <w:szCs w:val="32"/>
          <w:lang w:val="en-US" w:eastAsia="zh-CN" w:bidi="ar-SA"/>
        </w:rPr>
        <w:t>3</w:t>
      </w:r>
      <w:r>
        <w:rPr>
          <w:rFonts w:hint="default" w:ascii="Times New Roman" w:hAnsi="Times New Roman" w:eastAsia="方正仿宋_GBK" w:cs="Times New Roman"/>
          <w:b w:val="0"/>
          <w:bCs w:val="0"/>
          <w:sz w:val="32"/>
          <w:szCs w:val="32"/>
          <w:lang w:val="en-US" w:eastAsia="zh-CN"/>
        </w:rPr>
        <w:t>．</w:t>
      </w:r>
      <w:r>
        <w:rPr>
          <w:szCs w:val="32"/>
        </w:rPr>
        <w:t>在</w:t>
      </w:r>
      <w:r>
        <w:rPr>
          <w:spacing w:val="-6"/>
          <w:szCs w:val="32"/>
        </w:rPr>
        <w:t>城市主要出入口预留空旷场地作为救灾物资</w:t>
      </w:r>
      <w:r>
        <w:rPr>
          <w:szCs w:val="32"/>
        </w:rPr>
        <w:t>中转用地。</w:t>
      </w:r>
    </w:p>
    <w:p>
      <w:pPr>
        <w:pStyle w:val="23"/>
        <w:numPr>
          <w:ilvl w:val="0"/>
          <w:numId w:val="0"/>
        </w:numPr>
        <w:spacing w:line="576" w:lineRule="exact"/>
        <w:ind w:left="0" w:leftChars="0" w:firstLine="640" w:firstLineChars="200"/>
        <w:rPr>
          <w:szCs w:val="32"/>
        </w:rPr>
      </w:pPr>
      <w:r>
        <w:rPr>
          <w:rFonts w:hint="default" w:ascii="Times New Roman" w:hAnsi="Times New Roman" w:eastAsia="方正仿宋_GBK" w:cs="Times New Roman"/>
          <w:kern w:val="2"/>
          <w:sz w:val="32"/>
          <w:szCs w:val="32"/>
          <w:lang w:val="en-US" w:eastAsia="zh-CN" w:bidi="ar-SA"/>
        </w:rPr>
        <w:t>4</w:t>
      </w:r>
      <w:r>
        <w:rPr>
          <w:rFonts w:hint="default" w:ascii="Times New Roman" w:hAnsi="Times New Roman" w:eastAsia="方正仿宋_GBK" w:cs="Times New Roman"/>
          <w:b w:val="0"/>
          <w:bCs w:val="0"/>
          <w:sz w:val="32"/>
          <w:szCs w:val="32"/>
          <w:lang w:val="en-US" w:eastAsia="zh-CN"/>
        </w:rPr>
        <w:t>．</w:t>
      </w:r>
      <w:r>
        <w:rPr>
          <w:szCs w:val="32"/>
        </w:rPr>
        <w:t>逐步改善和完善本系统的通信联络、水电保障、安全防卫等基础设施，保障地震与其他灾害发生时的粮食调配与供应。</w:t>
      </w:r>
    </w:p>
    <w:p>
      <w:pPr>
        <w:pStyle w:val="23"/>
        <w:numPr>
          <w:ilvl w:val="0"/>
          <w:numId w:val="0"/>
        </w:numPr>
        <w:spacing w:line="576" w:lineRule="exact"/>
        <w:ind w:left="0" w:leftChars="0" w:firstLine="640" w:firstLineChars="200"/>
        <w:rPr>
          <w:szCs w:val="32"/>
        </w:rPr>
      </w:pPr>
      <w:r>
        <w:rPr>
          <w:rFonts w:hint="default" w:ascii="Times New Roman" w:hAnsi="Times New Roman" w:eastAsia="方正仿宋_GBK" w:cs="Times New Roman"/>
          <w:kern w:val="2"/>
          <w:sz w:val="32"/>
          <w:szCs w:val="32"/>
          <w:lang w:val="en-US" w:eastAsia="zh-CN" w:bidi="ar-SA"/>
        </w:rPr>
        <w:t>5</w:t>
      </w:r>
      <w:r>
        <w:rPr>
          <w:rFonts w:hint="default" w:ascii="Times New Roman" w:hAnsi="Times New Roman" w:eastAsia="方正仿宋_GBK" w:cs="Times New Roman"/>
          <w:b w:val="0"/>
          <w:bCs w:val="0"/>
          <w:sz w:val="32"/>
          <w:szCs w:val="32"/>
          <w:lang w:val="en-US" w:eastAsia="zh-CN"/>
        </w:rPr>
        <w:t>．</w:t>
      </w:r>
      <w:r>
        <w:rPr>
          <w:szCs w:val="32"/>
        </w:rPr>
        <w:t>救灾物资储备库</w:t>
      </w:r>
      <w:r>
        <w:rPr>
          <w:rFonts w:hint="eastAsia"/>
          <w:szCs w:val="32"/>
          <w:lang w:eastAsia="zh-CN"/>
        </w:rPr>
        <w:t>。</w:t>
      </w:r>
    </w:p>
    <w:p>
      <w:pPr>
        <w:spacing w:line="576" w:lineRule="exact"/>
        <w:ind w:firstLine="640" w:firstLineChars="200"/>
        <w:rPr>
          <w:szCs w:val="32"/>
          <w:u w:val="none"/>
        </w:rPr>
      </w:pPr>
      <w:r>
        <w:rPr>
          <w:szCs w:val="32"/>
          <w:u w:val="none"/>
        </w:rPr>
        <w:t>根据民政部的《救灾物资储备库建设标准》设置设立区级救灾物资储备库以及街道级救灾物资储备库。当利用周边设施进行应急物资储备时，与避难场所的距离不应大于500米。宜优先利用应急避难场地内原有管理区、科教区、地下工程的仓库，设立或新建必要的储存粮食库、消防器具库房、医疗卫生设备间等。</w:t>
      </w:r>
    </w:p>
    <w:p>
      <w:pPr>
        <w:pStyle w:val="23"/>
        <w:numPr>
          <w:ilvl w:val="0"/>
          <w:numId w:val="0"/>
        </w:numPr>
        <w:spacing w:line="576" w:lineRule="exact"/>
        <w:ind w:left="0" w:leftChars="0" w:firstLine="640" w:firstLineChars="200"/>
        <w:rPr>
          <w:szCs w:val="32"/>
        </w:rPr>
      </w:pPr>
      <w:r>
        <w:rPr>
          <w:rFonts w:hint="default" w:ascii="Times New Roman" w:hAnsi="Times New Roman" w:eastAsia="方正仿宋_GBK" w:cs="Times New Roman"/>
          <w:kern w:val="2"/>
          <w:sz w:val="32"/>
          <w:szCs w:val="32"/>
          <w:lang w:val="en-US" w:eastAsia="zh-CN" w:bidi="ar-SA"/>
        </w:rPr>
        <w:t>6</w:t>
      </w:r>
      <w:r>
        <w:rPr>
          <w:rFonts w:hint="default" w:ascii="Times New Roman" w:hAnsi="Times New Roman" w:eastAsia="方正仿宋_GBK" w:cs="Times New Roman"/>
          <w:b w:val="0"/>
          <w:bCs w:val="0"/>
          <w:sz w:val="32"/>
          <w:szCs w:val="32"/>
          <w:lang w:val="en-US" w:eastAsia="zh-CN"/>
        </w:rPr>
        <w:t>．</w:t>
      </w:r>
      <w:r>
        <w:rPr>
          <w:szCs w:val="32"/>
        </w:rPr>
        <w:t>粮食储备库</w:t>
      </w:r>
      <w:r>
        <w:rPr>
          <w:rFonts w:hint="eastAsia"/>
          <w:szCs w:val="32"/>
          <w:lang w:eastAsia="zh-CN"/>
        </w:rPr>
        <w:t>。</w:t>
      </w:r>
    </w:p>
    <w:p>
      <w:pPr>
        <w:spacing w:line="576" w:lineRule="exact"/>
        <w:ind w:firstLine="640" w:firstLineChars="200"/>
        <w:rPr>
          <w:szCs w:val="32"/>
        </w:rPr>
      </w:pPr>
      <w:r>
        <w:rPr>
          <w:szCs w:val="32"/>
        </w:rPr>
        <w:t>根据</w:t>
      </w:r>
      <w:r>
        <w:rPr>
          <w:rFonts w:hint="eastAsia"/>
          <w:szCs w:val="32"/>
        </w:rPr>
        <w:t>国家粮食和物资储备局</w:t>
      </w:r>
      <w:r>
        <w:rPr>
          <w:szCs w:val="32"/>
        </w:rPr>
        <w:t>印发的《成品粮应急储备库建设设计要点》，粮食储备库规模满足所在城市常住人口应急供应15天口粮的要求，人均口粮消费标准按170kg/年考虑。规划至2035年綦江区中心城区规划人口规模为50.70万人，粮食储备库规模应满足=50.70万×15天×500g/天=3803吨。</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第五十七条  </w:t>
      </w:r>
      <w:bookmarkStart w:id="263" w:name="_Toc158038260"/>
      <w:bookmarkStart w:id="264" w:name="_Toc158038164"/>
      <w:bookmarkStart w:id="265" w:name="_Toc156307045"/>
      <w:r>
        <w:rPr>
          <w:rFonts w:hint="eastAsia" w:ascii="方正黑体_GBK" w:hAnsi="Times New Roman" w:eastAsia="方正黑体_GBK" w:cstheme="minorBidi"/>
          <w:b w:val="0"/>
          <w:bCs/>
          <w:kern w:val="0"/>
          <w:sz w:val="32"/>
          <w:szCs w:val="32"/>
          <w:lang w:val="en-US" w:eastAsia="zh-CN" w:bidi="ar-SA"/>
        </w:rPr>
        <w:t>物资应急准备</w:t>
      </w:r>
      <w:bookmarkEnd w:id="263"/>
      <w:bookmarkEnd w:id="264"/>
      <w:bookmarkEnd w:id="265"/>
    </w:p>
    <w:p>
      <w:pPr>
        <w:pStyle w:val="23"/>
        <w:numPr>
          <w:ilvl w:val="0"/>
          <w:numId w:val="0"/>
        </w:numPr>
        <w:spacing w:line="576" w:lineRule="exact"/>
        <w:ind w:left="0" w:leftChars="0" w:firstLine="640" w:firstLineChars="200"/>
        <w:rPr>
          <w:szCs w:val="32"/>
        </w:rPr>
      </w:pPr>
      <w:r>
        <w:rPr>
          <w:rFonts w:hint="default" w:ascii="Times New Roman" w:hAnsi="Times New Roman" w:eastAsia="方正仿宋_GBK" w:cs="Times New Roman"/>
          <w:kern w:val="2"/>
          <w:sz w:val="32"/>
          <w:szCs w:val="32"/>
          <w:lang w:val="en-US" w:eastAsia="zh-CN" w:bidi="ar-SA"/>
        </w:rPr>
        <w:t>1</w:t>
      </w:r>
      <w:r>
        <w:rPr>
          <w:rFonts w:hint="default" w:ascii="Times New Roman" w:hAnsi="Times New Roman" w:eastAsia="方正仿宋_GBK" w:cs="Times New Roman"/>
          <w:b w:val="0"/>
          <w:bCs w:val="0"/>
          <w:sz w:val="32"/>
          <w:szCs w:val="32"/>
          <w:lang w:val="en-US" w:eastAsia="zh-CN"/>
        </w:rPr>
        <w:t>．</w:t>
      </w:r>
      <w:r>
        <w:rPr>
          <w:szCs w:val="32"/>
        </w:rPr>
        <w:t>制定本系统抗御地震的应急预案和对策措施。建立与周边地区在灾害条件下的相互支持和协作关系。远期联合建立区域性备灾中心，制定地震紧急救援的大型设备、震后五类常用药品的调配和供应制度。</w:t>
      </w:r>
    </w:p>
    <w:p>
      <w:pPr>
        <w:pStyle w:val="23"/>
        <w:numPr>
          <w:ilvl w:val="0"/>
          <w:numId w:val="0"/>
        </w:numPr>
        <w:spacing w:line="576" w:lineRule="exact"/>
        <w:ind w:left="0" w:leftChars="0" w:firstLine="640" w:firstLineChars="200"/>
        <w:rPr>
          <w:spacing w:val="6"/>
          <w:w w:val="102"/>
          <w:szCs w:val="32"/>
        </w:rPr>
      </w:pPr>
      <w:r>
        <w:rPr>
          <w:rFonts w:hint="default" w:ascii="Times New Roman" w:hAnsi="Times New Roman" w:eastAsia="方正仿宋_GBK" w:cs="Times New Roman"/>
          <w:kern w:val="2"/>
          <w:sz w:val="32"/>
          <w:szCs w:val="32"/>
          <w:lang w:val="en-US" w:eastAsia="zh-CN" w:bidi="ar-SA"/>
        </w:rPr>
        <w:t>2</w:t>
      </w:r>
      <w:r>
        <w:rPr>
          <w:rFonts w:hint="default" w:ascii="Times New Roman" w:hAnsi="Times New Roman" w:eastAsia="方正仿宋_GBK" w:cs="Times New Roman"/>
          <w:b w:val="0"/>
          <w:bCs w:val="0"/>
          <w:sz w:val="32"/>
          <w:szCs w:val="32"/>
          <w:lang w:val="en-US" w:eastAsia="zh-CN"/>
        </w:rPr>
        <w:t>．</w:t>
      </w:r>
      <w:r>
        <w:rPr>
          <w:szCs w:val="32"/>
        </w:rPr>
        <w:t>维持城市物资供应和保障的应急对策，以及城市生活物资储备对策，抢险救灾物资的保障对策和使用要求。与有关企业签订协议，保障震后应急救援物资、生活必需品和应急处置装备的生产、供给。震后在确认建筑物没有发生中等以上破坏的情况</w:t>
      </w:r>
      <w:r>
        <w:rPr>
          <w:spacing w:val="6"/>
          <w:w w:val="102"/>
          <w:szCs w:val="32"/>
        </w:rPr>
        <w:t>下，震后政府可征用当地大型物流企业的仓库作为临时物资储备点。</w:t>
      </w:r>
    </w:p>
    <w:p>
      <w:pPr>
        <w:pStyle w:val="23"/>
        <w:numPr>
          <w:ilvl w:val="0"/>
          <w:numId w:val="0"/>
        </w:numPr>
        <w:spacing w:line="576" w:lineRule="exact"/>
        <w:ind w:left="0" w:leftChars="0" w:firstLine="640" w:firstLineChars="200"/>
        <w:rPr>
          <w:szCs w:val="32"/>
        </w:rPr>
      </w:pPr>
      <w:r>
        <w:rPr>
          <w:rFonts w:hint="default" w:ascii="Times New Roman" w:hAnsi="Times New Roman" w:eastAsia="方正仿宋_GBK" w:cs="Times New Roman"/>
          <w:kern w:val="2"/>
          <w:sz w:val="32"/>
          <w:szCs w:val="32"/>
          <w:lang w:val="en-US" w:eastAsia="zh-CN" w:bidi="ar-SA"/>
        </w:rPr>
        <w:t>3</w:t>
      </w:r>
      <w:r>
        <w:rPr>
          <w:rFonts w:hint="default" w:ascii="Times New Roman" w:hAnsi="Times New Roman" w:eastAsia="方正仿宋_GBK" w:cs="Times New Roman"/>
          <w:b w:val="0"/>
          <w:bCs w:val="0"/>
          <w:sz w:val="32"/>
          <w:szCs w:val="32"/>
          <w:lang w:val="en-US" w:eastAsia="zh-CN"/>
        </w:rPr>
        <w:t>．</w:t>
      </w:r>
      <w:r>
        <w:rPr>
          <w:szCs w:val="32"/>
        </w:rPr>
        <w:t>加强各粮库的运输能力，保证震后粮食的顺利发放。</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第五十八条  </w:t>
      </w:r>
      <w:bookmarkStart w:id="266" w:name="_Toc158038261"/>
      <w:bookmarkStart w:id="267" w:name="_Toc158038165"/>
      <w:bookmarkStart w:id="268" w:name="_Toc156307046"/>
      <w:r>
        <w:rPr>
          <w:rFonts w:hint="eastAsia" w:ascii="方正黑体_GBK" w:hAnsi="Times New Roman" w:eastAsia="方正黑体_GBK" w:cstheme="minorBidi"/>
          <w:b w:val="0"/>
          <w:bCs/>
          <w:kern w:val="0"/>
          <w:sz w:val="32"/>
          <w:szCs w:val="32"/>
          <w:lang w:val="en-US" w:eastAsia="zh-CN" w:bidi="ar-SA"/>
        </w:rPr>
        <w:t>消防系统救灾保障</w:t>
      </w:r>
      <w:bookmarkEnd w:id="266"/>
      <w:bookmarkEnd w:id="267"/>
      <w:bookmarkEnd w:id="268"/>
    </w:p>
    <w:p>
      <w:pPr>
        <w:spacing w:line="576" w:lineRule="exact"/>
        <w:ind w:firstLine="640" w:firstLineChars="200"/>
        <w:rPr>
          <w:rFonts w:hint="eastAsia"/>
          <w:szCs w:val="32"/>
          <w:u w:val="none"/>
          <w:lang w:val="en-US" w:eastAsia="zh-CN"/>
        </w:rPr>
      </w:pPr>
      <w:bookmarkStart w:id="269" w:name="_Hlk113969298"/>
      <w:r>
        <w:rPr>
          <w:rFonts w:hint="eastAsia"/>
          <w:szCs w:val="32"/>
          <w:u w:val="none"/>
          <w:lang w:val="en-US" w:eastAsia="zh-CN"/>
        </w:rPr>
        <w:t>1</w:t>
      </w:r>
      <w:r>
        <w:rPr>
          <w:rFonts w:hint="default"/>
          <w:szCs w:val="32"/>
          <w:u w:val="none"/>
          <w:lang w:val="en-US" w:eastAsia="zh-CN"/>
        </w:rPr>
        <w:t>．</w:t>
      </w:r>
      <w:r>
        <w:rPr>
          <w:rFonts w:hint="eastAsia"/>
          <w:szCs w:val="32"/>
          <w:u w:val="none"/>
        </w:rPr>
        <w:t>城市消防站</w:t>
      </w:r>
      <w:r>
        <w:rPr>
          <w:rFonts w:hint="eastAsia"/>
          <w:szCs w:val="32"/>
          <w:u w:val="none"/>
          <w:lang w:eastAsia="zh-CN"/>
        </w:rPr>
        <w:t>。</w:t>
      </w:r>
    </w:p>
    <w:p>
      <w:pPr>
        <w:spacing w:line="576" w:lineRule="exact"/>
        <w:ind w:firstLine="640" w:firstLineChars="200"/>
        <w:rPr>
          <w:szCs w:val="32"/>
        </w:rPr>
      </w:pPr>
      <w:r>
        <w:rPr>
          <w:szCs w:val="32"/>
        </w:rPr>
        <w:t>规划保障10座消防救援站，包括1座特勤消防站、8座一级普通消防救援站、1座水（陆）消防站。规划遵循消防站责任区4-7平方公里的原则，就近选择各类应急避难场所的对口消防站。（详见附</w:t>
      </w:r>
      <w:r>
        <w:rPr>
          <w:rFonts w:hint="eastAsia"/>
          <w:szCs w:val="32"/>
          <w:lang w:val="en-US" w:eastAsia="zh-CN"/>
        </w:rPr>
        <w:t>表12</w:t>
      </w:r>
      <w:r>
        <w:rPr>
          <w:szCs w:val="32"/>
        </w:rPr>
        <w:t>、附</w:t>
      </w:r>
      <w:r>
        <w:rPr>
          <w:rFonts w:hint="eastAsia"/>
          <w:szCs w:val="32"/>
          <w:lang w:val="en-US" w:eastAsia="zh-CN"/>
        </w:rPr>
        <w:t>表13</w:t>
      </w:r>
      <w:r>
        <w:rPr>
          <w:szCs w:val="32"/>
        </w:rPr>
        <w:t>）</w:t>
      </w:r>
    </w:p>
    <w:bookmarkEnd w:id="269"/>
    <w:p>
      <w:pPr>
        <w:spacing w:line="576" w:lineRule="exact"/>
        <w:ind w:firstLine="640" w:firstLineChars="200"/>
        <w:rPr>
          <w:rFonts w:hint="eastAsia"/>
          <w:szCs w:val="32"/>
          <w:u w:val="none"/>
          <w:lang w:eastAsia="zh-CN"/>
        </w:rPr>
      </w:pPr>
      <w:r>
        <w:rPr>
          <w:rFonts w:hint="eastAsia"/>
          <w:szCs w:val="32"/>
          <w:u w:val="none"/>
          <w:lang w:val="en-US" w:eastAsia="zh-CN"/>
        </w:rPr>
        <w:t>2</w:t>
      </w:r>
      <w:r>
        <w:rPr>
          <w:rFonts w:hint="default"/>
          <w:szCs w:val="32"/>
          <w:u w:val="none"/>
          <w:lang w:val="en-US" w:eastAsia="zh-CN"/>
        </w:rPr>
        <w:t>．</w:t>
      </w:r>
      <w:r>
        <w:rPr>
          <w:rFonts w:hint="eastAsia"/>
          <w:szCs w:val="32"/>
          <w:u w:val="none"/>
        </w:rPr>
        <w:t>消防保障措施</w:t>
      </w:r>
      <w:r>
        <w:rPr>
          <w:rFonts w:hint="eastAsia"/>
          <w:szCs w:val="32"/>
          <w:u w:val="none"/>
          <w:lang w:eastAsia="zh-CN"/>
        </w:rPr>
        <w:t>。</w:t>
      </w:r>
    </w:p>
    <w:p>
      <w:pPr>
        <w:pStyle w:val="20"/>
        <w:numPr>
          <w:ilvl w:val="0"/>
          <w:numId w:val="0"/>
        </w:numPr>
        <w:spacing w:line="576" w:lineRule="exact"/>
        <w:ind w:left="0" w:leftChars="0" w:firstLine="640" w:firstLineChars="200"/>
        <w:rPr>
          <w:rFonts w:ascii="Times New Roman" w:hAnsi="Times New Roman" w:eastAsia="方正仿宋_GBK"/>
          <w:sz w:val="32"/>
          <w:szCs w:val="32"/>
          <w:lang w:bidi="ar"/>
        </w:rPr>
      </w:pPr>
      <w:bookmarkStart w:id="270" w:name="_Hlk155962281"/>
      <w:r>
        <w:rPr>
          <w:rFonts w:ascii="Times New Roman" w:hAnsi="Times New Roman" w:eastAsia="方正仿宋_GBK" w:cs="Times New Roman"/>
          <w:kern w:val="2"/>
          <w:sz w:val="32"/>
          <w:szCs w:val="32"/>
          <w:lang w:val="en-US" w:eastAsia="zh-CN" w:bidi="ar"/>
        </w:rPr>
        <w:t>（1）</w:t>
      </w:r>
      <w:r>
        <w:rPr>
          <w:rFonts w:ascii="Times New Roman" w:hAnsi="Times New Roman" w:eastAsia="方正仿宋_GBK"/>
          <w:sz w:val="32"/>
          <w:szCs w:val="32"/>
          <w:lang w:bidi="ar"/>
        </w:rPr>
        <w:t>加强消防机构和队伍的建设，改善消防装备和设施，加强地震灾害救援装备储备和救援能力建设，加大地震灾害处置特种器材、装备建设的投入和消防公共设施的管理，设立地震救援装备储备库和地震救援专业队</w:t>
      </w:r>
      <w:bookmarkEnd w:id="270"/>
      <w:r>
        <w:rPr>
          <w:rFonts w:hint="eastAsia" w:ascii="Times New Roman" w:hAnsi="Times New Roman" w:eastAsia="方正仿宋_GBK"/>
          <w:sz w:val="32"/>
          <w:szCs w:val="32"/>
          <w:lang w:eastAsia="zh-CN" w:bidi="ar"/>
        </w:rPr>
        <w:t>伍</w:t>
      </w:r>
      <w:r>
        <w:rPr>
          <w:rFonts w:ascii="Times New Roman" w:hAnsi="Times New Roman" w:eastAsia="方正仿宋_GBK"/>
          <w:sz w:val="32"/>
          <w:szCs w:val="32"/>
          <w:lang w:bidi="ar"/>
        </w:rPr>
        <w:t>。</w:t>
      </w:r>
    </w:p>
    <w:p>
      <w:pPr>
        <w:pStyle w:val="20"/>
        <w:numPr>
          <w:ilvl w:val="0"/>
          <w:numId w:val="0"/>
        </w:numPr>
        <w:spacing w:line="576" w:lineRule="exact"/>
        <w:ind w:left="0" w:leftChars="0" w:firstLine="640" w:firstLineChars="200"/>
        <w:rPr>
          <w:rFonts w:ascii="Times New Roman" w:hAnsi="Times New Roman" w:eastAsia="方正仿宋_GBK"/>
          <w:sz w:val="32"/>
          <w:szCs w:val="32"/>
          <w:lang w:bidi="ar"/>
        </w:rPr>
      </w:pPr>
      <w:r>
        <w:rPr>
          <w:rFonts w:ascii="Times New Roman" w:hAnsi="Times New Roman" w:eastAsia="方正仿宋_GBK" w:cs="Times New Roman"/>
          <w:kern w:val="2"/>
          <w:sz w:val="32"/>
          <w:szCs w:val="32"/>
          <w:lang w:val="en-US" w:eastAsia="zh-CN" w:bidi="ar"/>
        </w:rPr>
        <w:t>（2）</w:t>
      </w:r>
      <w:r>
        <w:rPr>
          <w:rFonts w:ascii="Times New Roman" w:hAnsi="Times New Roman" w:eastAsia="方正仿宋_GBK"/>
          <w:sz w:val="32"/>
          <w:szCs w:val="32"/>
          <w:lang w:bidi="ar"/>
        </w:rPr>
        <w:t>完善老城区等次生灾害易发区的消防设施建设，实现消防通道网络化。</w:t>
      </w:r>
    </w:p>
    <w:p>
      <w:pPr>
        <w:pStyle w:val="20"/>
        <w:numPr>
          <w:ilvl w:val="0"/>
          <w:numId w:val="0"/>
        </w:numPr>
        <w:spacing w:line="576" w:lineRule="exact"/>
        <w:ind w:left="0" w:leftChars="0" w:firstLine="640" w:firstLineChars="200"/>
        <w:rPr>
          <w:rFonts w:ascii="Times New Roman" w:hAnsi="Times New Roman" w:eastAsia="方正仿宋_GBK"/>
          <w:sz w:val="32"/>
          <w:szCs w:val="32"/>
          <w:lang w:bidi="ar"/>
        </w:rPr>
      </w:pPr>
      <w:r>
        <w:rPr>
          <w:rFonts w:ascii="Times New Roman" w:hAnsi="Times New Roman" w:eastAsia="方正仿宋_GBK" w:cs="Times New Roman"/>
          <w:kern w:val="2"/>
          <w:sz w:val="32"/>
          <w:szCs w:val="32"/>
          <w:lang w:val="en-US" w:eastAsia="zh-CN" w:bidi="ar"/>
        </w:rPr>
        <w:t>（3）</w:t>
      </w:r>
      <w:r>
        <w:rPr>
          <w:rFonts w:ascii="Times New Roman" w:hAnsi="Times New Roman" w:eastAsia="方正仿宋_GBK"/>
          <w:sz w:val="32"/>
          <w:szCs w:val="32"/>
          <w:lang w:bidi="ar"/>
        </w:rPr>
        <w:t>消防供水应依托城市供水系统以及景观水体、天然水体等备用水源，多渠道保障消防用水。</w:t>
      </w:r>
      <w:r>
        <w:rPr>
          <w:rFonts w:ascii="Times New Roman" w:hAnsi="Times New Roman" w:eastAsia="方正仿宋_GBK"/>
          <w:sz w:val="32"/>
          <w:szCs w:val="32"/>
        </w:rPr>
        <w:t>与生产、生活合用的消防给水管道应保证生产、生活用水量达最大时仍能满足消防用水量；独立消防给水管道最小管径不小于DN150毫米。</w:t>
      </w:r>
    </w:p>
    <w:p>
      <w:pPr>
        <w:spacing w:line="576" w:lineRule="exact"/>
        <w:ind w:firstLine="640" w:firstLineChars="200"/>
        <w:rPr>
          <w:szCs w:val="32"/>
        </w:rPr>
      </w:pPr>
      <w:r>
        <w:rPr>
          <w:szCs w:val="32"/>
        </w:rPr>
        <w:t>（4）统筹建立应急通信保障警地联合指挥部及专门的消防救援通信专线系统，建立专业的应急保障作战队伍，实行应急救援队伍一体管理体制，服从联合指挥部的统一领导、统一调度。</w:t>
      </w:r>
    </w:p>
    <w:p>
      <w:pPr>
        <w:spacing w:line="576" w:lineRule="exact"/>
        <w:ind w:firstLine="640" w:firstLineChars="200"/>
        <w:rPr>
          <w:szCs w:val="32"/>
        </w:rPr>
      </w:pPr>
    </w:p>
    <w:p>
      <w:pPr>
        <w:pStyle w:val="4"/>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ascii="方正黑体_GBK"/>
          <w:bCs/>
        </w:rPr>
      </w:pPr>
      <w:r>
        <w:rPr>
          <w:rFonts w:hint="eastAsia" w:ascii="方正黑体_GBK" w:hAnsi="Times New Roman" w:eastAsia="方正黑体_GBK" w:cstheme="minorBidi"/>
          <w:bCs/>
          <w:kern w:val="0"/>
          <w:sz w:val="32"/>
          <w:szCs w:val="32"/>
          <w:lang w:val="en-US" w:eastAsia="zh-CN" w:bidi="ar-SA"/>
        </w:rPr>
        <w:t>第十二章</w:t>
      </w:r>
      <w:r>
        <w:rPr>
          <w:rFonts w:ascii="方正黑体_GBK"/>
          <w:bCs/>
        </w:rPr>
        <w:t xml:space="preserve">  </w:t>
      </w:r>
      <w:bookmarkStart w:id="271" w:name="_Toc158038262"/>
      <w:bookmarkStart w:id="272" w:name="_Toc156307047"/>
      <w:bookmarkStart w:id="273" w:name="_Toc158038166"/>
      <w:r>
        <w:rPr>
          <w:rFonts w:ascii="方正黑体_GBK"/>
          <w:bCs/>
        </w:rPr>
        <w:t>灾后安置与恢复重建</w:t>
      </w:r>
      <w:bookmarkEnd w:id="271"/>
      <w:bookmarkEnd w:id="272"/>
      <w:bookmarkEnd w:id="273"/>
    </w:p>
    <w:p>
      <w:pPr>
        <w:keepNext/>
        <w:spacing w:line="576" w:lineRule="exact"/>
        <w:ind w:firstLine="640" w:firstLineChars="200"/>
        <w:rPr>
          <w:lang w:val="zh-CN"/>
        </w:rPr>
      </w:pP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第五十九条  </w:t>
      </w:r>
      <w:bookmarkStart w:id="274" w:name="_Toc156307048"/>
      <w:bookmarkStart w:id="275" w:name="_Toc158038263"/>
      <w:bookmarkStart w:id="276" w:name="_Toc158038167"/>
      <w:r>
        <w:rPr>
          <w:rFonts w:hint="eastAsia" w:ascii="方正黑体_GBK" w:hAnsi="Times New Roman" w:eastAsia="方正黑体_GBK" w:cstheme="minorBidi"/>
          <w:b w:val="0"/>
          <w:bCs/>
          <w:kern w:val="0"/>
          <w:sz w:val="32"/>
          <w:szCs w:val="32"/>
          <w:lang w:val="en-US" w:eastAsia="zh-CN" w:bidi="ar-SA"/>
        </w:rPr>
        <w:t>灾后过渡安置点布局</w:t>
      </w:r>
      <w:bookmarkEnd w:id="274"/>
      <w:bookmarkEnd w:id="275"/>
      <w:bookmarkEnd w:id="276"/>
    </w:p>
    <w:p>
      <w:pPr>
        <w:numPr>
          <w:ilvl w:val="0"/>
          <w:numId w:val="0"/>
        </w:numPr>
        <w:spacing w:line="576" w:lineRule="exact"/>
        <w:ind w:firstLine="640" w:firstLineChars="200"/>
        <w:rPr>
          <w:szCs w:val="32"/>
        </w:rPr>
      </w:pPr>
      <w:r>
        <w:rPr>
          <w:rFonts w:hint="default" w:ascii="Times New Roman" w:hAnsi="Times New Roman" w:eastAsia="方正仿宋_GBK" w:cs="Times New Roman"/>
          <w:kern w:val="2"/>
          <w:sz w:val="32"/>
          <w:szCs w:val="32"/>
          <w:lang w:val="en-US" w:eastAsia="zh-CN" w:bidi="ar-SA"/>
        </w:rPr>
        <w:t>1</w:t>
      </w:r>
      <w:r>
        <w:rPr>
          <w:rFonts w:hint="default" w:ascii="Times New Roman" w:hAnsi="Times New Roman" w:eastAsia="方正仿宋_GBK" w:cs="Times New Roman"/>
          <w:b w:val="0"/>
          <w:bCs w:val="0"/>
          <w:sz w:val="32"/>
          <w:szCs w:val="32"/>
          <w:lang w:val="en-US" w:eastAsia="zh-CN"/>
        </w:rPr>
        <w:t>．</w:t>
      </w:r>
      <w:r>
        <w:rPr>
          <w:szCs w:val="32"/>
        </w:rPr>
        <w:t>灾后应规划大型灾后过渡安置点，用于震后灾民安置。</w:t>
      </w:r>
    </w:p>
    <w:p>
      <w:pPr>
        <w:numPr>
          <w:ilvl w:val="0"/>
          <w:numId w:val="0"/>
        </w:numPr>
        <w:spacing w:line="576" w:lineRule="exact"/>
        <w:ind w:firstLine="640" w:firstLineChars="200"/>
        <w:rPr>
          <w:szCs w:val="32"/>
        </w:rPr>
      </w:pPr>
      <w:r>
        <w:rPr>
          <w:rFonts w:hint="default" w:ascii="Times New Roman" w:hAnsi="Times New Roman" w:eastAsia="方正仿宋_GBK" w:cs="Times New Roman"/>
          <w:kern w:val="2"/>
          <w:sz w:val="32"/>
          <w:szCs w:val="32"/>
          <w:lang w:val="en-US" w:eastAsia="zh-CN" w:bidi="ar-SA"/>
        </w:rPr>
        <w:t>2</w:t>
      </w:r>
      <w:r>
        <w:rPr>
          <w:rFonts w:hint="default" w:ascii="Times New Roman" w:hAnsi="Times New Roman" w:eastAsia="方正仿宋_GBK" w:cs="Times New Roman"/>
          <w:b w:val="0"/>
          <w:bCs w:val="0"/>
          <w:sz w:val="32"/>
          <w:szCs w:val="32"/>
          <w:lang w:val="en-US" w:eastAsia="zh-CN"/>
        </w:rPr>
        <w:t>．</w:t>
      </w:r>
      <w:r>
        <w:rPr>
          <w:szCs w:val="32"/>
        </w:rPr>
        <w:t>灾后安置点宜集中建设，成组团布置。组团中的房屋间距、消防车通道、教育配套、医疗配套、物资供应配套和防火设施均应满足抗震防灾要求。</w:t>
      </w:r>
    </w:p>
    <w:p>
      <w:pPr>
        <w:numPr>
          <w:ilvl w:val="0"/>
          <w:numId w:val="0"/>
        </w:numPr>
        <w:spacing w:line="576" w:lineRule="exact"/>
        <w:ind w:firstLine="640" w:firstLineChars="200"/>
        <w:rPr>
          <w:szCs w:val="32"/>
        </w:rPr>
      </w:pPr>
      <w:r>
        <w:rPr>
          <w:rFonts w:hint="default" w:ascii="Times New Roman" w:hAnsi="Times New Roman" w:eastAsia="方正仿宋_GBK" w:cs="Times New Roman"/>
          <w:kern w:val="2"/>
          <w:sz w:val="32"/>
          <w:szCs w:val="32"/>
          <w:lang w:val="en-US" w:eastAsia="zh-CN" w:bidi="ar-SA"/>
        </w:rPr>
        <w:t>3</w:t>
      </w:r>
      <w:r>
        <w:rPr>
          <w:rFonts w:hint="default" w:ascii="Times New Roman" w:hAnsi="Times New Roman" w:eastAsia="方正仿宋_GBK" w:cs="Times New Roman"/>
          <w:b w:val="0"/>
          <w:bCs w:val="0"/>
          <w:sz w:val="32"/>
          <w:szCs w:val="32"/>
          <w:lang w:val="en-US" w:eastAsia="zh-CN"/>
        </w:rPr>
        <w:t>．</w:t>
      </w:r>
      <w:r>
        <w:rPr>
          <w:szCs w:val="32"/>
        </w:rPr>
        <w:t>过渡性安置地点应当配套建设水、电、道路等基础设施，并按比例配备学校、医疗点、集中供水点、公共卫生间、临时性垃圾、污水处理设备、日常用品供应点、少数民族特需品供应点以及必要的文化宣传设施等配套公共服务设施，确保受灾群众的基本生活需要。</w:t>
      </w:r>
    </w:p>
    <w:p>
      <w:pPr>
        <w:spacing w:line="576" w:lineRule="exact"/>
        <w:ind w:firstLine="640" w:firstLineChars="200"/>
        <w:rPr>
          <w:szCs w:val="32"/>
        </w:rPr>
      </w:pPr>
      <w:r>
        <w:rPr>
          <w:szCs w:val="32"/>
        </w:rPr>
        <w:t>本次规划优先选择中长期避难场所，外语外事学院和健康工程职业学院作为过渡性安置地点，特殊情况下可综合考虑城市发展备用地。</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第六十条  </w:t>
      </w:r>
      <w:bookmarkStart w:id="277" w:name="_Toc156307049"/>
      <w:bookmarkStart w:id="278" w:name="_Toc158038264"/>
      <w:bookmarkStart w:id="279" w:name="_Toc158038168"/>
      <w:r>
        <w:rPr>
          <w:rFonts w:hint="eastAsia" w:ascii="方正黑体_GBK" w:hAnsi="Times New Roman" w:eastAsia="方正黑体_GBK" w:cstheme="minorBidi"/>
          <w:b w:val="0"/>
          <w:bCs/>
          <w:kern w:val="0"/>
          <w:sz w:val="32"/>
          <w:szCs w:val="32"/>
          <w:lang w:val="en-US" w:eastAsia="zh-CN" w:bidi="ar-SA"/>
        </w:rPr>
        <w:t>灾后过渡安置点布局要求</w:t>
      </w:r>
      <w:bookmarkEnd w:id="277"/>
      <w:bookmarkEnd w:id="278"/>
      <w:bookmarkEnd w:id="279"/>
    </w:p>
    <w:p>
      <w:pPr>
        <w:spacing w:line="576" w:lineRule="exact"/>
        <w:ind w:firstLine="640" w:firstLineChars="200"/>
        <w:rPr>
          <w:spacing w:val="6"/>
          <w:w w:val="102"/>
          <w:szCs w:val="32"/>
        </w:rPr>
      </w:pPr>
      <w:r>
        <w:rPr>
          <w:rFonts w:hint="eastAsia"/>
          <w:szCs w:val="32"/>
        </w:rPr>
        <w:t>1</w:t>
      </w:r>
      <w:r>
        <w:rPr>
          <w:rFonts w:hint="default" w:ascii="Times New Roman" w:hAnsi="Times New Roman" w:eastAsia="方正仿宋_GBK" w:cs="Times New Roman"/>
          <w:b w:val="0"/>
          <w:bCs w:val="0"/>
          <w:sz w:val="32"/>
          <w:szCs w:val="32"/>
          <w:lang w:val="en-US" w:eastAsia="zh-CN"/>
        </w:rPr>
        <w:t>．</w:t>
      </w:r>
      <w:r>
        <w:rPr>
          <w:spacing w:val="6"/>
          <w:w w:val="102"/>
          <w:szCs w:val="32"/>
        </w:rPr>
        <w:t>安置住房集中建设，每处规模不宜少于50套，成组团布置。</w:t>
      </w:r>
    </w:p>
    <w:p>
      <w:pPr>
        <w:spacing w:line="576" w:lineRule="exact"/>
        <w:ind w:firstLine="640" w:firstLineChars="200"/>
        <w:rPr>
          <w:spacing w:val="-11"/>
          <w:szCs w:val="32"/>
        </w:rPr>
      </w:pPr>
      <w:r>
        <w:rPr>
          <w:rFonts w:hint="eastAsia"/>
          <w:szCs w:val="32"/>
        </w:rPr>
        <w:t>2</w:t>
      </w:r>
      <w:r>
        <w:rPr>
          <w:rFonts w:hint="default" w:ascii="Times New Roman" w:hAnsi="Times New Roman" w:eastAsia="方正仿宋_GBK" w:cs="Times New Roman"/>
          <w:b w:val="0"/>
          <w:bCs w:val="0"/>
          <w:sz w:val="32"/>
          <w:szCs w:val="32"/>
          <w:lang w:val="en-US" w:eastAsia="zh-CN"/>
        </w:rPr>
        <w:t>．</w:t>
      </w:r>
      <w:r>
        <w:rPr>
          <w:szCs w:val="32"/>
        </w:rPr>
        <w:t>安</w:t>
      </w:r>
      <w:r>
        <w:rPr>
          <w:spacing w:val="-11"/>
          <w:szCs w:val="32"/>
        </w:rPr>
        <w:t>置住房采用行列式布局，拼接长度根据场地条件以4</w:t>
      </w:r>
      <w:r>
        <w:rPr>
          <w:rFonts w:hint="eastAsia"/>
          <w:spacing w:val="-11"/>
          <w:szCs w:val="32"/>
        </w:rPr>
        <w:t>—</w:t>
      </w:r>
      <w:r>
        <w:rPr>
          <w:spacing w:val="-11"/>
          <w:szCs w:val="32"/>
        </w:rPr>
        <w:t>10开间为宜。</w:t>
      </w:r>
    </w:p>
    <w:p>
      <w:pPr>
        <w:spacing w:line="576" w:lineRule="exact"/>
        <w:ind w:firstLine="640" w:firstLineChars="200"/>
        <w:rPr>
          <w:szCs w:val="32"/>
        </w:rPr>
      </w:pPr>
      <w:r>
        <w:rPr>
          <w:rFonts w:hint="eastAsia"/>
          <w:szCs w:val="32"/>
        </w:rPr>
        <w:t>3</w:t>
      </w:r>
      <w:r>
        <w:rPr>
          <w:rFonts w:hint="default" w:ascii="Times New Roman" w:hAnsi="Times New Roman" w:eastAsia="方正仿宋_GBK" w:cs="Times New Roman"/>
          <w:b w:val="0"/>
          <w:bCs w:val="0"/>
          <w:sz w:val="32"/>
          <w:szCs w:val="32"/>
          <w:lang w:val="en-US" w:eastAsia="zh-CN"/>
        </w:rPr>
        <w:t>．</w:t>
      </w:r>
      <w:r>
        <w:rPr>
          <w:szCs w:val="32"/>
        </w:rPr>
        <w:t>安置住房行间距以4</w:t>
      </w:r>
      <w:r>
        <w:rPr>
          <w:rFonts w:hint="eastAsia"/>
          <w:szCs w:val="32"/>
        </w:rPr>
        <w:t>—</w:t>
      </w:r>
      <w:r>
        <w:rPr>
          <w:szCs w:val="32"/>
        </w:rPr>
        <w:t>5m为宜。</w:t>
      </w:r>
    </w:p>
    <w:p>
      <w:pPr>
        <w:spacing w:line="576" w:lineRule="exact"/>
        <w:ind w:firstLine="640" w:firstLineChars="200"/>
        <w:rPr>
          <w:szCs w:val="32"/>
        </w:rPr>
      </w:pPr>
      <w:r>
        <w:rPr>
          <w:rFonts w:hint="eastAsia"/>
          <w:szCs w:val="32"/>
        </w:rPr>
        <w:t>4</w:t>
      </w:r>
      <w:r>
        <w:rPr>
          <w:rFonts w:hint="default" w:ascii="Times New Roman" w:hAnsi="Times New Roman" w:eastAsia="方正仿宋_GBK" w:cs="Times New Roman"/>
          <w:b w:val="0"/>
          <w:bCs w:val="0"/>
          <w:sz w:val="32"/>
          <w:szCs w:val="32"/>
          <w:lang w:val="en-US" w:eastAsia="zh-CN"/>
        </w:rPr>
        <w:t>．</w:t>
      </w:r>
      <w:r>
        <w:rPr>
          <w:szCs w:val="32"/>
        </w:rPr>
        <w:t>消防通道宽度应大于4m。</w:t>
      </w:r>
    </w:p>
    <w:p>
      <w:pPr>
        <w:spacing w:line="576" w:lineRule="exact"/>
        <w:ind w:firstLine="640" w:firstLineChars="200"/>
        <w:rPr>
          <w:szCs w:val="32"/>
        </w:rPr>
      </w:pPr>
      <w:r>
        <w:rPr>
          <w:rFonts w:hint="eastAsia"/>
          <w:szCs w:val="32"/>
        </w:rPr>
        <w:t>5</w:t>
      </w:r>
      <w:r>
        <w:rPr>
          <w:rFonts w:hint="default" w:ascii="Times New Roman" w:hAnsi="Times New Roman" w:eastAsia="方正仿宋_GBK" w:cs="Times New Roman"/>
          <w:b w:val="0"/>
          <w:bCs w:val="0"/>
          <w:sz w:val="32"/>
          <w:szCs w:val="32"/>
          <w:lang w:val="en-US" w:eastAsia="zh-CN"/>
        </w:rPr>
        <w:t>．</w:t>
      </w:r>
      <w:r>
        <w:rPr>
          <w:szCs w:val="32"/>
        </w:rPr>
        <w:t>公用卫生间、诊疗所、垃圾收集点与安置住房应留有必要的卫生距离，宜设置在下风位。</w:t>
      </w:r>
    </w:p>
    <w:p>
      <w:pPr>
        <w:spacing w:line="576" w:lineRule="exact"/>
        <w:ind w:firstLine="640" w:firstLineChars="200"/>
        <w:rPr>
          <w:szCs w:val="32"/>
        </w:rPr>
      </w:pPr>
      <w:r>
        <w:rPr>
          <w:rFonts w:hint="eastAsia"/>
          <w:szCs w:val="32"/>
        </w:rPr>
        <w:t>6</w:t>
      </w:r>
      <w:r>
        <w:rPr>
          <w:rFonts w:hint="default" w:ascii="Times New Roman" w:hAnsi="Times New Roman" w:eastAsia="方正仿宋_GBK" w:cs="Times New Roman"/>
          <w:b w:val="0"/>
          <w:bCs w:val="0"/>
          <w:sz w:val="32"/>
          <w:szCs w:val="32"/>
          <w:lang w:val="en-US" w:eastAsia="zh-CN"/>
        </w:rPr>
        <w:t>．</w:t>
      </w:r>
      <w:r>
        <w:rPr>
          <w:szCs w:val="32"/>
        </w:rPr>
        <w:t>小学、中学、诊疗所、粮食与商品零售点等设施的位置应就近设置。</w:t>
      </w:r>
    </w:p>
    <w:p>
      <w:pPr>
        <w:spacing w:line="576" w:lineRule="exact"/>
        <w:ind w:firstLine="640" w:firstLineChars="200"/>
        <w:rPr>
          <w:szCs w:val="32"/>
        </w:rPr>
      </w:pPr>
      <w:r>
        <w:rPr>
          <w:rFonts w:hint="eastAsia"/>
          <w:szCs w:val="32"/>
        </w:rPr>
        <w:t>7</w:t>
      </w:r>
      <w:r>
        <w:rPr>
          <w:rFonts w:hint="default" w:ascii="Times New Roman" w:hAnsi="Times New Roman" w:eastAsia="方正仿宋_GBK" w:cs="Times New Roman"/>
          <w:b w:val="0"/>
          <w:bCs w:val="0"/>
          <w:sz w:val="32"/>
          <w:szCs w:val="32"/>
          <w:lang w:val="en-US" w:eastAsia="zh-CN"/>
        </w:rPr>
        <w:t>．</w:t>
      </w:r>
      <w:r>
        <w:rPr>
          <w:szCs w:val="32"/>
        </w:rPr>
        <w:t>安置住房每50套作为一个防火单元，配备消防设施；公共服务设施作为单独防火单元，配备消防设施。</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第六十一条  </w:t>
      </w:r>
      <w:bookmarkStart w:id="280" w:name="_Toc156307050"/>
      <w:bookmarkStart w:id="281" w:name="_Toc158038265"/>
      <w:bookmarkStart w:id="282" w:name="_Toc158038169"/>
      <w:r>
        <w:rPr>
          <w:rFonts w:hint="eastAsia" w:ascii="方正黑体_GBK" w:hAnsi="Times New Roman" w:eastAsia="方正黑体_GBK" w:cstheme="minorBidi"/>
          <w:b w:val="0"/>
          <w:bCs/>
          <w:kern w:val="0"/>
          <w:sz w:val="32"/>
          <w:szCs w:val="32"/>
          <w:lang w:val="en-US" w:eastAsia="zh-CN" w:bidi="ar-SA"/>
        </w:rPr>
        <w:t>灾后恢复重建</w:t>
      </w:r>
      <w:bookmarkEnd w:id="280"/>
      <w:bookmarkEnd w:id="281"/>
      <w:bookmarkEnd w:id="282"/>
    </w:p>
    <w:p>
      <w:pPr>
        <w:pStyle w:val="5"/>
        <w:numPr>
          <w:ilvl w:val="0"/>
          <w:numId w:val="0"/>
        </w:numPr>
        <w:spacing w:line="576" w:lineRule="exact"/>
        <w:ind w:firstLine="640" w:firstLineChars="200"/>
        <w:rPr>
          <w:rFonts w:hint="eastAsia" w:ascii="Times New Roman" w:hAnsi="Times New Roman" w:eastAsia="方正仿宋_GBK" w:cs="Times New Roman"/>
          <w:kern w:val="2"/>
          <w:sz w:val="32"/>
          <w:szCs w:val="32"/>
          <w:u w:val="none"/>
          <w:lang w:val="en-US" w:eastAsia="zh-CN" w:bidi="ar-SA"/>
        </w:rPr>
      </w:pPr>
      <w:r>
        <w:rPr>
          <w:rFonts w:hint="eastAsia" w:ascii="Times New Roman" w:hAnsi="Times New Roman" w:eastAsia="方正仿宋_GBK" w:cs="Times New Roman"/>
          <w:kern w:val="2"/>
          <w:sz w:val="32"/>
          <w:szCs w:val="32"/>
          <w:u w:val="none"/>
          <w:lang w:val="en-US" w:eastAsia="zh-CN" w:bidi="ar-SA"/>
        </w:rPr>
        <w:t>1</w:t>
      </w:r>
      <w:r>
        <w:rPr>
          <w:rFonts w:hint="default" w:ascii="Times New Roman" w:hAnsi="Times New Roman" w:eastAsia="方正仿宋_GBK" w:cs="Times New Roman"/>
          <w:kern w:val="2"/>
          <w:sz w:val="32"/>
          <w:szCs w:val="32"/>
          <w:u w:val="none"/>
          <w:lang w:val="en-US" w:eastAsia="zh-CN" w:bidi="ar-SA"/>
        </w:rPr>
        <w:t>．</w:t>
      </w:r>
      <w:r>
        <w:rPr>
          <w:rFonts w:hint="eastAsia" w:ascii="Times New Roman" w:hAnsi="Times New Roman" w:eastAsia="方正仿宋_GBK" w:cs="Times New Roman"/>
          <w:kern w:val="2"/>
          <w:sz w:val="32"/>
          <w:szCs w:val="32"/>
          <w:u w:val="none"/>
          <w:lang w:val="en-US" w:eastAsia="zh-CN" w:bidi="ar-SA"/>
        </w:rPr>
        <w:t>当城市房屋建筑和工程设施破坏的数量在20</w:t>
      </w:r>
      <w:r>
        <w:rPr>
          <w:rFonts w:hint="eastAsia" w:eastAsia="方正仿宋_GBK" w:cs="Times New Roman"/>
          <w:kern w:val="2"/>
          <w:sz w:val="32"/>
          <w:szCs w:val="32"/>
          <w:u w:val="none"/>
          <w:lang w:val="en-US" w:eastAsia="zh-CN" w:bidi="ar-SA"/>
        </w:rPr>
        <w:t>%</w:t>
      </w:r>
      <w:r>
        <w:rPr>
          <w:rFonts w:hint="eastAsia" w:ascii="Times New Roman" w:hAnsi="Times New Roman" w:eastAsia="方正仿宋_GBK" w:cs="Times New Roman"/>
          <w:kern w:val="2"/>
          <w:sz w:val="32"/>
          <w:szCs w:val="32"/>
          <w:u w:val="none"/>
          <w:lang w:val="en-US" w:eastAsia="zh-CN" w:bidi="ar-SA"/>
        </w:rPr>
        <w:t>以下时的恢复重建策略。</w:t>
      </w:r>
    </w:p>
    <w:p>
      <w:pPr>
        <w:numPr>
          <w:ilvl w:val="0"/>
          <w:numId w:val="0"/>
        </w:numPr>
        <w:spacing w:line="576" w:lineRule="exact"/>
        <w:ind w:firstLine="640" w:firstLineChars="200"/>
        <w:rPr>
          <w:szCs w:val="32"/>
        </w:rPr>
      </w:pPr>
      <w:r>
        <w:rPr>
          <w:rFonts w:hint="default" w:ascii="Times New Roman" w:hAnsi="Times New Roman" w:eastAsia="方正仿宋_GBK" w:cs="Times New Roman"/>
          <w:kern w:val="2"/>
          <w:sz w:val="32"/>
          <w:szCs w:val="32"/>
          <w:lang w:val="en-US" w:eastAsia="zh-CN" w:bidi="ar-SA"/>
        </w:rPr>
        <w:t>（1）</w:t>
      </w:r>
      <w:r>
        <w:rPr>
          <w:szCs w:val="32"/>
        </w:rPr>
        <w:t>中等破坏以上的公共建筑和工程设施应在7日内完成灾害评估及处理意见或加固方案；</w:t>
      </w:r>
      <w:r>
        <w:rPr>
          <w:rFonts w:hint="eastAsia"/>
          <w:szCs w:val="32"/>
        </w:rPr>
        <w:t>其他建筑</w:t>
      </w:r>
      <w:r>
        <w:rPr>
          <w:szCs w:val="32"/>
        </w:rPr>
        <w:t>由产权单位或个人委托有关单位在一月内完成处理意见或加固方案。</w:t>
      </w:r>
    </w:p>
    <w:p>
      <w:pPr>
        <w:numPr>
          <w:ilvl w:val="0"/>
          <w:numId w:val="0"/>
        </w:numPr>
        <w:spacing w:line="576" w:lineRule="exact"/>
        <w:ind w:firstLine="640" w:firstLineChars="200"/>
        <w:rPr>
          <w:szCs w:val="32"/>
        </w:rPr>
      </w:pPr>
      <w:r>
        <w:rPr>
          <w:rFonts w:hint="default" w:ascii="Times New Roman" w:hAnsi="Times New Roman" w:eastAsia="方正仿宋_GBK" w:cs="Times New Roman"/>
          <w:kern w:val="2"/>
          <w:sz w:val="32"/>
          <w:szCs w:val="32"/>
          <w:lang w:val="en-US" w:eastAsia="zh-CN" w:bidi="ar-SA"/>
        </w:rPr>
        <w:t>（2）</w:t>
      </w:r>
      <w:r>
        <w:rPr>
          <w:szCs w:val="32"/>
        </w:rPr>
        <w:t>轻微及轻微以下破坏程度的房屋建筑和工程设施可纳入日常的维修加固，不列入重建规划范畴。</w:t>
      </w:r>
    </w:p>
    <w:p>
      <w:pPr>
        <w:numPr>
          <w:ilvl w:val="0"/>
          <w:numId w:val="0"/>
        </w:numPr>
        <w:spacing w:line="576" w:lineRule="exact"/>
        <w:ind w:firstLine="640" w:firstLineChars="200"/>
        <w:rPr>
          <w:szCs w:val="32"/>
        </w:rPr>
      </w:pPr>
      <w:r>
        <w:rPr>
          <w:rFonts w:hint="default" w:ascii="Times New Roman" w:hAnsi="Times New Roman" w:eastAsia="方正仿宋_GBK" w:cs="Times New Roman"/>
          <w:kern w:val="2"/>
          <w:sz w:val="32"/>
          <w:szCs w:val="32"/>
          <w:lang w:val="en-US" w:eastAsia="zh-CN" w:bidi="ar-SA"/>
        </w:rPr>
        <w:t>（3）</w:t>
      </w:r>
      <w:r>
        <w:rPr>
          <w:szCs w:val="32"/>
        </w:rPr>
        <w:t>恢复重建任务主要依靠动员城市和社会各界自身的力量加以完成。</w:t>
      </w:r>
    </w:p>
    <w:p>
      <w:pPr>
        <w:numPr>
          <w:ilvl w:val="0"/>
          <w:numId w:val="0"/>
        </w:numPr>
        <w:spacing w:line="576" w:lineRule="exact"/>
        <w:ind w:firstLine="640" w:firstLineChars="200"/>
        <w:rPr>
          <w:rFonts w:hint="eastAsia"/>
          <w:szCs w:val="32"/>
          <w:u w:val="none"/>
          <w:lang w:eastAsia="zh-CN"/>
        </w:rPr>
      </w:pPr>
      <w:r>
        <w:rPr>
          <w:rFonts w:hint="eastAsia"/>
          <w:szCs w:val="32"/>
          <w:u w:val="none"/>
          <w:lang w:val="en-US" w:eastAsia="zh-CN"/>
        </w:rPr>
        <w:t>2</w:t>
      </w:r>
      <w:r>
        <w:rPr>
          <w:rFonts w:hint="default"/>
          <w:szCs w:val="32"/>
          <w:u w:val="none"/>
          <w:lang w:val="en-US" w:eastAsia="zh-CN"/>
        </w:rPr>
        <w:t>．</w:t>
      </w:r>
      <w:r>
        <w:rPr>
          <w:rFonts w:hint="eastAsia"/>
          <w:szCs w:val="32"/>
          <w:u w:val="none"/>
        </w:rPr>
        <w:t>当城市房屋建筑和工程设施破坏的数量在20</w:t>
      </w:r>
      <w:r>
        <w:rPr>
          <w:rFonts w:hint="eastAsia" w:ascii="Times New Roman" w:hAnsi="Times New Roman" w:cs="Times New Roman"/>
          <w:szCs w:val="32"/>
          <w:u w:val="none"/>
          <w:lang w:val="en-US" w:eastAsia="zh-CN"/>
        </w:rPr>
        <w:t>%</w:t>
      </w:r>
      <w:r>
        <w:rPr>
          <w:rFonts w:hint="eastAsia"/>
          <w:szCs w:val="32"/>
          <w:u w:val="none"/>
        </w:rPr>
        <w:t>—60</w:t>
      </w:r>
      <w:r>
        <w:rPr>
          <w:rFonts w:hint="eastAsia" w:ascii="Times New Roman" w:hAnsi="Times New Roman" w:cs="Times New Roman"/>
          <w:szCs w:val="32"/>
          <w:u w:val="none"/>
          <w:lang w:val="en-US" w:eastAsia="zh-CN"/>
        </w:rPr>
        <w:t>%</w:t>
      </w:r>
      <w:r>
        <w:rPr>
          <w:rFonts w:hint="eastAsia"/>
          <w:szCs w:val="32"/>
          <w:u w:val="none"/>
        </w:rPr>
        <w:t>时的恢复重建策略</w:t>
      </w:r>
      <w:r>
        <w:rPr>
          <w:rFonts w:hint="eastAsia"/>
          <w:szCs w:val="32"/>
          <w:u w:val="none"/>
          <w:lang w:eastAsia="zh-CN"/>
        </w:rPr>
        <w:t>。</w:t>
      </w:r>
    </w:p>
    <w:p>
      <w:pPr>
        <w:numPr>
          <w:ilvl w:val="0"/>
          <w:numId w:val="0"/>
        </w:numPr>
        <w:spacing w:line="576" w:lineRule="exact"/>
        <w:ind w:firstLine="640" w:firstLineChars="200"/>
        <w:rPr>
          <w:szCs w:val="32"/>
        </w:rPr>
      </w:pPr>
      <w:r>
        <w:rPr>
          <w:rFonts w:hint="default" w:ascii="Times New Roman" w:hAnsi="Times New Roman" w:eastAsia="方正仿宋_GBK" w:cs="Times New Roman"/>
          <w:kern w:val="2"/>
          <w:sz w:val="32"/>
          <w:szCs w:val="32"/>
          <w:lang w:val="en-US" w:eastAsia="zh-CN" w:bidi="ar-SA"/>
        </w:rPr>
        <w:t>（1）</w:t>
      </w:r>
      <w:r>
        <w:rPr>
          <w:szCs w:val="32"/>
        </w:rPr>
        <w:t>中等破坏以上的公共建筑中的重点建筑和工程设施应在7日内完成灾害评估及处理意见或加固方案；</w:t>
      </w:r>
      <w:r>
        <w:rPr>
          <w:rFonts w:hint="eastAsia"/>
          <w:szCs w:val="32"/>
        </w:rPr>
        <w:t>其他</w:t>
      </w:r>
      <w:r>
        <w:rPr>
          <w:szCs w:val="32"/>
        </w:rPr>
        <w:t>公共建筑应在15日内完成处理意见或加固方案；</w:t>
      </w:r>
      <w:r>
        <w:rPr>
          <w:rFonts w:hint="eastAsia"/>
          <w:szCs w:val="32"/>
        </w:rPr>
        <w:t>其他建筑</w:t>
      </w:r>
      <w:r>
        <w:rPr>
          <w:szCs w:val="32"/>
        </w:rPr>
        <w:t>由产权单位或个人委托有关单位在一月内完成处理意见或加固方案。</w:t>
      </w:r>
    </w:p>
    <w:p>
      <w:pPr>
        <w:numPr>
          <w:ilvl w:val="0"/>
          <w:numId w:val="0"/>
        </w:numPr>
        <w:spacing w:line="576" w:lineRule="exact"/>
        <w:ind w:firstLine="640" w:firstLineChars="200"/>
        <w:rPr>
          <w:szCs w:val="32"/>
        </w:rPr>
      </w:pPr>
      <w:r>
        <w:rPr>
          <w:rFonts w:hint="default" w:ascii="Times New Roman" w:hAnsi="Times New Roman" w:eastAsia="方正仿宋_GBK" w:cs="Times New Roman"/>
          <w:kern w:val="2"/>
          <w:sz w:val="32"/>
          <w:szCs w:val="32"/>
          <w:lang w:val="en-US" w:eastAsia="zh-CN" w:bidi="ar-SA"/>
        </w:rPr>
        <w:t>（2）</w:t>
      </w:r>
      <w:r>
        <w:rPr>
          <w:szCs w:val="32"/>
        </w:rPr>
        <w:t>轻微及以下破坏程度的工程设施可纳入日常的维修加固，不列入重建规划范畴。</w:t>
      </w:r>
    </w:p>
    <w:p>
      <w:pPr>
        <w:numPr>
          <w:ilvl w:val="0"/>
          <w:numId w:val="0"/>
        </w:numPr>
        <w:spacing w:line="576" w:lineRule="exact"/>
        <w:ind w:firstLine="640" w:firstLineChars="200"/>
        <w:rPr>
          <w:szCs w:val="32"/>
        </w:rPr>
      </w:pPr>
      <w:r>
        <w:rPr>
          <w:rFonts w:hint="default" w:ascii="Times New Roman" w:hAnsi="Times New Roman" w:eastAsia="方正仿宋_GBK" w:cs="Times New Roman"/>
          <w:kern w:val="2"/>
          <w:sz w:val="32"/>
          <w:szCs w:val="32"/>
          <w:lang w:val="en-US" w:eastAsia="zh-CN" w:bidi="ar-SA"/>
        </w:rPr>
        <w:t>（3）</w:t>
      </w:r>
      <w:r>
        <w:rPr>
          <w:szCs w:val="32"/>
        </w:rPr>
        <w:t>恢复重建任务以城市自救、同时积极争取外援的方式来完成。地方建设</w:t>
      </w:r>
      <w:r>
        <w:rPr>
          <w:rFonts w:hint="eastAsia"/>
          <w:szCs w:val="32"/>
        </w:rPr>
        <w:t>（</w:t>
      </w:r>
      <w:r>
        <w:rPr>
          <w:szCs w:val="32"/>
        </w:rPr>
        <w:t>规划</w:t>
      </w:r>
      <w:r>
        <w:rPr>
          <w:rFonts w:hint="eastAsia"/>
          <w:szCs w:val="32"/>
        </w:rPr>
        <w:t>）</w:t>
      </w:r>
      <w:r>
        <w:rPr>
          <w:szCs w:val="32"/>
        </w:rPr>
        <w:t>行政主管部门应当在本级人民政府领导下，尽快会同有关部门和单位拟定地震灾区恢复重建规划。</w:t>
      </w:r>
    </w:p>
    <w:p>
      <w:pPr>
        <w:spacing w:line="576" w:lineRule="exact"/>
        <w:ind w:firstLine="640" w:firstLineChars="200"/>
        <w:rPr>
          <w:rFonts w:hint="eastAsia"/>
          <w:szCs w:val="32"/>
          <w:u w:val="none"/>
          <w:lang w:eastAsia="zh-CN"/>
        </w:rPr>
      </w:pPr>
      <w:r>
        <w:rPr>
          <w:rFonts w:hint="eastAsia"/>
          <w:szCs w:val="32"/>
          <w:u w:val="none"/>
          <w:lang w:val="en-US" w:eastAsia="zh-CN"/>
        </w:rPr>
        <w:t>3</w:t>
      </w:r>
      <w:r>
        <w:rPr>
          <w:rFonts w:hint="default"/>
          <w:szCs w:val="32"/>
          <w:u w:val="none"/>
          <w:lang w:val="en-US" w:eastAsia="zh-CN"/>
        </w:rPr>
        <w:t>．</w:t>
      </w:r>
      <w:r>
        <w:rPr>
          <w:rFonts w:hint="eastAsia"/>
          <w:szCs w:val="32"/>
          <w:u w:val="none"/>
        </w:rPr>
        <w:t>当城市房屋建筑和工程设施破坏的数量超过60</w:t>
      </w:r>
      <w:r>
        <w:rPr>
          <w:rFonts w:hint="eastAsia"/>
          <w:szCs w:val="32"/>
          <w:u w:val="none"/>
          <w:lang w:eastAsia="zh-CN"/>
        </w:rPr>
        <w:t>%</w:t>
      </w:r>
      <w:r>
        <w:rPr>
          <w:rFonts w:hint="eastAsia"/>
          <w:szCs w:val="32"/>
          <w:u w:val="none"/>
        </w:rPr>
        <w:t>时的恢复重建策略</w:t>
      </w:r>
      <w:r>
        <w:rPr>
          <w:rFonts w:hint="eastAsia"/>
          <w:szCs w:val="32"/>
          <w:u w:val="none"/>
          <w:lang w:eastAsia="zh-CN"/>
        </w:rPr>
        <w:t>。</w:t>
      </w:r>
    </w:p>
    <w:p>
      <w:pPr>
        <w:numPr>
          <w:ilvl w:val="0"/>
          <w:numId w:val="0"/>
        </w:numPr>
        <w:spacing w:line="576" w:lineRule="exact"/>
        <w:ind w:firstLine="640" w:firstLineChars="200"/>
        <w:rPr>
          <w:szCs w:val="32"/>
        </w:rPr>
      </w:pPr>
      <w:r>
        <w:rPr>
          <w:rFonts w:hint="default" w:ascii="Times New Roman" w:hAnsi="Times New Roman" w:eastAsia="方正仿宋_GBK" w:cs="Times New Roman"/>
          <w:kern w:val="2"/>
          <w:sz w:val="32"/>
          <w:szCs w:val="32"/>
          <w:lang w:val="en-US" w:eastAsia="zh-CN" w:bidi="ar-SA"/>
        </w:rPr>
        <w:t>（1）</w:t>
      </w:r>
      <w:r>
        <w:rPr>
          <w:szCs w:val="32"/>
        </w:rPr>
        <w:t>经确认是严重破坏以上的建筑应及时拆除；中等破坏以上的公共建筑和工程设施应在15日内完成处理意见或加固方案，</w:t>
      </w:r>
      <w:r>
        <w:rPr>
          <w:rFonts w:hint="eastAsia"/>
          <w:szCs w:val="32"/>
        </w:rPr>
        <w:t>其他建筑</w:t>
      </w:r>
      <w:r>
        <w:rPr>
          <w:szCs w:val="32"/>
        </w:rPr>
        <w:t>由产权单位和个人委托有关单位在一月内完成处理意见或加固方案。</w:t>
      </w:r>
    </w:p>
    <w:p>
      <w:pPr>
        <w:numPr>
          <w:ilvl w:val="0"/>
          <w:numId w:val="0"/>
        </w:numPr>
        <w:spacing w:line="576" w:lineRule="exact"/>
        <w:ind w:firstLine="640" w:firstLineChars="200"/>
        <w:rPr>
          <w:szCs w:val="32"/>
        </w:rPr>
      </w:pPr>
      <w:r>
        <w:rPr>
          <w:rFonts w:hint="default" w:ascii="Times New Roman" w:hAnsi="Times New Roman" w:eastAsia="方正仿宋_GBK" w:cs="Times New Roman"/>
          <w:kern w:val="2"/>
          <w:sz w:val="32"/>
          <w:szCs w:val="32"/>
          <w:lang w:val="en-US" w:eastAsia="zh-CN" w:bidi="ar-SA"/>
        </w:rPr>
        <w:t>（2）</w:t>
      </w:r>
      <w:r>
        <w:rPr>
          <w:szCs w:val="32"/>
        </w:rPr>
        <w:t>轻微及以下破坏程度的工程设施可纳入日常的维修加固，不列入重建规划范畴。</w:t>
      </w:r>
    </w:p>
    <w:p>
      <w:pPr>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jc w:val="both"/>
        <w:textAlignment w:val="auto"/>
        <w:rPr>
          <w:szCs w:val="32"/>
        </w:rPr>
      </w:pPr>
      <w:r>
        <w:rPr>
          <w:rFonts w:hint="default" w:ascii="Times New Roman" w:hAnsi="Times New Roman" w:eastAsia="方正仿宋_GBK" w:cs="Times New Roman"/>
          <w:kern w:val="2"/>
          <w:sz w:val="32"/>
          <w:szCs w:val="32"/>
          <w:lang w:val="en-US" w:eastAsia="zh-CN" w:bidi="ar-SA"/>
        </w:rPr>
        <w:t>（3）</w:t>
      </w:r>
      <w:r>
        <w:rPr>
          <w:szCs w:val="32"/>
        </w:rPr>
        <w:t>恢复重建以外援和自救相结合的方式来完成。需异地重建的，建设（规划）行政主管部门应当会同有关部门和单位对选址定点进行科学论证，并按照</w:t>
      </w:r>
      <w:r>
        <w:rPr>
          <w:rFonts w:hint="eastAsia"/>
          <w:szCs w:val="32"/>
        </w:rPr>
        <w:t>法律法规</w:t>
      </w:r>
      <w:r>
        <w:rPr>
          <w:szCs w:val="32"/>
        </w:rPr>
        <w:t>规定的程序，报经有权的人民政府批准后，方可组织实施。</w:t>
      </w:r>
    </w:p>
    <w:p>
      <w:pPr>
        <w:pStyle w:val="5"/>
        <w:keepNext/>
        <w:keepLines/>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第六十二条  </w:t>
      </w:r>
      <w:bookmarkStart w:id="283" w:name="_Toc158038266"/>
      <w:bookmarkStart w:id="284" w:name="_Toc156307051"/>
      <w:bookmarkStart w:id="285" w:name="_Toc158038170"/>
      <w:r>
        <w:rPr>
          <w:rFonts w:hint="eastAsia" w:ascii="方正黑体_GBK" w:hAnsi="Times New Roman" w:eastAsia="方正黑体_GBK" w:cstheme="minorBidi"/>
          <w:b w:val="0"/>
          <w:bCs/>
          <w:kern w:val="0"/>
          <w:sz w:val="32"/>
          <w:szCs w:val="32"/>
          <w:lang w:val="en-US" w:eastAsia="zh-CN" w:bidi="ar-SA"/>
        </w:rPr>
        <w:t>重建设防标准</w:t>
      </w:r>
      <w:bookmarkEnd w:id="283"/>
      <w:bookmarkEnd w:id="284"/>
      <w:bookmarkEnd w:id="285"/>
    </w:p>
    <w:p>
      <w:pPr>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rPr>
          <w:szCs w:val="32"/>
        </w:rPr>
      </w:pPr>
      <w:r>
        <w:rPr>
          <w:szCs w:val="32"/>
        </w:rPr>
        <w:t>当城市</w:t>
      </w:r>
      <w:r>
        <w:rPr>
          <w:rFonts w:hint="eastAsia"/>
          <w:szCs w:val="32"/>
        </w:rPr>
        <w:t>遭受</w:t>
      </w:r>
      <w:r>
        <w:rPr>
          <w:szCs w:val="32"/>
        </w:rPr>
        <w:t>大于本地区设防烈度地震影响时，恢复重建的设防烈度需按照国家有关规定由国家有关部门重新审定，当</w:t>
      </w:r>
      <w:r>
        <w:rPr>
          <w:rFonts w:hint="eastAsia"/>
          <w:szCs w:val="32"/>
        </w:rPr>
        <w:t>遭受</w:t>
      </w:r>
      <w:r>
        <w:rPr>
          <w:szCs w:val="32"/>
        </w:rPr>
        <w:t>小于本地区设防烈度地震影响时，其恢复重建设防烈度一般按原设防烈度执行。</w:t>
      </w:r>
    </w:p>
    <w:p>
      <w:pPr>
        <w:pStyle w:val="5"/>
        <w:keepNext/>
        <w:keepLines/>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第六十三条  </w:t>
      </w:r>
      <w:bookmarkStart w:id="286" w:name="_Toc158038171"/>
      <w:bookmarkStart w:id="287" w:name="_Toc156307052"/>
      <w:bookmarkStart w:id="288" w:name="_Toc158038267"/>
      <w:r>
        <w:rPr>
          <w:rFonts w:hint="eastAsia" w:ascii="方正黑体_GBK" w:hAnsi="Times New Roman" w:eastAsia="方正黑体_GBK" w:cstheme="minorBidi"/>
          <w:b w:val="0"/>
          <w:bCs/>
          <w:kern w:val="0"/>
          <w:sz w:val="32"/>
          <w:szCs w:val="32"/>
          <w:lang w:val="en-US" w:eastAsia="zh-CN" w:bidi="ar-SA"/>
        </w:rPr>
        <w:t>灾后重建规划内容</w:t>
      </w:r>
      <w:bookmarkEnd w:id="286"/>
      <w:bookmarkEnd w:id="287"/>
      <w:bookmarkEnd w:id="288"/>
    </w:p>
    <w:p>
      <w:pPr>
        <w:pageBreakBefore w:val="0"/>
        <w:widowControl w:val="0"/>
        <w:kinsoku/>
        <w:wordWrap/>
        <w:overflowPunct/>
        <w:topLinePunct w:val="0"/>
        <w:autoSpaceDE/>
        <w:autoSpaceDN/>
        <w:bidi w:val="0"/>
        <w:adjustRightInd/>
        <w:snapToGrid/>
        <w:spacing w:line="600" w:lineRule="exact"/>
        <w:ind w:left="1" w:right="0" w:rightChars="0" w:firstLine="640" w:firstLineChars="200"/>
        <w:jc w:val="both"/>
        <w:textAlignment w:val="auto"/>
        <w:rPr>
          <w:szCs w:val="32"/>
        </w:rPr>
      </w:pPr>
      <w:r>
        <w:rPr>
          <w:szCs w:val="32"/>
        </w:rPr>
        <w:t>规划应当包括地震灾害状况和区域分析，恢复重建原则和目标，恢复重建区域范围，恢复重建空间布局，恢复重建任务和政策措施，有科学价值的地震遗址、遗迹保护，受损文物和具有历史价值与少数民族特色的建筑物、构筑物的修复，实施步骤和阶段等主要内容。</w:t>
      </w:r>
    </w:p>
    <w:p>
      <w:pPr>
        <w:pageBreakBefore w:val="0"/>
        <w:widowControl w:val="0"/>
        <w:kinsoku/>
        <w:wordWrap/>
        <w:overflowPunct/>
        <w:topLinePunct w:val="0"/>
        <w:autoSpaceDE/>
        <w:autoSpaceDN/>
        <w:bidi w:val="0"/>
        <w:adjustRightInd/>
        <w:snapToGrid/>
        <w:spacing w:line="600" w:lineRule="exact"/>
        <w:ind w:left="1" w:right="0" w:rightChars="0" w:firstLine="640" w:firstLineChars="200"/>
        <w:jc w:val="both"/>
        <w:textAlignment w:val="auto"/>
        <w:rPr>
          <w:szCs w:val="32"/>
        </w:rPr>
      </w:pPr>
      <w:r>
        <w:rPr>
          <w:szCs w:val="32"/>
        </w:rPr>
        <w:t>地震灾后恢复重建规划应当重点对城镇和乡村的布局、住房建设、基础设施建设、公共服务设施建设、农业生产设施建设、工业生产设施建设、防灾减灾和生态环境以及自然资源和历史文化遗产保护、土地整理和复垦等做出安排。</w:t>
      </w:r>
    </w:p>
    <w:p>
      <w:pPr>
        <w:pStyle w:val="5"/>
        <w:keepNext/>
        <w:keepLines/>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第六十四条  </w:t>
      </w:r>
      <w:bookmarkStart w:id="289" w:name="_Toc156307053"/>
      <w:bookmarkStart w:id="290" w:name="_Toc158038268"/>
      <w:bookmarkStart w:id="291" w:name="_Toc158038172"/>
      <w:r>
        <w:rPr>
          <w:rFonts w:hint="eastAsia" w:ascii="方正黑体_GBK" w:hAnsi="Times New Roman" w:eastAsia="方正黑体_GBK" w:cstheme="minorBidi"/>
          <w:b w:val="0"/>
          <w:bCs/>
          <w:kern w:val="0"/>
          <w:sz w:val="32"/>
          <w:szCs w:val="32"/>
          <w:lang w:val="en-US" w:eastAsia="zh-CN" w:bidi="ar-SA"/>
        </w:rPr>
        <w:t>灾后重建组织体系</w:t>
      </w:r>
      <w:bookmarkEnd w:id="289"/>
      <w:bookmarkEnd w:id="290"/>
      <w:bookmarkEnd w:id="291"/>
    </w:p>
    <w:p>
      <w:pPr>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rPr>
          <w:szCs w:val="32"/>
        </w:rPr>
      </w:pPr>
      <w:r>
        <w:rPr>
          <w:szCs w:val="32"/>
        </w:rPr>
        <w:t>灾后恢复重建的组织体系按照綦江区突发自然灾害应急预案执行。</w:t>
      </w:r>
    </w:p>
    <w:p>
      <w:pPr>
        <w:spacing w:line="576" w:lineRule="exact"/>
        <w:ind w:firstLine="640" w:firstLineChars="200"/>
        <w:rPr>
          <w:szCs w:val="32"/>
        </w:rPr>
      </w:pPr>
    </w:p>
    <w:p>
      <w:pPr>
        <w:pStyle w:val="4"/>
        <w:numPr>
          <w:ilvl w:val="0"/>
          <w:numId w:val="0"/>
        </w:numPr>
        <w:spacing w:line="576" w:lineRule="exact"/>
        <w:ind w:left="0" w:leftChars="0" w:firstLine="643" w:firstLineChars="0"/>
        <w:jc w:val="center"/>
        <w:rPr>
          <w:rFonts w:ascii="方正黑体_GBK"/>
          <w:bCs/>
        </w:rPr>
      </w:pPr>
      <w:r>
        <w:rPr>
          <w:rFonts w:hint="eastAsia" w:ascii="方正黑体_GBK" w:hAnsi="Times New Roman" w:eastAsia="方正黑体_GBK" w:cstheme="minorBidi"/>
          <w:bCs/>
          <w:kern w:val="0"/>
          <w:sz w:val="32"/>
          <w:szCs w:val="32"/>
          <w:lang w:val="en-US" w:eastAsia="zh-CN" w:bidi="ar-SA"/>
        </w:rPr>
        <w:t>第十三章</w:t>
      </w:r>
      <w:r>
        <w:rPr>
          <w:rFonts w:ascii="方正黑体_GBK"/>
          <w:bCs/>
        </w:rPr>
        <w:t xml:space="preserve">  </w:t>
      </w:r>
      <w:bookmarkStart w:id="292" w:name="_Toc158038269"/>
      <w:bookmarkStart w:id="293" w:name="_Toc156307055"/>
      <w:bookmarkStart w:id="294" w:name="_Toc158038173"/>
      <w:r>
        <w:rPr>
          <w:rFonts w:ascii="方正黑体_GBK"/>
          <w:bCs/>
        </w:rPr>
        <w:t>近期抗震设防建设</w:t>
      </w:r>
      <w:bookmarkEnd w:id="292"/>
      <w:bookmarkEnd w:id="293"/>
      <w:bookmarkEnd w:id="294"/>
    </w:p>
    <w:p>
      <w:pPr>
        <w:keepNext/>
        <w:spacing w:line="576" w:lineRule="exact"/>
        <w:ind w:firstLine="640" w:firstLineChars="200"/>
        <w:rPr>
          <w:lang w:val="zh-CN"/>
        </w:rPr>
      </w:pP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第六十五条  </w:t>
      </w:r>
      <w:bookmarkStart w:id="295" w:name="_Toc158038270"/>
      <w:bookmarkStart w:id="296" w:name="_Toc156307056"/>
      <w:bookmarkStart w:id="297" w:name="_Toc158038174"/>
      <w:r>
        <w:rPr>
          <w:rFonts w:hint="eastAsia" w:ascii="方正黑体_GBK" w:hAnsi="Times New Roman" w:eastAsia="方正黑体_GBK" w:cstheme="minorBidi"/>
          <w:b w:val="0"/>
          <w:bCs/>
          <w:kern w:val="0"/>
          <w:sz w:val="32"/>
          <w:szCs w:val="32"/>
          <w:lang w:val="en-US" w:eastAsia="zh-CN" w:bidi="ar-SA"/>
        </w:rPr>
        <w:t>城区建筑</w:t>
      </w:r>
      <w:bookmarkEnd w:id="295"/>
      <w:bookmarkEnd w:id="296"/>
      <w:bookmarkEnd w:id="297"/>
    </w:p>
    <w:p>
      <w:pPr>
        <w:spacing w:line="576" w:lineRule="exact"/>
        <w:ind w:firstLine="640" w:firstLineChars="200"/>
        <w:rPr>
          <w:spacing w:val="6"/>
          <w:w w:val="102"/>
          <w:szCs w:val="32"/>
        </w:rPr>
      </w:pPr>
      <w:r>
        <w:rPr>
          <w:szCs w:val="32"/>
        </w:rPr>
        <w:t>1</w:t>
      </w:r>
      <w:r>
        <w:rPr>
          <w:rFonts w:hint="default" w:ascii="Times New Roman" w:hAnsi="Times New Roman" w:eastAsia="方正仿宋_GBK" w:cs="Times New Roman"/>
          <w:b w:val="0"/>
          <w:bCs w:val="0"/>
          <w:sz w:val="32"/>
          <w:szCs w:val="32"/>
          <w:lang w:val="en-US" w:eastAsia="zh-CN"/>
        </w:rPr>
        <w:t>．</w:t>
      </w:r>
      <w:r>
        <w:rPr>
          <w:szCs w:val="32"/>
        </w:rPr>
        <w:t>严格按照《建筑工程抗震设防分类标准》对城区列入重点设防类建筑进行建筑抗震性能鉴定，确定各类建筑抗震设防能</w:t>
      </w:r>
      <w:r>
        <w:rPr>
          <w:spacing w:val="6"/>
          <w:w w:val="102"/>
          <w:szCs w:val="32"/>
        </w:rPr>
        <w:t>力，明确需要加固和拆除重建的建筑，提高城市综合抗震救灾能力。</w:t>
      </w:r>
    </w:p>
    <w:p>
      <w:pPr>
        <w:spacing w:line="576" w:lineRule="exact"/>
        <w:ind w:firstLine="640" w:firstLineChars="200"/>
        <w:rPr>
          <w:szCs w:val="32"/>
        </w:rPr>
      </w:pPr>
      <w:r>
        <w:rPr>
          <w:szCs w:val="32"/>
        </w:rPr>
        <w:t>2</w:t>
      </w:r>
      <w:r>
        <w:rPr>
          <w:rFonts w:hint="default" w:ascii="Times New Roman" w:hAnsi="Times New Roman" w:eastAsia="方正仿宋_GBK" w:cs="Times New Roman"/>
          <w:b w:val="0"/>
          <w:bCs w:val="0"/>
          <w:sz w:val="32"/>
          <w:szCs w:val="32"/>
          <w:lang w:val="en-US" w:eastAsia="zh-CN"/>
        </w:rPr>
        <w:t>．</w:t>
      </w:r>
      <w:r>
        <w:rPr>
          <w:szCs w:val="32"/>
        </w:rPr>
        <w:t>优先安排《建筑工程抗震设防分类标准》中明确的防灾救灾建筑，如区人民政府大楼、区应急局办公楼、各消防救援站消防车库、区人民医院等防灾救灾建筑的抗震鉴定和加固改造。</w:t>
      </w:r>
    </w:p>
    <w:p>
      <w:pPr>
        <w:spacing w:line="576" w:lineRule="exact"/>
        <w:ind w:firstLine="640" w:firstLineChars="200"/>
        <w:rPr>
          <w:szCs w:val="32"/>
        </w:rPr>
      </w:pPr>
      <w:r>
        <w:rPr>
          <w:szCs w:val="32"/>
        </w:rPr>
        <w:t>3</w:t>
      </w:r>
      <w:r>
        <w:rPr>
          <w:rFonts w:hint="default" w:ascii="Times New Roman" w:hAnsi="Times New Roman" w:eastAsia="方正仿宋_GBK" w:cs="Times New Roman"/>
          <w:b w:val="0"/>
          <w:bCs w:val="0"/>
          <w:sz w:val="32"/>
          <w:szCs w:val="32"/>
          <w:lang w:val="en-US" w:eastAsia="zh-CN"/>
        </w:rPr>
        <w:t>．</w:t>
      </w:r>
      <w:r>
        <w:rPr>
          <w:szCs w:val="32"/>
        </w:rPr>
        <w:t>继续推</w:t>
      </w:r>
      <w:r>
        <w:rPr>
          <w:rFonts w:hint="eastAsia" w:ascii="方正仿宋_GBK" w:hAnsi="方正仿宋_GBK" w:cs="方正仿宋_GBK"/>
          <w:szCs w:val="32"/>
        </w:rPr>
        <w:t>进“校舍安全”行动，</w:t>
      </w:r>
      <w:r>
        <w:rPr>
          <w:szCs w:val="32"/>
        </w:rPr>
        <w:t>按照抗震设防要求对现状教育机构中抗震设防不达标的建筑开展抗震鉴定和加固改造。</w:t>
      </w:r>
    </w:p>
    <w:p>
      <w:pPr>
        <w:spacing w:line="576" w:lineRule="exact"/>
        <w:ind w:firstLine="640" w:firstLineChars="200"/>
        <w:rPr>
          <w:szCs w:val="32"/>
        </w:rPr>
      </w:pPr>
      <w:r>
        <w:rPr>
          <w:szCs w:val="32"/>
        </w:rPr>
        <w:t>4</w:t>
      </w:r>
      <w:r>
        <w:rPr>
          <w:rFonts w:hint="default" w:ascii="Times New Roman" w:hAnsi="Times New Roman" w:eastAsia="方正仿宋_GBK" w:cs="Times New Roman"/>
          <w:b w:val="0"/>
          <w:bCs w:val="0"/>
          <w:sz w:val="32"/>
          <w:szCs w:val="32"/>
          <w:lang w:val="en-US" w:eastAsia="zh-CN"/>
        </w:rPr>
        <w:t>．</w:t>
      </w:r>
      <w:r>
        <w:rPr>
          <w:szCs w:val="32"/>
        </w:rPr>
        <w:t>对一般建筑物制定抗震加固和改造计划，在规划期内分期分批完成抗震鉴定和加固改造任务。</w:t>
      </w:r>
    </w:p>
    <w:p>
      <w:pPr>
        <w:spacing w:line="576" w:lineRule="exact"/>
        <w:ind w:firstLine="640" w:firstLineChars="200"/>
        <w:rPr>
          <w:rFonts w:hint="eastAsia" w:eastAsia="方正仿宋_GBK"/>
          <w:spacing w:val="6"/>
          <w:w w:val="102"/>
          <w:szCs w:val="32"/>
          <w:lang w:eastAsia="zh-CN"/>
        </w:rPr>
      </w:pPr>
      <w:r>
        <w:rPr>
          <w:szCs w:val="32"/>
        </w:rPr>
        <w:t>5</w:t>
      </w:r>
      <w:r>
        <w:rPr>
          <w:rFonts w:hint="default" w:ascii="Times New Roman" w:hAnsi="Times New Roman" w:eastAsia="方正仿宋_GBK" w:cs="Times New Roman"/>
          <w:b w:val="0"/>
          <w:bCs w:val="0"/>
          <w:sz w:val="32"/>
          <w:szCs w:val="32"/>
          <w:lang w:val="en-US" w:eastAsia="zh-CN"/>
        </w:rPr>
        <w:t>．</w:t>
      </w:r>
      <w:r>
        <w:rPr>
          <w:szCs w:val="32"/>
        </w:rPr>
        <w:t>近期应针对涉及人口较多的老旧小区、大型文体活动场</w:t>
      </w:r>
      <w:r>
        <w:rPr>
          <w:spacing w:val="6"/>
          <w:w w:val="102"/>
          <w:szCs w:val="32"/>
        </w:rPr>
        <w:t>馆及学校等人员密集场所的建筑工程等进行抗震鉴定和加固改造。</w:t>
      </w:r>
      <w:r>
        <w:rPr>
          <w:rFonts w:hint="eastAsia"/>
          <w:spacing w:val="6"/>
          <w:w w:val="102"/>
          <w:szCs w:val="32"/>
          <w:lang w:eastAsia="zh-CN"/>
        </w:rPr>
        <w:t>（详见附表</w:t>
      </w:r>
      <w:r>
        <w:rPr>
          <w:rFonts w:hint="eastAsia"/>
          <w:spacing w:val="6"/>
          <w:w w:val="102"/>
          <w:szCs w:val="32"/>
          <w:lang w:val="en-US" w:eastAsia="zh-CN"/>
        </w:rPr>
        <w:t>14</w:t>
      </w:r>
      <w:r>
        <w:rPr>
          <w:rFonts w:hint="eastAsia"/>
          <w:spacing w:val="6"/>
          <w:w w:val="102"/>
          <w:szCs w:val="32"/>
          <w:lang w:eastAsia="zh-CN"/>
        </w:rPr>
        <w:t>）</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第六十六条  </w:t>
      </w:r>
      <w:bookmarkStart w:id="298" w:name="_Toc158038271"/>
      <w:bookmarkStart w:id="299" w:name="_Toc158038175"/>
      <w:bookmarkStart w:id="300" w:name="_Toc156307057"/>
      <w:r>
        <w:rPr>
          <w:rFonts w:hint="eastAsia" w:ascii="方正黑体_GBK" w:hAnsi="Times New Roman" w:eastAsia="方正黑体_GBK" w:cstheme="minorBidi"/>
          <w:b w:val="0"/>
          <w:bCs/>
          <w:kern w:val="0"/>
          <w:sz w:val="32"/>
          <w:szCs w:val="32"/>
          <w:lang w:val="en-US" w:eastAsia="zh-CN" w:bidi="ar-SA"/>
        </w:rPr>
        <w:t>生命线工程</w:t>
      </w:r>
      <w:bookmarkEnd w:id="298"/>
      <w:bookmarkEnd w:id="299"/>
      <w:bookmarkEnd w:id="300"/>
    </w:p>
    <w:p>
      <w:pPr>
        <w:spacing w:line="576" w:lineRule="exact"/>
        <w:ind w:firstLine="640" w:firstLineChars="200"/>
        <w:rPr>
          <w:rFonts w:hint="eastAsia"/>
          <w:szCs w:val="32"/>
          <w:u w:val="none"/>
          <w:lang w:val="en-US" w:eastAsia="zh-CN"/>
        </w:rPr>
      </w:pPr>
      <w:r>
        <w:rPr>
          <w:rFonts w:hint="eastAsia"/>
          <w:szCs w:val="32"/>
          <w:u w:val="none"/>
        </w:rPr>
        <w:t>1</w:t>
      </w:r>
      <w:r>
        <w:rPr>
          <w:rFonts w:hint="default"/>
          <w:szCs w:val="32"/>
          <w:u w:val="none"/>
          <w:lang w:val="en-US" w:eastAsia="zh-CN"/>
        </w:rPr>
        <w:t>．</w:t>
      </w:r>
      <w:r>
        <w:rPr>
          <w:rFonts w:hint="eastAsia"/>
          <w:szCs w:val="32"/>
          <w:u w:val="none"/>
        </w:rPr>
        <w:t>供电系统</w:t>
      </w:r>
      <w:r>
        <w:rPr>
          <w:rFonts w:hint="eastAsia"/>
          <w:szCs w:val="32"/>
          <w:u w:val="none"/>
          <w:lang w:eastAsia="zh-CN"/>
        </w:rPr>
        <w:t>。</w:t>
      </w:r>
    </w:p>
    <w:p>
      <w:pPr>
        <w:spacing w:line="576" w:lineRule="exact"/>
        <w:ind w:firstLine="640" w:firstLineChars="200"/>
        <w:rPr>
          <w:szCs w:val="32"/>
        </w:rPr>
      </w:pPr>
      <w:r>
        <w:rPr>
          <w:szCs w:val="32"/>
          <w:lang w:bidi="ar"/>
        </w:rPr>
        <w:t>规划近期，根据城市发展需要，扩建110kV光明变电站、110kV通惠变电站、110kV桥河变电站等供电设施建设。新建110kV新盛变电站、110kV永桐南变电站，新建110kV綦江变电站至新盛变电站高压走廊、110kV庆江变电站至永桐南变电站。对未进行抗震设防的变电站（所）房屋建筑，进行抗震鉴定和加固，对未按抗震要求进行设防的电气设施，应按现行国家标</w:t>
      </w:r>
      <w:r>
        <w:rPr>
          <w:rFonts w:hint="eastAsia"/>
          <w:szCs w:val="32"/>
          <w:lang w:bidi="ar"/>
        </w:rPr>
        <w:t>准</w:t>
      </w:r>
      <w:r>
        <w:rPr>
          <w:szCs w:val="32"/>
          <w:lang w:bidi="ar"/>
        </w:rPr>
        <w:t>逐项进行鉴定，完成加固改造。近期加强中心城区电网改造，对建成区110kV等级以下架空线路逐步沿干道改为入地敷设。规划保障现状110kV及以上变电站，对110kV及以上的高压线保障其线路安全。</w:t>
      </w:r>
    </w:p>
    <w:p>
      <w:pPr>
        <w:spacing w:line="576" w:lineRule="exact"/>
        <w:ind w:firstLine="640" w:firstLineChars="200"/>
        <w:rPr>
          <w:szCs w:val="32"/>
          <w:lang w:bidi="ar"/>
        </w:rPr>
      </w:pPr>
      <w:r>
        <w:rPr>
          <w:szCs w:val="32"/>
          <w:lang w:bidi="ar"/>
        </w:rPr>
        <w:t>对近期需新埋地铺设的供电线路，建议在规划设计环节采用蛇形铺设方式，以增加线路的变形能力，并对相应埋设管线的管廊结构按照设计要求采取相应的抗震设计及措施。</w:t>
      </w:r>
    </w:p>
    <w:p>
      <w:pPr>
        <w:spacing w:line="576" w:lineRule="exact"/>
        <w:ind w:firstLine="640" w:firstLineChars="200"/>
        <w:rPr>
          <w:rFonts w:hint="eastAsia"/>
          <w:szCs w:val="32"/>
          <w:u w:val="none"/>
          <w:lang w:eastAsia="zh-CN"/>
        </w:rPr>
      </w:pPr>
      <w:r>
        <w:rPr>
          <w:rFonts w:hint="eastAsia"/>
          <w:szCs w:val="32"/>
          <w:u w:val="none"/>
        </w:rPr>
        <w:t>2</w:t>
      </w:r>
      <w:r>
        <w:rPr>
          <w:rFonts w:hint="default"/>
          <w:szCs w:val="32"/>
          <w:u w:val="none"/>
          <w:lang w:val="en-US" w:eastAsia="zh-CN"/>
        </w:rPr>
        <w:t>．</w:t>
      </w:r>
      <w:r>
        <w:rPr>
          <w:rFonts w:hint="eastAsia"/>
          <w:szCs w:val="32"/>
          <w:u w:val="none"/>
        </w:rPr>
        <w:t>医疗卫生系统</w:t>
      </w:r>
      <w:r>
        <w:rPr>
          <w:rFonts w:hint="eastAsia"/>
          <w:szCs w:val="32"/>
          <w:u w:val="none"/>
          <w:lang w:eastAsia="zh-CN"/>
        </w:rPr>
        <w:t>。</w:t>
      </w:r>
    </w:p>
    <w:p>
      <w:pPr>
        <w:spacing w:line="576" w:lineRule="exact"/>
        <w:ind w:firstLine="640" w:firstLineChars="200"/>
        <w:rPr>
          <w:bCs/>
          <w:kern w:val="44"/>
          <w:szCs w:val="32"/>
          <w:lang w:bidi="ar"/>
        </w:rPr>
      </w:pPr>
      <w:r>
        <w:rPr>
          <w:bCs/>
          <w:kern w:val="44"/>
          <w:szCs w:val="32"/>
          <w:lang w:bidi="ar"/>
        </w:rPr>
        <w:t>现状医疗设施已基本覆盖现状建成区，规划近期在綦江中心城区建成生</w:t>
      </w:r>
      <w:r>
        <w:rPr>
          <w:bCs/>
          <w:spacing w:val="-6"/>
          <w:kern w:val="44"/>
          <w:szCs w:val="32"/>
          <w:lang w:bidi="ar"/>
        </w:rPr>
        <w:t>活区和工业区内，结合旧城改造和社区服务升级等，规划布置现状社区卫生服务中心和医院等保障医疗设施16处，其中，对应近期应急避难场所建设对口救援医院6处，另外为保证灾害发生时，医疗服务全部覆盖，根据总体防灾分区，近期扩建綦江区中医院、妇幼保健院，</w:t>
      </w:r>
      <w:r>
        <w:rPr>
          <w:bCs/>
          <w:kern w:val="44"/>
          <w:szCs w:val="32"/>
          <w:lang w:bidi="ar"/>
        </w:rPr>
        <w:t>新建医疗设施江苏省人民医院重庆医院。</w:t>
      </w:r>
    </w:p>
    <w:p>
      <w:pPr>
        <w:spacing w:line="576" w:lineRule="exact"/>
        <w:ind w:firstLine="640" w:firstLineChars="200"/>
        <w:rPr>
          <w:szCs w:val="32"/>
          <w:lang w:bidi="ar"/>
        </w:rPr>
      </w:pPr>
      <w:r>
        <w:rPr>
          <w:bCs/>
          <w:kern w:val="44"/>
          <w:szCs w:val="32"/>
          <w:lang w:bidi="ar"/>
        </w:rPr>
        <w:t>根据近期</w:t>
      </w:r>
      <w:r>
        <w:rPr>
          <w:bCs/>
          <w:spacing w:val="-6"/>
          <w:kern w:val="44"/>
          <w:szCs w:val="32"/>
          <w:lang w:bidi="ar"/>
        </w:rPr>
        <w:t>应急避难场所布局，遵循中长期应急避难场所对口三级综合医院、短期应急避难场所对口就近医疗设施的原则，优先利用三级或二级医院进行对口配置，配置相应对</w:t>
      </w:r>
      <w:r>
        <w:rPr>
          <w:bCs/>
          <w:kern w:val="44"/>
          <w:szCs w:val="32"/>
          <w:lang w:bidi="ar"/>
        </w:rPr>
        <w:t>口支援医院。</w:t>
      </w:r>
      <w:r>
        <w:rPr>
          <w:szCs w:val="32"/>
          <w:lang w:bidi="ar"/>
        </w:rPr>
        <w:t>（详见附</w:t>
      </w:r>
      <w:r>
        <w:rPr>
          <w:rFonts w:hint="eastAsia"/>
          <w:szCs w:val="32"/>
          <w:lang w:val="en-US" w:eastAsia="zh-CN" w:bidi="ar"/>
        </w:rPr>
        <w:t>表15</w:t>
      </w:r>
      <w:r>
        <w:rPr>
          <w:szCs w:val="32"/>
          <w:lang w:bidi="ar"/>
        </w:rPr>
        <w:t>）</w:t>
      </w:r>
    </w:p>
    <w:p>
      <w:pPr>
        <w:spacing w:line="576" w:lineRule="exact"/>
        <w:ind w:firstLine="640" w:firstLineChars="200"/>
        <w:rPr>
          <w:rFonts w:hint="eastAsia"/>
          <w:szCs w:val="32"/>
          <w:u w:val="none"/>
          <w:lang w:val="en-US" w:eastAsia="zh-CN"/>
        </w:rPr>
      </w:pPr>
      <w:r>
        <w:rPr>
          <w:rFonts w:hint="eastAsia"/>
          <w:szCs w:val="32"/>
          <w:u w:val="none"/>
        </w:rPr>
        <w:t>3</w:t>
      </w:r>
      <w:r>
        <w:rPr>
          <w:rFonts w:hint="default"/>
          <w:szCs w:val="32"/>
          <w:u w:val="none"/>
          <w:lang w:val="en-US" w:eastAsia="zh-CN"/>
        </w:rPr>
        <w:t>．</w:t>
      </w:r>
      <w:r>
        <w:rPr>
          <w:rFonts w:hint="eastAsia"/>
          <w:szCs w:val="32"/>
          <w:u w:val="none"/>
        </w:rPr>
        <w:t>交通系统</w:t>
      </w:r>
      <w:r>
        <w:rPr>
          <w:rFonts w:hint="eastAsia"/>
          <w:szCs w:val="32"/>
          <w:u w:val="none"/>
          <w:lang w:eastAsia="zh-CN"/>
        </w:rPr>
        <w:t>。</w:t>
      </w:r>
    </w:p>
    <w:p>
      <w:pPr>
        <w:spacing w:line="576" w:lineRule="exact"/>
        <w:ind w:firstLine="640" w:firstLineChars="200"/>
        <w:rPr>
          <w:bCs/>
          <w:kern w:val="44"/>
          <w:szCs w:val="32"/>
          <w:lang w:bidi="ar"/>
        </w:rPr>
      </w:pPr>
      <w:r>
        <w:rPr>
          <w:bCs/>
          <w:kern w:val="44"/>
          <w:szCs w:val="32"/>
          <w:lang w:bidi="ar"/>
        </w:rPr>
        <w:t>加快永桐新城与北部新城主要骨干路建设。</w:t>
      </w:r>
    </w:p>
    <w:p>
      <w:pPr>
        <w:spacing w:line="576" w:lineRule="exact"/>
        <w:ind w:firstLine="640" w:firstLineChars="200"/>
        <w:rPr>
          <w:bCs/>
          <w:kern w:val="44"/>
          <w:szCs w:val="32"/>
          <w:lang w:bidi="ar"/>
        </w:rPr>
      </w:pPr>
      <w:r>
        <w:rPr>
          <w:bCs/>
          <w:kern w:val="44"/>
          <w:szCs w:val="32"/>
          <w:lang w:bidi="ar"/>
        </w:rPr>
        <w:t>加快东部新城登瀛片区路网建设，近期建设綦登二路；完善中长期避难场所路网组织，打通滨河大道与外语外事学院的横向道路；加快枣园至桥河片区健康工程职业学校配套道路建设。</w:t>
      </w:r>
    </w:p>
    <w:p>
      <w:pPr>
        <w:spacing w:line="576" w:lineRule="exact"/>
        <w:ind w:firstLine="640" w:firstLineChars="200"/>
        <w:rPr>
          <w:bCs/>
          <w:kern w:val="44"/>
          <w:szCs w:val="32"/>
          <w:lang w:bidi="ar"/>
        </w:rPr>
      </w:pPr>
      <w:r>
        <w:rPr>
          <w:bCs/>
          <w:kern w:val="44"/>
          <w:szCs w:val="32"/>
          <w:lang w:bidi="ar"/>
        </w:rPr>
        <w:t>客运枢纽方面，新建新盛客运站，改造升级永城客运站，新增永城北互通。</w:t>
      </w:r>
    </w:p>
    <w:p>
      <w:pPr>
        <w:spacing w:line="576" w:lineRule="exact"/>
        <w:ind w:firstLine="640" w:firstLineChars="200"/>
        <w:rPr>
          <w:rFonts w:hint="eastAsia"/>
          <w:szCs w:val="32"/>
          <w:u w:val="none"/>
          <w:lang w:eastAsia="zh-CN"/>
        </w:rPr>
      </w:pPr>
      <w:r>
        <w:rPr>
          <w:rFonts w:hint="eastAsia"/>
          <w:szCs w:val="32"/>
          <w:u w:val="none"/>
        </w:rPr>
        <w:t>4</w:t>
      </w:r>
      <w:r>
        <w:rPr>
          <w:rFonts w:hint="default"/>
          <w:szCs w:val="32"/>
          <w:u w:val="none"/>
          <w:lang w:val="en-US" w:eastAsia="zh-CN"/>
        </w:rPr>
        <w:t>．</w:t>
      </w:r>
      <w:r>
        <w:rPr>
          <w:rFonts w:hint="eastAsia"/>
          <w:szCs w:val="32"/>
          <w:u w:val="none"/>
        </w:rPr>
        <w:t>供水系统</w:t>
      </w:r>
      <w:r>
        <w:rPr>
          <w:rFonts w:hint="eastAsia"/>
          <w:szCs w:val="32"/>
          <w:u w:val="none"/>
          <w:lang w:eastAsia="zh-CN"/>
        </w:rPr>
        <w:t>。</w:t>
      </w:r>
    </w:p>
    <w:p>
      <w:pPr>
        <w:spacing w:line="576" w:lineRule="exact"/>
        <w:ind w:firstLine="640" w:firstLineChars="200"/>
        <w:rPr>
          <w:bCs/>
          <w:kern w:val="44"/>
          <w:szCs w:val="32"/>
          <w:lang w:bidi="ar"/>
        </w:rPr>
      </w:pPr>
      <w:r>
        <w:rPr>
          <w:szCs w:val="32"/>
          <w:lang w:bidi="ar"/>
        </w:rPr>
        <w:t>改造老城区部分陈旧管网，将九龙大道、沙溪路、交通路、上升街道路两侧的</w:t>
      </w:r>
      <w:r>
        <w:rPr>
          <w:rFonts w:hint="eastAsia" w:ascii="宋体" w:hAnsi="宋体" w:cs="宋体"/>
          <w:szCs w:val="32"/>
          <w:lang w:bidi="ar"/>
        </w:rPr>
        <w:t>Ⅰ</w:t>
      </w:r>
      <w:r>
        <w:rPr>
          <w:szCs w:val="32"/>
          <w:lang w:bidi="ar"/>
        </w:rPr>
        <w:t>、</w:t>
      </w:r>
      <w:r>
        <w:rPr>
          <w:rFonts w:hint="eastAsia" w:ascii="宋体" w:hAnsi="宋体" w:cs="宋体"/>
          <w:szCs w:val="32"/>
          <w:lang w:bidi="ar"/>
        </w:rPr>
        <w:t>Ⅱ</w:t>
      </w:r>
      <w:r>
        <w:rPr>
          <w:szCs w:val="32"/>
          <w:lang w:bidi="ar"/>
        </w:rPr>
        <w:t>级关键管网中小管径替换为大管径供水管，完善登瀛大道两侧管网布局。近期规划新建东部新城水厂（在建）、永桐新城水厂、董家岩高位水池、共同片区高位水池，新建鱼栏咀水库至城区水厂备用输水管道工程；新建珠滩取水口至东部新城水厂引水管道工程。</w:t>
      </w:r>
      <w:r>
        <w:rPr>
          <w:bCs/>
          <w:kern w:val="44"/>
          <w:szCs w:val="32"/>
          <w:lang w:bidi="ar"/>
        </w:rPr>
        <w:t>（详见附</w:t>
      </w:r>
      <w:r>
        <w:rPr>
          <w:rFonts w:hint="eastAsia"/>
          <w:bCs/>
          <w:kern w:val="44"/>
          <w:szCs w:val="32"/>
          <w:lang w:val="en-US" w:eastAsia="zh-CN" w:bidi="ar"/>
        </w:rPr>
        <w:t>表16</w:t>
      </w:r>
      <w:r>
        <w:rPr>
          <w:bCs/>
          <w:kern w:val="44"/>
          <w:szCs w:val="32"/>
          <w:lang w:bidi="ar"/>
        </w:rPr>
        <w:t>）</w:t>
      </w:r>
    </w:p>
    <w:p>
      <w:pPr>
        <w:spacing w:line="576" w:lineRule="exact"/>
        <w:ind w:firstLine="640" w:firstLineChars="200"/>
        <w:rPr>
          <w:bCs/>
          <w:kern w:val="44"/>
          <w:szCs w:val="32"/>
          <w:lang w:bidi="ar"/>
        </w:rPr>
      </w:pPr>
      <w:r>
        <w:rPr>
          <w:bCs/>
          <w:kern w:val="44"/>
          <w:szCs w:val="32"/>
          <w:lang w:bidi="ar"/>
        </w:rPr>
        <w:t>结合应急避难场所建设进行供水系统配套设施建设，修建应急储水槽（池），在外语外事学院和健康工程职业学院各修建一处应急储水池；制定供水系统地震应急、抢修预案，配备应急供水车。</w:t>
      </w:r>
    </w:p>
    <w:p>
      <w:pPr>
        <w:spacing w:line="576" w:lineRule="exact"/>
        <w:ind w:firstLine="640" w:firstLineChars="200"/>
        <w:rPr>
          <w:rFonts w:hint="eastAsia"/>
          <w:szCs w:val="32"/>
          <w:u w:val="none"/>
          <w:lang w:eastAsia="zh-CN"/>
        </w:rPr>
      </w:pPr>
      <w:r>
        <w:rPr>
          <w:rFonts w:hint="eastAsia"/>
          <w:szCs w:val="32"/>
          <w:u w:val="none"/>
        </w:rPr>
        <w:t>5</w:t>
      </w:r>
      <w:r>
        <w:rPr>
          <w:rFonts w:hint="default"/>
          <w:szCs w:val="32"/>
          <w:u w:val="none"/>
          <w:lang w:val="en-US" w:eastAsia="zh-CN"/>
        </w:rPr>
        <w:t>．</w:t>
      </w:r>
      <w:r>
        <w:rPr>
          <w:rFonts w:hint="eastAsia"/>
          <w:szCs w:val="32"/>
          <w:u w:val="none"/>
        </w:rPr>
        <w:t>通信系统</w:t>
      </w:r>
      <w:r>
        <w:rPr>
          <w:rFonts w:hint="eastAsia"/>
          <w:szCs w:val="32"/>
          <w:u w:val="none"/>
          <w:lang w:eastAsia="zh-CN"/>
        </w:rPr>
        <w:t>。</w:t>
      </w:r>
    </w:p>
    <w:p>
      <w:pPr>
        <w:spacing w:line="576" w:lineRule="exact"/>
        <w:ind w:firstLine="640" w:firstLineChars="200"/>
        <w:rPr>
          <w:szCs w:val="32"/>
        </w:rPr>
      </w:pPr>
      <w:r>
        <w:rPr>
          <w:szCs w:val="32"/>
        </w:rPr>
        <w:t>规划近期在中心城区新增5G宏站29处，4G宏站12处</w:t>
      </w:r>
      <w:r>
        <w:rPr>
          <w:rFonts w:hint="eastAsia"/>
          <w:szCs w:val="32"/>
          <w:lang w:eastAsia="zh-CN"/>
        </w:rPr>
        <w:t>，</w:t>
      </w:r>
      <w:r>
        <w:rPr>
          <w:szCs w:val="32"/>
        </w:rPr>
        <w:t>室分覆盖153处，主要分布于东部新城片区、北部新城片区、永桐片区等城市发展区，以满足城市新区震时通信需求。</w:t>
      </w:r>
    </w:p>
    <w:p>
      <w:pPr>
        <w:spacing w:line="576" w:lineRule="exact"/>
        <w:ind w:firstLine="640" w:firstLineChars="200"/>
        <w:rPr>
          <w:szCs w:val="32"/>
        </w:rPr>
      </w:pPr>
      <w:r>
        <w:rPr>
          <w:szCs w:val="32"/>
        </w:rPr>
        <w:t>通信建筑重要建筑的抗震设防等级为重点设防类，设防要求按照国家法律法规及相关强制性标准，应高于一般建筑物的抗震设防要求进行确定。通</w:t>
      </w:r>
      <w:r>
        <w:rPr>
          <w:rFonts w:hint="eastAsia"/>
          <w:szCs w:val="32"/>
          <w:lang w:eastAsia="zh-CN"/>
        </w:rPr>
        <w:t>信</w:t>
      </w:r>
      <w:r>
        <w:rPr>
          <w:szCs w:val="32"/>
        </w:rPr>
        <w:t>相关单位、企业应自查以下问题，发现问题采取相应措施进行更正，以保证通</w:t>
      </w:r>
      <w:r>
        <w:rPr>
          <w:rFonts w:hint="eastAsia"/>
          <w:szCs w:val="32"/>
          <w:lang w:eastAsia="zh-CN"/>
        </w:rPr>
        <w:t>信</w:t>
      </w:r>
      <w:r>
        <w:rPr>
          <w:szCs w:val="32"/>
        </w:rPr>
        <w:t>系统抗震性能。</w:t>
      </w:r>
    </w:p>
    <w:p>
      <w:pPr>
        <w:numPr>
          <w:ilvl w:val="0"/>
          <w:numId w:val="0"/>
        </w:numPr>
        <w:spacing w:line="576" w:lineRule="exact"/>
        <w:ind w:firstLine="640" w:firstLineChars="200"/>
        <w:rPr>
          <w:szCs w:val="32"/>
          <w:lang w:bidi="ar"/>
        </w:rPr>
      </w:pPr>
      <w:r>
        <w:rPr>
          <w:rFonts w:ascii="Times New Roman" w:hAnsi="Times New Roman" w:eastAsia="方正仿宋_GBK" w:cs="Times New Roman"/>
          <w:kern w:val="2"/>
          <w:sz w:val="32"/>
          <w:szCs w:val="32"/>
          <w:lang w:val="en-US" w:eastAsia="zh-CN" w:bidi="ar"/>
        </w:rPr>
        <w:t>（1）</w:t>
      </w:r>
      <w:r>
        <w:rPr>
          <w:szCs w:val="32"/>
          <w:lang w:bidi="ar"/>
        </w:rPr>
        <w:t>通信系统的机房机组、开关柜、交换机组等设备与基础无锚固的，确保使机房机组、开关柜等设备与基础螺栓锚固。</w:t>
      </w:r>
    </w:p>
    <w:p>
      <w:pPr>
        <w:numPr>
          <w:ilvl w:val="0"/>
          <w:numId w:val="0"/>
        </w:numPr>
        <w:spacing w:line="576" w:lineRule="exact"/>
        <w:ind w:left="0" w:leftChars="0" w:firstLine="640" w:firstLineChars="200"/>
        <w:rPr>
          <w:szCs w:val="32"/>
        </w:rPr>
      </w:pPr>
      <w:r>
        <w:rPr>
          <w:rFonts w:ascii="Times New Roman" w:hAnsi="Times New Roman" w:eastAsia="方正仿宋_GBK" w:cs="Times New Roman"/>
          <w:kern w:val="2"/>
          <w:sz w:val="32"/>
          <w:szCs w:val="32"/>
          <w:lang w:val="en-US" w:eastAsia="zh-CN" w:bidi="ar-SA"/>
        </w:rPr>
        <w:t>（2）</w:t>
      </w:r>
      <w:r>
        <w:rPr>
          <w:szCs w:val="32"/>
          <w:lang w:bidi="ar"/>
        </w:rPr>
        <w:t>备用电源与基础无锚固的，确保备用电源与基础螺栓锚固。</w:t>
      </w:r>
    </w:p>
    <w:p>
      <w:pPr>
        <w:spacing w:line="576" w:lineRule="exact"/>
        <w:ind w:firstLine="640" w:firstLineChars="200"/>
        <w:rPr>
          <w:rFonts w:hint="eastAsia"/>
          <w:szCs w:val="32"/>
          <w:u w:val="none"/>
          <w:lang w:eastAsia="zh-CN"/>
        </w:rPr>
      </w:pPr>
      <w:bookmarkStart w:id="301" w:name="_Hlk113970310"/>
      <w:r>
        <w:rPr>
          <w:rFonts w:hint="eastAsia"/>
          <w:szCs w:val="32"/>
          <w:u w:val="none"/>
        </w:rPr>
        <w:t>6</w:t>
      </w:r>
      <w:r>
        <w:rPr>
          <w:rFonts w:hint="default"/>
          <w:szCs w:val="32"/>
          <w:u w:val="none"/>
          <w:lang w:val="en-US" w:eastAsia="zh-CN"/>
        </w:rPr>
        <w:t>．</w:t>
      </w:r>
      <w:r>
        <w:rPr>
          <w:rFonts w:hint="eastAsia"/>
          <w:szCs w:val="32"/>
          <w:u w:val="none"/>
        </w:rPr>
        <w:t>消防系统</w:t>
      </w:r>
      <w:r>
        <w:rPr>
          <w:rFonts w:hint="eastAsia"/>
          <w:szCs w:val="32"/>
          <w:u w:val="none"/>
          <w:lang w:eastAsia="zh-CN"/>
        </w:rPr>
        <w:t>。</w:t>
      </w:r>
    </w:p>
    <w:bookmarkEnd w:id="301"/>
    <w:p>
      <w:pPr>
        <w:spacing w:line="576" w:lineRule="exact"/>
        <w:ind w:firstLine="640" w:firstLineChars="200"/>
        <w:rPr>
          <w:szCs w:val="32"/>
        </w:rPr>
      </w:pPr>
      <w:r>
        <w:rPr>
          <w:szCs w:val="32"/>
        </w:rPr>
        <w:t>规划近期内建设并投入使用消防救援站1座。规划新建消防站为桥河消防救援站，以满足应急避难场所消防需求，形成中心城区消防站均衡布局。（详见附</w:t>
      </w:r>
      <w:r>
        <w:rPr>
          <w:rFonts w:hint="eastAsia"/>
          <w:szCs w:val="32"/>
          <w:lang w:val="en-US" w:eastAsia="zh-CN"/>
        </w:rPr>
        <w:t>表17</w:t>
      </w:r>
      <w:r>
        <w:rPr>
          <w:szCs w:val="32"/>
        </w:rPr>
        <w:t>）</w:t>
      </w:r>
    </w:p>
    <w:p>
      <w:pPr>
        <w:spacing w:line="576" w:lineRule="exact"/>
        <w:ind w:firstLine="640" w:firstLineChars="200"/>
        <w:rPr>
          <w:szCs w:val="32"/>
        </w:rPr>
      </w:pPr>
      <w:r>
        <w:rPr>
          <w:szCs w:val="32"/>
        </w:rPr>
        <w:t>同时要求消防部门采取以下措施，以保证应对地震的消防救援能力：</w:t>
      </w:r>
    </w:p>
    <w:p>
      <w:pPr>
        <w:numPr>
          <w:ilvl w:val="0"/>
          <w:numId w:val="0"/>
        </w:numPr>
        <w:spacing w:line="576" w:lineRule="exact"/>
        <w:ind w:left="0" w:leftChars="0" w:firstLine="640" w:firstLineChars="200"/>
        <w:rPr>
          <w:szCs w:val="32"/>
          <w:lang w:bidi="ar"/>
        </w:rPr>
      </w:pPr>
      <w:r>
        <w:rPr>
          <w:rFonts w:ascii="Times New Roman" w:hAnsi="Times New Roman" w:eastAsia="方正仿宋_GBK" w:cs="Times New Roman"/>
          <w:kern w:val="2"/>
          <w:sz w:val="32"/>
          <w:szCs w:val="32"/>
          <w:lang w:val="en-US" w:eastAsia="zh-CN" w:bidi="ar"/>
        </w:rPr>
        <w:t>（1）</w:t>
      </w:r>
      <w:r>
        <w:rPr>
          <w:szCs w:val="32"/>
          <w:lang w:bidi="ar"/>
        </w:rPr>
        <w:t>配备地震灾害处置特种装备，并定期进行培训与演练，提高地震灾害发生后的应对能力；</w:t>
      </w:r>
    </w:p>
    <w:p>
      <w:pPr>
        <w:numPr>
          <w:ilvl w:val="0"/>
          <w:numId w:val="0"/>
        </w:numPr>
        <w:spacing w:line="576" w:lineRule="exact"/>
        <w:ind w:left="0" w:leftChars="0" w:firstLine="640" w:firstLineChars="200"/>
        <w:rPr>
          <w:szCs w:val="32"/>
          <w:lang w:bidi="ar"/>
        </w:rPr>
      </w:pPr>
      <w:r>
        <w:rPr>
          <w:rFonts w:ascii="Times New Roman" w:hAnsi="Times New Roman" w:eastAsia="方正仿宋_GBK" w:cs="Times New Roman"/>
          <w:kern w:val="2"/>
          <w:sz w:val="32"/>
          <w:szCs w:val="32"/>
          <w:lang w:val="en-US" w:eastAsia="zh-CN" w:bidi="ar"/>
        </w:rPr>
        <w:t>（2）</w:t>
      </w:r>
      <w:r>
        <w:rPr>
          <w:szCs w:val="32"/>
          <w:lang w:bidi="ar"/>
        </w:rPr>
        <w:t>配合应急避难场所建设进行消防配套设施建设。</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第六十七条  </w:t>
      </w:r>
      <w:bookmarkStart w:id="302" w:name="_Toc158038176"/>
      <w:bookmarkStart w:id="303" w:name="_Toc158038272"/>
      <w:bookmarkStart w:id="304" w:name="_Toc156307058"/>
      <w:r>
        <w:rPr>
          <w:rFonts w:hint="eastAsia" w:ascii="方正黑体_GBK" w:hAnsi="Times New Roman" w:eastAsia="方正黑体_GBK" w:cstheme="minorBidi"/>
          <w:b w:val="0"/>
          <w:bCs/>
          <w:kern w:val="0"/>
          <w:sz w:val="32"/>
          <w:szCs w:val="32"/>
          <w:lang w:val="en-US" w:eastAsia="zh-CN" w:bidi="ar-SA"/>
        </w:rPr>
        <w:t>地震次生灾害防御</w:t>
      </w:r>
      <w:bookmarkEnd w:id="302"/>
      <w:bookmarkEnd w:id="303"/>
      <w:bookmarkEnd w:id="304"/>
    </w:p>
    <w:p>
      <w:pPr>
        <w:spacing w:line="576" w:lineRule="exact"/>
        <w:ind w:firstLine="640" w:firstLineChars="200"/>
        <w:rPr>
          <w:rFonts w:hint="eastAsia"/>
          <w:szCs w:val="32"/>
          <w:u w:val="none"/>
          <w:lang w:eastAsia="zh-CN"/>
        </w:rPr>
      </w:pPr>
      <w:r>
        <w:rPr>
          <w:rFonts w:hint="eastAsia"/>
          <w:szCs w:val="32"/>
          <w:u w:val="none"/>
        </w:rPr>
        <w:t>1</w:t>
      </w:r>
      <w:r>
        <w:rPr>
          <w:rFonts w:hint="default"/>
          <w:szCs w:val="32"/>
          <w:u w:val="none"/>
          <w:lang w:val="en-US" w:eastAsia="zh-CN"/>
        </w:rPr>
        <w:t>．</w:t>
      </w:r>
      <w:r>
        <w:rPr>
          <w:rFonts w:hint="eastAsia"/>
          <w:szCs w:val="32"/>
          <w:u w:val="none"/>
        </w:rPr>
        <w:t>次生火灾</w:t>
      </w:r>
      <w:r>
        <w:rPr>
          <w:rFonts w:hint="eastAsia"/>
          <w:szCs w:val="32"/>
          <w:u w:val="none"/>
          <w:lang w:eastAsia="zh-CN"/>
        </w:rPr>
        <w:t>。</w:t>
      </w:r>
    </w:p>
    <w:p>
      <w:pPr>
        <w:spacing w:line="576" w:lineRule="exact"/>
        <w:ind w:firstLine="640" w:firstLineChars="200"/>
        <w:rPr>
          <w:szCs w:val="32"/>
          <w:lang w:bidi="ar"/>
        </w:rPr>
      </w:pPr>
      <w:r>
        <w:rPr>
          <w:szCs w:val="32"/>
          <w:lang w:bidi="ar"/>
        </w:rPr>
        <w:t>对綦江城区进行地震火灾隐患排查，并逐一登记造册，制定整改方案；对不符合安全间距的次生火灾源进行搬迁；制定城市老旧民房集中区的改造规划。</w:t>
      </w:r>
    </w:p>
    <w:p>
      <w:pPr>
        <w:spacing w:line="576" w:lineRule="exact"/>
        <w:ind w:firstLine="640" w:firstLineChars="200"/>
        <w:rPr>
          <w:rFonts w:hint="eastAsia"/>
          <w:szCs w:val="32"/>
          <w:u w:val="none"/>
          <w:lang w:eastAsia="zh-CN"/>
        </w:rPr>
      </w:pPr>
      <w:r>
        <w:rPr>
          <w:rFonts w:hint="eastAsia"/>
          <w:szCs w:val="32"/>
          <w:u w:val="none"/>
        </w:rPr>
        <w:t>2</w:t>
      </w:r>
      <w:r>
        <w:rPr>
          <w:rFonts w:hint="default"/>
          <w:szCs w:val="32"/>
          <w:u w:val="none"/>
          <w:lang w:val="en-US" w:eastAsia="zh-CN"/>
        </w:rPr>
        <w:t>．</w:t>
      </w:r>
      <w:r>
        <w:rPr>
          <w:rFonts w:hint="eastAsia"/>
          <w:szCs w:val="32"/>
          <w:u w:val="none"/>
        </w:rPr>
        <w:t>次生水灾</w:t>
      </w:r>
      <w:r>
        <w:rPr>
          <w:rFonts w:hint="eastAsia"/>
          <w:szCs w:val="32"/>
          <w:u w:val="none"/>
          <w:lang w:eastAsia="zh-CN"/>
        </w:rPr>
        <w:t>。</w:t>
      </w:r>
    </w:p>
    <w:p>
      <w:pPr>
        <w:spacing w:line="576" w:lineRule="exact"/>
        <w:ind w:firstLine="640" w:firstLineChars="200"/>
        <w:rPr>
          <w:szCs w:val="32"/>
          <w:lang w:bidi="ar"/>
        </w:rPr>
      </w:pPr>
      <w:r>
        <w:rPr>
          <w:szCs w:val="32"/>
          <w:lang w:bidi="ar"/>
        </w:rPr>
        <w:t>针对地震水灾、水害的特点，地震水灾对策应贯彻以下原则：</w:t>
      </w:r>
    </w:p>
    <w:p>
      <w:pPr>
        <w:numPr>
          <w:ilvl w:val="0"/>
          <w:numId w:val="0"/>
        </w:numPr>
        <w:spacing w:line="576" w:lineRule="exact"/>
        <w:ind w:firstLine="640" w:firstLineChars="200"/>
        <w:rPr>
          <w:szCs w:val="32"/>
          <w:lang w:bidi="ar"/>
        </w:rPr>
      </w:pPr>
      <w:r>
        <w:rPr>
          <w:rFonts w:ascii="Times New Roman" w:hAnsi="Times New Roman" w:eastAsia="方正仿宋_GBK" w:cs="Times New Roman"/>
          <w:kern w:val="2"/>
          <w:sz w:val="32"/>
          <w:szCs w:val="32"/>
          <w:lang w:val="en-US" w:eastAsia="zh-CN" w:bidi="ar"/>
        </w:rPr>
        <w:t>（1）</w:t>
      </w:r>
      <w:r>
        <w:rPr>
          <w:szCs w:val="32"/>
          <w:lang w:bidi="ar"/>
        </w:rPr>
        <w:t>以预防为主，把水灾杜绝在产生之前；</w:t>
      </w:r>
    </w:p>
    <w:p>
      <w:pPr>
        <w:numPr>
          <w:ilvl w:val="0"/>
          <w:numId w:val="0"/>
        </w:numPr>
        <w:spacing w:line="576" w:lineRule="exact"/>
        <w:ind w:firstLine="640" w:firstLineChars="200"/>
        <w:rPr>
          <w:szCs w:val="32"/>
          <w:lang w:bidi="ar"/>
        </w:rPr>
      </w:pPr>
      <w:r>
        <w:rPr>
          <w:rFonts w:ascii="Times New Roman" w:hAnsi="Times New Roman" w:eastAsia="方正仿宋_GBK" w:cs="Times New Roman"/>
          <w:kern w:val="2"/>
          <w:sz w:val="32"/>
          <w:szCs w:val="32"/>
          <w:lang w:val="en-US" w:eastAsia="zh-CN" w:bidi="ar"/>
        </w:rPr>
        <w:t>（2）</w:t>
      </w:r>
      <w:r>
        <w:rPr>
          <w:szCs w:val="32"/>
          <w:lang w:bidi="ar"/>
        </w:rPr>
        <w:t>重视薄弱环节，对河流堤坝、泥石流、滑坡引起的水灾应予充分重视。</w:t>
      </w:r>
    </w:p>
    <w:p>
      <w:pPr>
        <w:spacing w:line="576" w:lineRule="exact"/>
        <w:ind w:firstLine="640" w:firstLineChars="200"/>
        <w:rPr>
          <w:rFonts w:hint="eastAsia"/>
          <w:szCs w:val="32"/>
          <w:u w:val="none"/>
          <w:lang w:eastAsia="zh-CN"/>
        </w:rPr>
      </w:pPr>
      <w:r>
        <w:rPr>
          <w:rFonts w:hint="eastAsia"/>
          <w:szCs w:val="32"/>
          <w:u w:val="none"/>
        </w:rPr>
        <w:t>3</w:t>
      </w:r>
      <w:r>
        <w:rPr>
          <w:rFonts w:hint="default"/>
          <w:szCs w:val="32"/>
          <w:u w:val="none"/>
          <w:lang w:val="en-US" w:eastAsia="zh-CN"/>
        </w:rPr>
        <w:t>．</w:t>
      </w:r>
      <w:r>
        <w:rPr>
          <w:rFonts w:hint="eastAsia"/>
          <w:szCs w:val="32"/>
          <w:u w:val="none"/>
        </w:rPr>
        <w:t>次生地质灾害</w:t>
      </w:r>
      <w:r>
        <w:rPr>
          <w:rFonts w:hint="eastAsia"/>
          <w:szCs w:val="32"/>
          <w:u w:val="none"/>
          <w:lang w:eastAsia="zh-CN"/>
        </w:rPr>
        <w:t>。</w:t>
      </w:r>
    </w:p>
    <w:p>
      <w:pPr>
        <w:numPr>
          <w:ilvl w:val="0"/>
          <w:numId w:val="0"/>
        </w:numPr>
        <w:spacing w:line="576" w:lineRule="exact"/>
        <w:ind w:left="0" w:leftChars="0" w:firstLine="640" w:firstLineChars="200"/>
        <w:rPr>
          <w:szCs w:val="32"/>
          <w:lang w:bidi="ar"/>
        </w:rPr>
      </w:pPr>
      <w:r>
        <w:rPr>
          <w:rFonts w:ascii="Times New Roman" w:hAnsi="Times New Roman" w:eastAsia="方正仿宋_GBK" w:cs="Times New Roman"/>
          <w:kern w:val="2"/>
          <w:sz w:val="32"/>
          <w:szCs w:val="32"/>
          <w:lang w:val="en-US" w:eastAsia="zh-CN" w:bidi="ar"/>
        </w:rPr>
        <w:t>（1）</w:t>
      </w:r>
      <w:r>
        <w:rPr>
          <w:szCs w:val="32"/>
          <w:lang w:bidi="ar"/>
        </w:rPr>
        <w:t>坚持</w:t>
      </w:r>
      <w:r>
        <w:rPr>
          <w:rFonts w:hint="eastAsia" w:ascii="方正仿宋_GBK" w:hAnsi="方正仿宋_GBK" w:cs="方正仿宋_GBK"/>
          <w:szCs w:val="32"/>
          <w:lang w:bidi="ar"/>
        </w:rPr>
        <w:t>“以人为本”“预防为主”“搬迁避</w:t>
      </w:r>
      <w:r>
        <w:rPr>
          <w:szCs w:val="32"/>
          <w:lang w:bidi="ar"/>
        </w:rPr>
        <w:t>让与工程治理</w:t>
      </w:r>
      <w:r>
        <w:rPr>
          <w:rFonts w:hint="eastAsia" w:ascii="方正仿宋_GBK" w:hAnsi="方正仿宋_GBK" w:cs="方正仿宋_GBK"/>
          <w:szCs w:val="32"/>
          <w:lang w:bidi="ar"/>
        </w:rPr>
        <w:t>相结合”“专业监测与群测群防相结合”的原则。地质灾害防治工</w:t>
      </w:r>
      <w:r>
        <w:rPr>
          <w:szCs w:val="32"/>
          <w:lang w:bidi="ar"/>
        </w:rPr>
        <w:t>作应纳入年度经济社会发展考核指标和重点专项督查内容。</w:t>
      </w:r>
    </w:p>
    <w:p>
      <w:pPr>
        <w:numPr>
          <w:ilvl w:val="0"/>
          <w:numId w:val="0"/>
        </w:numPr>
        <w:spacing w:line="576" w:lineRule="exact"/>
        <w:ind w:left="0" w:leftChars="0" w:firstLine="640" w:firstLineChars="200"/>
        <w:rPr>
          <w:szCs w:val="32"/>
          <w:lang w:bidi="ar"/>
        </w:rPr>
      </w:pPr>
      <w:r>
        <w:rPr>
          <w:rFonts w:ascii="Times New Roman" w:hAnsi="Times New Roman" w:eastAsia="方正仿宋_GBK" w:cs="Times New Roman"/>
          <w:kern w:val="2"/>
          <w:sz w:val="32"/>
          <w:szCs w:val="32"/>
          <w:lang w:val="en-US" w:eastAsia="zh-CN" w:bidi="ar"/>
        </w:rPr>
        <w:t>（2）</w:t>
      </w:r>
      <w:r>
        <w:rPr>
          <w:szCs w:val="32"/>
          <w:lang w:bidi="ar"/>
        </w:rPr>
        <w:t>城市建设应统筹规划、科学布局，工程建设应避免大开大挖，避开危险地段进行工程建设。</w:t>
      </w:r>
    </w:p>
    <w:p>
      <w:pPr>
        <w:numPr>
          <w:ilvl w:val="0"/>
          <w:numId w:val="0"/>
        </w:numPr>
        <w:spacing w:line="576" w:lineRule="exact"/>
        <w:ind w:left="0" w:leftChars="0" w:firstLine="640" w:firstLineChars="200"/>
        <w:rPr>
          <w:szCs w:val="32"/>
          <w:lang w:bidi="ar"/>
        </w:rPr>
      </w:pPr>
      <w:r>
        <w:rPr>
          <w:rFonts w:ascii="Times New Roman" w:hAnsi="Times New Roman" w:eastAsia="方正仿宋_GBK" w:cs="Times New Roman"/>
          <w:kern w:val="2"/>
          <w:sz w:val="32"/>
          <w:szCs w:val="32"/>
          <w:lang w:val="en-US" w:eastAsia="zh-CN" w:bidi="ar"/>
        </w:rPr>
        <w:t>（3）</w:t>
      </w:r>
      <w:r>
        <w:rPr>
          <w:szCs w:val="32"/>
          <w:lang w:bidi="ar"/>
        </w:rPr>
        <w:t>工程建设应采取有效的工程治理措施，并积极开展工程绿化，可通过植树种草，保护植被，防止水土流失，避免滑坡和泥石流的发生。</w:t>
      </w:r>
    </w:p>
    <w:p>
      <w:pPr>
        <w:spacing w:line="576" w:lineRule="exact"/>
        <w:ind w:firstLine="640" w:firstLineChars="200"/>
        <w:rPr>
          <w:rFonts w:hint="eastAsia"/>
          <w:szCs w:val="32"/>
          <w:u w:val="none"/>
          <w:lang w:eastAsia="zh-CN"/>
        </w:rPr>
      </w:pPr>
      <w:r>
        <w:rPr>
          <w:rFonts w:hint="eastAsia"/>
          <w:szCs w:val="32"/>
          <w:u w:val="none"/>
        </w:rPr>
        <w:t>4</w:t>
      </w:r>
      <w:r>
        <w:rPr>
          <w:rFonts w:hint="default"/>
          <w:szCs w:val="32"/>
          <w:u w:val="none"/>
          <w:lang w:val="en-US" w:eastAsia="zh-CN"/>
        </w:rPr>
        <w:t>．</w:t>
      </w:r>
      <w:r>
        <w:rPr>
          <w:rFonts w:hint="eastAsia"/>
          <w:szCs w:val="32"/>
          <w:u w:val="none"/>
        </w:rPr>
        <w:t>次生爆炸威胁</w:t>
      </w:r>
      <w:r>
        <w:rPr>
          <w:rFonts w:hint="eastAsia"/>
          <w:szCs w:val="32"/>
          <w:u w:val="none"/>
          <w:lang w:eastAsia="zh-CN"/>
        </w:rPr>
        <w:t>。</w:t>
      </w:r>
    </w:p>
    <w:p>
      <w:pPr>
        <w:numPr>
          <w:ilvl w:val="0"/>
          <w:numId w:val="0"/>
        </w:numPr>
        <w:spacing w:line="576" w:lineRule="exact"/>
        <w:ind w:firstLine="640" w:firstLineChars="200"/>
        <w:rPr>
          <w:szCs w:val="32"/>
          <w:lang w:bidi="ar"/>
        </w:rPr>
      </w:pPr>
      <w:r>
        <w:rPr>
          <w:rFonts w:ascii="Times New Roman" w:hAnsi="Times New Roman" w:eastAsia="方正仿宋_GBK" w:cs="Times New Roman"/>
          <w:kern w:val="2"/>
          <w:sz w:val="32"/>
          <w:szCs w:val="32"/>
          <w:lang w:val="en-US" w:eastAsia="zh-CN" w:bidi="ar"/>
        </w:rPr>
        <w:t>（1）</w:t>
      </w:r>
      <w:r>
        <w:rPr>
          <w:szCs w:val="32"/>
          <w:lang w:bidi="ar"/>
        </w:rPr>
        <w:t>当地生产经营企业和管理部门应严格落实和执行《中华人民共和国安全生产法》相关内容规定，及时对重大危险源登记建档，定期开展监测、评估、监控，并制定应急预案。</w:t>
      </w:r>
    </w:p>
    <w:p>
      <w:pPr>
        <w:numPr>
          <w:ilvl w:val="0"/>
          <w:numId w:val="0"/>
        </w:numPr>
        <w:spacing w:line="576" w:lineRule="exact"/>
        <w:ind w:firstLine="640" w:firstLineChars="200"/>
        <w:rPr>
          <w:szCs w:val="32"/>
          <w:lang w:bidi="ar"/>
        </w:rPr>
      </w:pPr>
      <w:r>
        <w:rPr>
          <w:rFonts w:ascii="Times New Roman" w:hAnsi="Times New Roman" w:eastAsia="方正仿宋_GBK" w:cs="Times New Roman"/>
          <w:kern w:val="2"/>
          <w:sz w:val="32"/>
          <w:szCs w:val="32"/>
          <w:lang w:val="en-US" w:eastAsia="zh-CN" w:bidi="ar"/>
        </w:rPr>
        <w:t>（2）</w:t>
      </w:r>
      <w:r>
        <w:rPr>
          <w:szCs w:val="32"/>
          <w:lang w:bidi="ar"/>
        </w:rPr>
        <w:t>当地监管部门应定期开展检查，严格落实责任制；企业应加强重大危险源监控设施的日常维护保养，确保监控设施有效运行。</w:t>
      </w:r>
    </w:p>
    <w:p>
      <w:pPr>
        <w:numPr>
          <w:ilvl w:val="0"/>
          <w:numId w:val="0"/>
        </w:numPr>
        <w:spacing w:line="576" w:lineRule="exact"/>
        <w:ind w:firstLine="640" w:firstLineChars="200"/>
        <w:rPr>
          <w:szCs w:val="32"/>
          <w:lang w:bidi="ar"/>
        </w:rPr>
      </w:pPr>
      <w:r>
        <w:rPr>
          <w:rFonts w:ascii="Times New Roman" w:hAnsi="Times New Roman" w:eastAsia="方正仿宋_GBK" w:cs="Times New Roman"/>
          <w:kern w:val="2"/>
          <w:sz w:val="32"/>
          <w:szCs w:val="32"/>
          <w:lang w:val="en-US" w:eastAsia="zh-CN" w:bidi="ar"/>
        </w:rPr>
        <w:t>（3）</w:t>
      </w:r>
      <w:r>
        <w:rPr>
          <w:szCs w:val="32"/>
          <w:lang w:bidi="ar"/>
        </w:rPr>
        <w:t>加强监管和安全培训。对从事生产、经营、储存、使用危险品或处置危险品的人员，必须接受安全知识、专业技术、职业卫生防护和应急救援知识的培训，考核合格后方可上岗作业。</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第六十八条  </w:t>
      </w:r>
      <w:bookmarkStart w:id="305" w:name="_Toc158038177"/>
      <w:bookmarkStart w:id="306" w:name="_Toc156307059"/>
      <w:bookmarkStart w:id="307" w:name="_Toc158038273"/>
      <w:r>
        <w:rPr>
          <w:rFonts w:hint="eastAsia" w:ascii="方正黑体_GBK" w:hAnsi="Times New Roman" w:eastAsia="方正黑体_GBK" w:cstheme="minorBidi"/>
          <w:b w:val="0"/>
          <w:bCs/>
          <w:kern w:val="0"/>
          <w:sz w:val="32"/>
          <w:szCs w:val="32"/>
          <w:lang w:val="en-US" w:eastAsia="zh-CN" w:bidi="ar-SA"/>
        </w:rPr>
        <w:t>应急避难场所</w:t>
      </w:r>
      <w:bookmarkEnd w:id="305"/>
      <w:bookmarkEnd w:id="306"/>
      <w:bookmarkEnd w:id="307"/>
    </w:p>
    <w:p>
      <w:pPr>
        <w:spacing w:line="576" w:lineRule="exact"/>
        <w:ind w:firstLine="640" w:firstLineChars="200"/>
        <w:rPr>
          <w:szCs w:val="32"/>
        </w:rPr>
      </w:pPr>
      <w:r>
        <w:rPr>
          <w:szCs w:val="32"/>
          <w:lang w:bidi="ar"/>
        </w:rPr>
        <w:t>近期重点建设中长期应急避难场所1处、短期应急避难场所5处，有效避难疏散面积为46.05公顷，并协同完成抗震防灾应急交通、供水、供电等应急生命线设施配套保障项目。</w:t>
      </w:r>
      <w:r>
        <w:rPr>
          <w:szCs w:val="32"/>
        </w:rPr>
        <w:t>（详见附</w:t>
      </w:r>
      <w:r>
        <w:rPr>
          <w:rFonts w:hint="eastAsia"/>
          <w:szCs w:val="32"/>
          <w:lang w:val="en-US" w:eastAsia="zh-CN"/>
        </w:rPr>
        <w:t>表18</w:t>
      </w:r>
      <w:r>
        <w:rPr>
          <w:szCs w:val="32"/>
        </w:rPr>
        <w:t>）</w:t>
      </w:r>
    </w:p>
    <w:p>
      <w:pPr>
        <w:pStyle w:val="2"/>
      </w:pPr>
    </w:p>
    <w:p>
      <w:pPr>
        <w:pStyle w:val="4"/>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ascii="方正黑体_GBK"/>
          <w:bCs/>
        </w:rPr>
      </w:pPr>
      <w:r>
        <w:rPr>
          <w:rFonts w:hint="eastAsia" w:ascii="方正黑体_GBK" w:hAnsi="Times New Roman" w:eastAsia="方正黑体_GBK" w:cstheme="minorBidi"/>
          <w:bCs/>
          <w:kern w:val="0"/>
          <w:sz w:val="32"/>
          <w:szCs w:val="32"/>
          <w:lang w:val="en-US" w:eastAsia="zh-CN" w:bidi="ar-SA"/>
        </w:rPr>
        <w:t>第十四章</w:t>
      </w:r>
      <w:r>
        <w:rPr>
          <w:rFonts w:ascii="方正黑体_GBK"/>
          <w:bCs/>
        </w:rPr>
        <w:t xml:space="preserve">  </w:t>
      </w:r>
      <w:bookmarkStart w:id="308" w:name="_Toc156307060"/>
      <w:bookmarkStart w:id="309" w:name="_Toc158038274"/>
      <w:bookmarkStart w:id="310" w:name="_Toc158038178"/>
      <w:r>
        <w:rPr>
          <w:rFonts w:ascii="方正黑体_GBK"/>
          <w:bCs/>
        </w:rPr>
        <w:t>规划管理与保障措施</w:t>
      </w:r>
      <w:bookmarkEnd w:id="308"/>
      <w:bookmarkEnd w:id="309"/>
      <w:bookmarkEnd w:id="310"/>
    </w:p>
    <w:p>
      <w:pPr>
        <w:keepNext/>
        <w:spacing w:line="576" w:lineRule="exact"/>
        <w:ind w:firstLine="640" w:firstLineChars="200"/>
        <w:rPr>
          <w:lang w:val="zh-CN"/>
        </w:rPr>
      </w:pP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第六十九条  </w:t>
      </w:r>
      <w:bookmarkStart w:id="311" w:name="_Toc158038275"/>
      <w:bookmarkStart w:id="312" w:name="_Toc158038179"/>
      <w:bookmarkStart w:id="313" w:name="_Toc156307061"/>
      <w:r>
        <w:rPr>
          <w:rFonts w:hint="eastAsia" w:ascii="方正黑体_GBK" w:hAnsi="Times New Roman" w:eastAsia="方正黑体_GBK" w:cstheme="minorBidi"/>
          <w:b w:val="0"/>
          <w:bCs/>
          <w:kern w:val="0"/>
          <w:sz w:val="32"/>
          <w:szCs w:val="32"/>
          <w:lang w:val="en-US" w:eastAsia="zh-CN" w:bidi="ar-SA"/>
        </w:rPr>
        <w:t>规划实施的协调和管理</w:t>
      </w:r>
      <w:bookmarkEnd w:id="311"/>
      <w:bookmarkEnd w:id="312"/>
      <w:bookmarkEnd w:id="313"/>
    </w:p>
    <w:p>
      <w:pPr>
        <w:spacing w:line="576" w:lineRule="exact"/>
        <w:ind w:firstLine="640" w:firstLineChars="200"/>
        <w:rPr>
          <w:bCs/>
          <w:kern w:val="44"/>
          <w:szCs w:val="32"/>
          <w:lang w:bidi="ar"/>
        </w:rPr>
      </w:pPr>
      <w:r>
        <w:rPr>
          <w:bCs/>
          <w:kern w:val="44"/>
          <w:szCs w:val="32"/>
          <w:lang w:bidi="ar"/>
        </w:rPr>
        <w:t>綦江区应急局应会同区住房城乡建委、区规划和自然资源局、区发改委等部门参与工程建设全过程的管理与监督，负责协调抗震防灾规划的实施；城市各职能部门负责本部门的抗震防灾规划实施、管理和监督。</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第七十条  </w:t>
      </w:r>
      <w:bookmarkStart w:id="314" w:name="_Toc158038180"/>
      <w:bookmarkStart w:id="315" w:name="_Toc158038276"/>
      <w:bookmarkStart w:id="316" w:name="_Toc156307062"/>
      <w:r>
        <w:rPr>
          <w:rFonts w:hint="eastAsia" w:ascii="方正黑体_GBK" w:hAnsi="Times New Roman" w:eastAsia="方正黑体_GBK" w:cstheme="minorBidi"/>
          <w:b w:val="0"/>
          <w:bCs/>
          <w:kern w:val="0"/>
          <w:sz w:val="32"/>
          <w:szCs w:val="32"/>
          <w:lang w:val="en-US" w:eastAsia="zh-CN" w:bidi="ar-SA"/>
        </w:rPr>
        <w:t>年度计划制定和实施保障</w:t>
      </w:r>
      <w:bookmarkEnd w:id="314"/>
      <w:bookmarkEnd w:id="315"/>
      <w:bookmarkEnd w:id="316"/>
    </w:p>
    <w:p>
      <w:pPr>
        <w:spacing w:line="576" w:lineRule="exact"/>
        <w:ind w:firstLine="640" w:firstLineChars="200"/>
        <w:rPr>
          <w:bCs/>
          <w:kern w:val="44"/>
          <w:szCs w:val="32"/>
          <w:lang w:bidi="ar"/>
        </w:rPr>
      </w:pPr>
      <w:r>
        <w:rPr>
          <w:bCs/>
          <w:kern w:val="44"/>
          <w:szCs w:val="32"/>
          <w:lang w:bidi="ar"/>
        </w:rPr>
        <w:t>制定年度计划和保障措施，对抗震性能很差、近期城市建设规划已纳入改造的建设项目，应优先安排实施。</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第七十一条  </w:t>
      </w:r>
      <w:bookmarkStart w:id="317" w:name="_Toc156307063"/>
      <w:bookmarkStart w:id="318" w:name="_Toc158038181"/>
      <w:bookmarkStart w:id="319" w:name="_Toc158038277"/>
      <w:r>
        <w:rPr>
          <w:rFonts w:hint="eastAsia" w:ascii="方正黑体_GBK" w:hAnsi="Times New Roman" w:eastAsia="方正黑体_GBK" w:cstheme="minorBidi"/>
          <w:b w:val="0"/>
          <w:bCs/>
          <w:kern w:val="0"/>
          <w:sz w:val="32"/>
          <w:szCs w:val="32"/>
          <w:lang w:val="en-US" w:eastAsia="zh-CN" w:bidi="ar-SA"/>
        </w:rPr>
        <w:t>加强领导，健全机构，强化监督管理</w:t>
      </w:r>
      <w:bookmarkEnd w:id="317"/>
      <w:bookmarkEnd w:id="318"/>
      <w:bookmarkEnd w:id="319"/>
    </w:p>
    <w:p>
      <w:pPr>
        <w:spacing w:line="576" w:lineRule="exact"/>
        <w:ind w:firstLine="640" w:firstLineChars="200"/>
        <w:rPr>
          <w:szCs w:val="32"/>
        </w:rPr>
      </w:pPr>
      <w:r>
        <w:rPr>
          <w:szCs w:val="32"/>
        </w:rPr>
        <w:t>1</w:t>
      </w:r>
      <w:r>
        <w:rPr>
          <w:rFonts w:hint="default" w:ascii="Times New Roman" w:hAnsi="Times New Roman" w:eastAsia="方正仿宋_GBK" w:cs="Times New Roman"/>
          <w:b w:val="0"/>
          <w:bCs w:val="0"/>
          <w:sz w:val="32"/>
          <w:szCs w:val="32"/>
          <w:lang w:val="en-US" w:eastAsia="zh-CN"/>
        </w:rPr>
        <w:t>．</w:t>
      </w:r>
      <w:r>
        <w:rPr>
          <w:szCs w:val="32"/>
        </w:rPr>
        <w:t>建立城市抗震防灾管理机构，进一步加强和统筹城市建设中的抗震防灾管理，推进城市抗震防灾决策的科学化与民主化进程，提高城市抗震防灾应对能力。</w:t>
      </w:r>
    </w:p>
    <w:p>
      <w:pPr>
        <w:spacing w:line="576" w:lineRule="exact"/>
        <w:ind w:firstLine="640" w:firstLineChars="200"/>
        <w:rPr>
          <w:szCs w:val="32"/>
        </w:rPr>
      </w:pPr>
      <w:r>
        <w:rPr>
          <w:szCs w:val="32"/>
          <w:lang w:bidi="ar"/>
        </w:rPr>
        <w:t>2</w:t>
      </w:r>
      <w:r>
        <w:rPr>
          <w:rFonts w:hint="default" w:ascii="Times New Roman" w:hAnsi="Times New Roman" w:eastAsia="方正仿宋_GBK" w:cs="Times New Roman"/>
          <w:b w:val="0"/>
          <w:bCs w:val="0"/>
          <w:sz w:val="32"/>
          <w:szCs w:val="32"/>
          <w:lang w:val="en-US" w:eastAsia="zh-CN"/>
        </w:rPr>
        <w:t>．</w:t>
      </w:r>
      <w:r>
        <w:rPr>
          <w:szCs w:val="32"/>
          <w:lang w:bidi="ar"/>
        </w:rPr>
        <w:t>建议设立城市抗震防灾技术中心，实施防灾技术服务，拓宽防灾资金筹集渠道，负责日常信息维护、更新和技术管理。</w:t>
      </w:r>
    </w:p>
    <w:p>
      <w:pPr>
        <w:spacing w:line="576" w:lineRule="exact"/>
        <w:ind w:firstLine="640" w:firstLineChars="200"/>
        <w:rPr>
          <w:szCs w:val="32"/>
        </w:rPr>
      </w:pPr>
      <w:r>
        <w:rPr>
          <w:szCs w:val="32"/>
        </w:rPr>
        <w:t>3</w:t>
      </w:r>
      <w:r>
        <w:rPr>
          <w:rFonts w:hint="default" w:ascii="Times New Roman" w:hAnsi="Times New Roman" w:eastAsia="方正仿宋_GBK" w:cs="Times New Roman"/>
          <w:b w:val="0"/>
          <w:bCs w:val="0"/>
          <w:sz w:val="32"/>
          <w:szCs w:val="32"/>
          <w:lang w:val="en-US" w:eastAsia="zh-CN"/>
        </w:rPr>
        <w:t>．</w:t>
      </w:r>
      <w:r>
        <w:rPr>
          <w:szCs w:val="32"/>
          <w:lang w:bidi="ar"/>
        </w:rPr>
        <w:t>建立、健全区、镇（街道）、村（社区）的三级防灾规划体制，负责规划实施的落实和避震疏散安排等行政管理，区规划建设主管部门可设置1个专职岗位，负责城市抗震防灾规划管理和相关防灾减灾工作的全过程管理，镇（街道）可设置1名专业人员负责规划的具体实施，村（社区）应指定专人负责执行。</w:t>
      </w:r>
    </w:p>
    <w:p>
      <w:pPr>
        <w:spacing w:line="576" w:lineRule="exact"/>
        <w:ind w:firstLine="640" w:firstLineChars="200"/>
        <w:rPr>
          <w:szCs w:val="32"/>
        </w:rPr>
      </w:pPr>
      <w:r>
        <w:rPr>
          <w:szCs w:val="32"/>
        </w:rPr>
        <w:t>4</w:t>
      </w:r>
      <w:r>
        <w:rPr>
          <w:rFonts w:hint="default" w:ascii="Times New Roman" w:hAnsi="Times New Roman" w:eastAsia="方正仿宋_GBK" w:cs="Times New Roman"/>
          <w:b w:val="0"/>
          <w:bCs w:val="0"/>
          <w:sz w:val="32"/>
          <w:szCs w:val="32"/>
          <w:lang w:val="en-US" w:eastAsia="zh-CN"/>
        </w:rPr>
        <w:t>．</w:t>
      </w:r>
      <w:r>
        <w:rPr>
          <w:szCs w:val="32"/>
          <w:lang w:bidi="ar"/>
        </w:rPr>
        <w:t>加强工程建设的统一管理，特别是工程选址、方案评审和初步设计阶段的抗震防灾管理，消除工程建设和防灾、减灾管理工作中的某些薄弱环节和部门之间的障碍。</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第七十二条</w:t>
      </w:r>
      <w:r>
        <w:rPr>
          <w:rFonts w:hint="eastAsia" w:ascii="方正黑体_GBK" w:hAnsi="Times New Roman" w:eastAsia="方正黑体_GBK" w:cstheme="minorBidi"/>
          <w:b w:val="0"/>
          <w:bCs/>
          <w:kern w:val="0"/>
          <w:sz w:val="32"/>
          <w:szCs w:val="32"/>
          <w:lang w:val="en-US" w:eastAsia="zh-CN" w:bidi="ar-SA"/>
        </w:rPr>
        <w:tab/>
      </w:r>
      <w:r>
        <w:rPr>
          <w:rFonts w:hint="eastAsia" w:ascii="方正黑体_GBK" w:hAnsi="Times New Roman" w:eastAsia="方正黑体_GBK" w:cstheme="minorBidi"/>
          <w:b w:val="0"/>
          <w:bCs/>
          <w:kern w:val="0"/>
          <w:sz w:val="32"/>
          <w:szCs w:val="32"/>
          <w:lang w:val="en-US" w:eastAsia="zh-CN" w:bidi="ar-SA"/>
        </w:rPr>
        <w:t xml:space="preserve"> </w:t>
      </w:r>
      <w:bookmarkStart w:id="320" w:name="_Toc158038182"/>
      <w:bookmarkStart w:id="321" w:name="_Toc156307064"/>
      <w:bookmarkStart w:id="322" w:name="_Toc158038278"/>
      <w:r>
        <w:rPr>
          <w:rFonts w:hint="eastAsia" w:ascii="方正黑体_GBK" w:hAnsi="Times New Roman" w:eastAsia="方正黑体_GBK" w:cstheme="minorBidi"/>
          <w:b w:val="0"/>
          <w:bCs/>
          <w:kern w:val="0"/>
          <w:sz w:val="32"/>
          <w:szCs w:val="32"/>
          <w:lang w:val="en-US" w:eastAsia="zh-CN" w:bidi="ar-SA"/>
        </w:rPr>
        <w:t>建立健全防灾的法规和制度建设</w:t>
      </w:r>
      <w:bookmarkEnd w:id="320"/>
      <w:bookmarkEnd w:id="321"/>
      <w:bookmarkEnd w:id="322"/>
    </w:p>
    <w:p>
      <w:pPr>
        <w:spacing w:line="576" w:lineRule="exact"/>
        <w:ind w:firstLine="640" w:firstLineChars="200"/>
        <w:rPr>
          <w:szCs w:val="32"/>
        </w:rPr>
      </w:pPr>
      <w:r>
        <w:rPr>
          <w:szCs w:val="32"/>
        </w:rPr>
        <w:t>1</w:t>
      </w:r>
      <w:r>
        <w:rPr>
          <w:rFonts w:hint="default" w:ascii="Times New Roman" w:hAnsi="Times New Roman" w:eastAsia="方正仿宋_GBK" w:cs="Times New Roman"/>
          <w:b w:val="0"/>
          <w:bCs w:val="0"/>
          <w:sz w:val="32"/>
          <w:szCs w:val="32"/>
          <w:lang w:val="en-US" w:eastAsia="zh-CN"/>
        </w:rPr>
        <w:t>．</w:t>
      </w:r>
      <w:r>
        <w:rPr>
          <w:szCs w:val="32"/>
        </w:rPr>
        <w:t>根据国家和建设部、重庆市有关城市建设和抗震防灾的</w:t>
      </w:r>
      <w:r>
        <w:rPr>
          <w:rFonts w:hint="eastAsia"/>
          <w:szCs w:val="32"/>
        </w:rPr>
        <w:t>法律法规</w:t>
      </w:r>
      <w:r>
        <w:rPr>
          <w:szCs w:val="32"/>
        </w:rPr>
        <w:t>、规章和本规划的要求，制定必要的地方性的规章及规范性文件。</w:t>
      </w:r>
    </w:p>
    <w:p>
      <w:pPr>
        <w:spacing w:line="576" w:lineRule="exact"/>
        <w:ind w:firstLine="640" w:firstLineChars="200"/>
        <w:rPr>
          <w:szCs w:val="32"/>
        </w:rPr>
      </w:pPr>
      <w:r>
        <w:rPr>
          <w:szCs w:val="32"/>
        </w:rPr>
        <w:t>2</w:t>
      </w:r>
      <w:r>
        <w:rPr>
          <w:rFonts w:hint="default" w:ascii="Times New Roman" w:hAnsi="Times New Roman" w:eastAsia="方正仿宋_GBK" w:cs="Times New Roman"/>
          <w:b w:val="0"/>
          <w:bCs w:val="0"/>
          <w:sz w:val="32"/>
          <w:szCs w:val="32"/>
          <w:lang w:val="en-US" w:eastAsia="zh-CN"/>
        </w:rPr>
        <w:t>．</w:t>
      </w:r>
      <w:r>
        <w:rPr>
          <w:szCs w:val="32"/>
        </w:rPr>
        <w:t>执行向区领导机构报告制度。报告内容应包括抗震防灾规划的执行情况、进度、存在问题及改进建议等。</w:t>
      </w:r>
    </w:p>
    <w:p>
      <w:pPr>
        <w:spacing w:line="576" w:lineRule="exact"/>
        <w:ind w:firstLine="640" w:firstLineChars="200"/>
        <w:rPr>
          <w:szCs w:val="32"/>
        </w:rPr>
      </w:pPr>
      <w:r>
        <w:rPr>
          <w:szCs w:val="32"/>
        </w:rPr>
        <w:t>3</w:t>
      </w:r>
      <w:r>
        <w:rPr>
          <w:rFonts w:hint="default" w:ascii="Times New Roman" w:hAnsi="Times New Roman" w:eastAsia="方正仿宋_GBK" w:cs="Times New Roman"/>
          <w:b w:val="0"/>
          <w:bCs w:val="0"/>
          <w:sz w:val="32"/>
          <w:szCs w:val="32"/>
          <w:lang w:val="en-US" w:eastAsia="zh-CN"/>
        </w:rPr>
        <w:t>．</w:t>
      </w:r>
      <w:r>
        <w:rPr>
          <w:szCs w:val="32"/>
        </w:rPr>
        <w:t>基础资料变化时的申报制度。申报内容应包括城市抗震设防标准提高和降低，城市规划区的变化，城市基础资料的变化等影响抗震防灾规划的实施和执行的有关情况等。有关资料凡有实质性变化，都应进行申报。</w:t>
      </w:r>
    </w:p>
    <w:p>
      <w:pPr>
        <w:spacing w:line="576" w:lineRule="exact"/>
        <w:ind w:firstLine="640" w:firstLineChars="200"/>
        <w:rPr>
          <w:szCs w:val="32"/>
        </w:rPr>
      </w:pPr>
      <w:r>
        <w:rPr>
          <w:szCs w:val="32"/>
        </w:rPr>
        <w:t>4</w:t>
      </w:r>
      <w:r>
        <w:rPr>
          <w:rFonts w:hint="default" w:ascii="Times New Roman" w:hAnsi="Times New Roman" w:eastAsia="方正仿宋_GBK" w:cs="Times New Roman"/>
          <w:b w:val="0"/>
          <w:bCs w:val="0"/>
          <w:sz w:val="32"/>
          <w:szCs w:val="32"/>
          <w:lang w:val="en-US" w:eastAsia="zh-CN"/>
        </w:rPr>
        <w:t>．</w:t>
      </w:r>
      <w:r>
        <w:rPr>
          <w:szCs w:val="32"/>
        </w:rPr>
        <w:t>建立监督检查制度。规划的实施部门定期向区政府有关职能机构汇报监督、检查规划的执行情况和存在问题，提出改进措施和建议。</w:t>
      </w:r>
    </w:p>
    <w:p>
      <w:pPr>
        <w:spacing w:line="576" w:lineRule="exact"/>
        <w:ind w:firstLine="640" w:firstLineChars="200"/>
        <w:rPr>
          <w:szCs w:val="32"/>
        </w:rPr>
      </w:pPr>
      <w:r>
        <w:rPr>
          <w:szCs w:val="32"/>
        </w:rPr>
        <w:t>5</w:t>
      </w:r>
      <w:r>
        <w:rPr>
          <w:rFonts w:hint="default" w:ascii="Times New Roman" w:hAnsi="Times New Roman" w:eastAsia="方正仿宋_GBK" w:cs="Times New Roman"/>
          <w:b w:val="0"/>
          <w:bCs w:val="0"/>
          <w:sz w:val="32"/>
          <w:szCs w:val="32"/>
          <w:lang w:val="en-US" w:eastAsia="zh-CN"/>
        </w:rPr>
        <w:t>．</w:t>
      </w:r>
      <w:r>
        <w:rPr>
          <w:szCs w:val="32"/>
        </w:rPr>
        <w:t>定期修订制度。根据城市发展、科学技术的进步、城市基础资料的变化、抗震设防标准的调整以及执行中的其他重大问题，可进行局部和全面修订。全面修订一般为五到十年。</w:t>
      </w:r>
    </w:p>
    <w:p>
      <w:pPr>
        <w:spacing w:line="576" w:lineRule="exact"/>
        <w:ind w:firstLine="640" w:firstLineChars="200"/>
        <w:rPr>
          <w:szCs w:val="32"/>
        </w:rPr>
      </w:pPr>
      <w:r>
        <w:rPr>
          <w:szCs w:val="32"/>
        </w:rPr>
        <w:t>6</w:t>
      </w:r>
      <w:r>
        <w:rPr>
          <w:rFonts w:hint="default" w:ascii="Times New Roman" w:hAnsi="Times New Roman" w:eastAsia="方正仿宋_GBK" w:cs="Times New Roman"/>
          <w:b w:val="0"/>
          <w:bCs w:val="0"/>
          <w:sz w:val="32"/>
          <w:szCs w:val="32"/>
          <w:lang w:val="en-US" w:eastAsia="zh-CN"/>
        </w:rPr>
        <w:t>．</w:t>
      </w:r>
      <w:r>
        <w:rPr>
          <w:szCs w:val="32"/>
        </w:rPr>
        <w:t>建立奖惩制度。对执行和实施抗震防灾规划、积极并做出贡献的单位和个人给予奖励。任何单位和个人违反城市抗震防灾规划的应按有关</w:t>
      </w:r>
      <w:r>
        <w:rPr>
          <w:rFonts w:hint="eastAsia"/>
          <w:szCs w:val="32"/>
        </w:rPr>
        <w:t>法律法规</w:t>
      </w:r>
      <w:r>
        <w:rPr>
          <w:szCs w:val="32"/>
        </w:rPr>
        <w:t>和规章的有关规定给予处罚。</w:t>
      </w:r>
    </w:p>
    <w:p>
      <w:pPr>
        <w:spacing w:line="576" w:lineRule="exact"/>
        <w:ind w:firstLine="640" w:firstLineChars="200"/>
        <w:rPr>
          <w:szCs w:val="32"/>
        </w:rPr>
      </w:pPr>
      <w:r>
        <w:rPr>
          <w:szCs w:val="32"/>
        </w:rPr>
        <w:t>7</w:t>
      </w:r>
      <w:r>
        <w:rPr>
          <w:rFonts w:hint="default" w:ascii="Times New Roman" w:hAnsi="Times New Roman" w:eastAsia="方正仿宋_GBK" w:cs="Times New Roman"/>
          <w:b w:val="0"/>
          <w:bCs w:val="0"/>
          <w:sz w:val="32"/>
          <w:szCs w:val="32"/>
          <w:lang w:val="en-US" w:eastAsia="zh-CN"/>
        </w:rPr>
        <w:t>．</w:t>
      </w:r>
      <w:r>
        <w:rPr>
          <w:szCs w:val="32"/>
        </w:rPr>
        <w:t>建立规划实施的检查监督和举报投诉制度。建设行政主管部门应接受社会和舆论的监督。</w:t>
      </w:r>
    </w:p>
    <w:p>
      <w:pPr>
        <w:spacing w:line="576" w:lineRule="exact"/>
        <w:ind w:firstLine="640" w:firstLineChars="200"/>
        <w:rPr>
          <w:szCs w:val="32"/>
        </w:rPr>
      </w:pPr>
      <w:r>
        <w:rPr>
          <w:szCs w:val="32"/>
        </w:rPr>
        <w:t>8</w:t>
      </w:r>
      <w:r>
        <w:rPr>
          <w:rFonts w:hint="default" w:ascii="Times New Roman" w:hAnsi="Times New Roman" w:eastAsia="方正仿宋_GBK" w:cs="Times New Roman"/>
          <w:b w:val="0"/>
          <w:bCs w:val="0"/>
          <w:sz w:val="32"/>
          <w:szCs w:val="32"/>
          <w:lang w:val="en-US" w:eastAsia="zh-CN"/>
        </w:rPr>
        <w:t>．</w:t>
      </w:r>
      <w:r>
        <w:rPr>
          <w:szCs w:val="32"/>
        </w:rPr>
        <w:t>建立各职能单位定期协调会议制度，协调执行规划中互有交叉、影响的重大问题，保障本规划的顺利实施。</w:t>
      </w:r>
    </w:p>
    <w:p>
      <w:pPr>
        <w:spacing w:line="576" w:lineRule="exact"/>
        <w:ind w:firstLine="640" w:firstLineChars="200"/>
        <w:rPr>
          <w:szCs w:val="32"/>
        </w:rPr>
      </w:pPr>
      <w:r>
        <w:rPr>
          <w:szCs w:val="32"/>
        </w:rPr>
        <w:t>9</w:t>
      </w:r>
      <w:r>
        <w:rPr>
          <w:rFonts w:hint="default" w:ascii="Times New Roman" w:hAnsi="Times New Roman" w:eastAsia="方正仿宋_GBK" w:cs="Times New Roman"/>
          <w:b w:val="0"/>
          <w:bCs w:val="0"/>
          <w:sz w:val="32"/>
          <w:szCs w:val="32"/>
          <w:lang w:val="en-US" w:eastAsia="zh-CN"/>
        </w:rPr>
        <w:t>．</w:t>
      </w:r>
      <w:r>
        <w:rPr>
          <w:szCs w:val="32"/>
        </w:rPr>
        <w:t>建立接受和管理国内外救助的规定和实施办法，包括资金分配、物资的接收、储存、分配等。</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第七十三条  </w:t>
      </w:r>
      <w:bookmarkStart w:id="323" w:name="_Toc156307065"/>
      <w:bookmarkStart w:id="324" w:name="_Toc158038183"/>
      <w:bookmarkStart w:id="325" w:name="_Toc158038279"/>
      <w:r>
        <w:rPr>
          <w:rFonts w:hint="eastAsia" w:ascii="方正黑体_GBK" w:hAnsi="Times New Roman" w:eastAsia="方正黑体_GBK" w:cstheme="minorBidi"/>
          <w:b w:val="0"/>
          <w:bCs/>
          <w:kern w:val="0"/>
          <w:sz w:val="32"/>
          <w:szCs w:val="32"/>
          <w:lang w:val="en-US" w:eastAsia="zh-CN" w:bidi="ar-SA"/>
        </w:rPr>
        <w:t>加强宣传培训，增强全民抗震减灾意识和能力</w:t>
      </w:r>
      <w:bookmarkEnd w:id="323"/>
      <w:bookmarkEnd w:id="324"/>
      <w:bookmarkEnd w:id="325"/>
    </w:p>
    <w:p>
      <w:pPr>
        <w:spacing w:line="576" w:lineRule="exact"/>
        <w:ind w:firstLine="640" w:firstLineChars="200"/>
        <w:rPr>
          <w:szCs w:val="32"/>
        </w:rPr>
      </w:pPr>
      <w:r>
        <w:rPr>
          <w:szCs w:val="32"/>
        </w:rPr>
        <w:t>1</w:t>
      </w:r>
      <w:r>
        <w:rPr>
          <w:rFonts w:hint="default" w:ascii="Times New Roman" w:hAnsi="Times New Roman" w:eastAsia="方正仿宋_GBK" w:cs="Times New Roman"/>
          <w:b w:val="0"/>
          <w:bCs w:val="0"/>
          <w:sz w:val="32"/>
          <w:szCs w:val="32"/>
          <w:lang w:val="en-US" w:eastAsia="zh-CN"/>
        </w:rPr>
        <w:t>．</w:t>
      </w:r>
      <w:r>
        <w:rPr>
          <w:szCs w:val="32"/>
        </w:rPr>
        <w:t>由区应急、住建、教育、民政等部门组成领导小组，面向全社会组织实施宣传普及抗震防灾知识，使全区市民正确认识地震灾害，</w:t>
      </w:r>
      <w:r>
        <w:rPr>
          <w:rFonts w:hint="eastAsia"/>
          <w:szCs w:val="32"/>
        </w:rPr>
        <w:t>增强</w:t>
      </w:r>
      <w:r>
        <w:rPr>
          <w:szCs w:val="32"/>
        </w:rPr>
        <w:t>抗震防灾意识，增强地震发生时的应急应变能力，减轻灾害。建立宣讲材料的编制、准备和定期更新制度。</w:t>
      </w:r>
    </w:p>
    <w:p>
      <w:pPr>
        <w:spacing w:line="576" w:lineRule="exact"/>
        <w:ind w:firstLine="640" w:firstLineChars="200"/>
        <w:rPr>
          <w:rFonts w:hint="default" w:ascii="Times New Roman" w:hAnsi="Times New Roman" w:eastAsia="方正仿宋_GBK" w:cs="Times New Roman"/>
          <w:szCs w:val="32"/>
          <w:lang w:val="en-US" w:eastAsia="zh-CN"/>
        </w:rPr>
      </w:pPr>
      <w:r>
        <w:rPr>
          <w:rFonts w:hint="default" w:ascii="Times New Roman" w:hAnsi="Times New Roman" w:eastAsia="方正仿宋_GBK" w:cs="Times New Roman"/>
          <w:szCs w:val="32"/>
        </w:rPr>
        <w:t>2</w:t>
      </w:r>
      <w:r>
        <w:rPr>
          <w:rFonts w:hint="default" w:ascii="Times New Roman" w:hAnsi="Times New Roman" w:eastAsia="方正仿宋_GBK" w:cs="Times New Roman"/>
          <w:b w:val="0"/>
          <w:bCs w:val="0"/>
          <w:sz w:val="32"/>
          <w:szCs w:val="32"/>
          <w:lang w:val="en-US" w:eastAsia="zh-CN"/>
        </w:rPr>
        <w:t>．</w:t>
      </w:r>
      <w:r>
        <w:rPr>
          <w:rFonts w:hint="default" w:ascii="Times New Roman" w:hAnsi="Times New Roman" w:eastAsia="方正仿宋_GBK" w:cs="Times New Roman"/>
          <w:szCs w:val="32"/>
        </w:rPr>
        <w:t>宣传形式</w:t>
      </w:r>
      <w:r>
        <w:rPr>
          <w:rFonts w:hint="default" w:ascii="Times New Roman" w:hAnsi="Times New Roman" w:eastAsia="方正仿宋_GBK" w:cs="Times New Roman"/>
          <w:szCs w:val="32"/>
          <w:lang w:eastAsia="zh-CN"/>
        </w:rPr>
        <w:t>。</w:t>
      </w:r>
    </w:p>
    <w:p>
      <w:pPr>
        <w:numPr>
          <w:ilvl w:val="0"/>
          <w:numId w:val="0"/>
        </w:numPr>
        <w:spacing w:line="576" w:lineRule="exact"/>
        <w:ind w:left="0" w:leftChars="0" w:firstLine="640" w:firstLineChars="200"/>
        <w:rPr>
          <w:rFonts w:hint="default" w:ascii="Times New Roman" w:hAnsi="Times New Roman" w:eastAsia="方正仿宋_GBK" w:cs="Times New Roman"/>
          <w:szCs w:val="32"/>
        </w:rPr>
      </w:pPr>
      <w:r>
        <w:rPr>
          <w:rFonts w:hint="eastAsia" w:cs="Times New Roman"/>
          <w:szCs w:val="32"/>
          <w:lang w:eastAsia="zh-CN"/>
        </w:rPr>
        <w:t>（</w:t>
      </w:r>
      <w:r>
        <w:rPr>
          <w:rFonts w:hint="eastAsia" w:cs="Times New Roman"/>
          <w:szCs w:val="32"/>
          <w:lang w:val="en-US" w:eastAsia="zh-CN"/>
        </w:rPr>
        <w:t>1</w:t>
      </w:r>
      <w:r>
        <w:rPr>
          <w:rFonts w:hint="eastAsia" w:cs="Times New Roman"/>
          <w:szCs w:val="32"/>
          <w:lang w:eastAsia="zh-CN"/>
        </w:rPr>
        <w:t>）</w:t>
      </w:r>
      <w:r>
        <w:rPr>
          <w:rFonts w:hint="default" w:ascii="Times New Roman" w:hAnsi="Times New Roman" w:eastAsia="方正仿宋_GBK" w:cs="Times New Roman"/>
          <w:szCs w:val="32"/>
        </w:rPr>
        <w:t>举办短期训练班和开展抗震减灾管理和技术交流活动。</w:t>
      </w:r>
    </w:p>
    <w:p>
      <w:pPr>
        <w:numPr>
          <w:ilvl w:val="0"/>
          <w:numId w:val="0"/>
        </w:numPr>
        <w:spacing w:line="576" w:lineRule="exact"/>
        <w:ind w:left="0" w:leftChars="0" w:firstLine="640" w:firstLineChars="200"/>
        <w:rPr>
          <w:rFonts w:hint="default" w:ascii="Times New Roman" w:hAnsi="Times New Roman" w:eastAsia="方正仿宋_GBK" w:cs="Times New Roman"/>
          <w:szCs w:val="32"/>
        </w:rPr>
      </w:pPr>
      <w:r>
        <w:rPr>
          <w:rFonts w:hint="eastAsia" w:cs="Times New Roman"/>
          <w:szCs w:val="32"/>
          <w:lang w:eastAsia="zh-CN"/>
        </w:rPr>
        <w:t>（</w:t>
      </w:r>
      <w:r>
        <w:rPr>
          <w:rFonts w:hint="eastAsia" w:cs="Times New Roman"/>
          <w:szCs w:val="32"/>
          <w:lang w:val="en-US" w:eastAsia="zh-CN"/>
        </w:rPr>
        <w:t>2</w:t>
      </w:r>
      <w:r>
        <w:rPr>
          <w:rFonts w:hint="eastAsia" w:cs="Times New Roman"/>
          <w:szCs w:val="32"/>
          <w:lang w:eastAsia="zh-CN"/>
        </w:rPr>
        <w:t>）</w:t>
      </w:r>
      <w:r>
        <w:rPr>
          <w:rFonts w:hint="default" w:ascii="Times New Roman" w:hAnsi="Times New Roman" w:eastAsia="方正仿宋_GBK" w:cs="Times New Roman"/>
          <w:szCs w:val="32"/>
        </w:rPr>
        <w:t>利用广播、电视、电影、录像、广告等向企事业单位和广大市民进行宣传。</w:t>
      </w:r>
    </w:p>
    <w:p>
      <w:pPr>
        <w:numPr>
          <w:ilvl w:val="0"/>
          <w:numId w:val="0"/>
        </w:numPr>
        <w:spacing w:line="576" w:lineRule="exact"/>
        <w:ind w:left="0" w:leftChars="0" w:firstLine="640" w:firstLineChars="200"/>
        <w:rPr>
          <w:rFonts w:hint="default" w:ascii="Times New Roman" w:hAnsi="Times New Roman" w:eastAsia="方正仿宋_GBK" w:cs="Times New Roman"/>
          <w:szCs w:val="32"/>
        </w:rPr>
      </w:pPr>
      <w:r>
        <w:rPr>
          <w:rFonts w:hint="eastAsia" w:cs="Times New Roman"/>
          <w:szCs w:val="32"/>
          <w:lang w:eastAsia="zh-CN"/>
        </w:rPr>
        <w:t>（</w:t>
      </w:r>
      <w:r>
        <w:rPr>
          <w:rFonts w:hint="eastAsia" w:cs="Times New Roman"/>
          <w:szCs w:val="32"/>
          <w:lang w:val="en-US" w:eastAsia="zh-CN"/>
        </w:rPr>
        <w:t>3</w:t>
      </w:r>
      <w:r>
        <w:rPr>
          <w:rFonts w:hint="eastAsia" w:cs="Times New Roman"/>
          <w:szCs w:val="32"/>
          <w:lang w:eastAsia="zh-CN"/>
        </w:rPr>
        <w:t>）</w:t>
      </w:r>
      <w:r>
        <w:rPr>
          <w:rFonts w:hint="default" w:ascii="Times New Roman" w:hAnsi="Times New Roman" w:eastAsia="方正仿宋_GBK" w:cs="Times New Roman"/>
          <w:szCs w:val="32"/>
        </w:rPr>
        <w:t>设立宣传栏。有计划地在公园、影剧院等人流集中的公共场所及大型企事业单位，设立地震、抗震防灾宣传橱窗、画廊等。</w:t>
      </w:r>
    </w:p>
    <w:p>
      <w:pPr>
        <w:numPr>
          <w:ilvl w:val="0"/>
          <w:numId w:val="0"/>
        </w:numPr>
        <w:spacing w:line="576" w:lineRule="exact"/>
        <w:ind w:left="0" w:leftChars="0" w:firstLine="640" w:firstLineChars="200"/>
        <w:rPr>
          <w:rFonts w:hint="default" w:ascii="Times New Roman" w:hAnsi="Times New Roman" w:eastAsia="方正仿宋_GBK" w:cs="Times New Roman"/>
          <w:szCs w:val="32"/>
        </w:rPr>
      </w:pPr>
      <w:r>
        <w:rPr>
          <w:rFonts w:hint="eastAsia" w:cs="Times New Roman"/>
          <w:szCs w:val="32"/>
          <w:lang w:eastAsia="zh-CN"/>
        </w:rPr>
        <w:t>（</w:t>
      </w:r>
      <w:r>
        <w:rPr>
          <w:rFonts w:hint="eastAsia" w:cs="Times New Roman"/>
          <w:szCs w:val="32"/>
          <w:lang w:val="en-US" w:eastAsia="zh-CN"/>
        </w:rPr>
        <w:t>4</w:t>
      </w:r>
      <w:r>
        <w:rPr>
          <w:rFonts w:hint="eastAsia" w:cs="Times New Roman"/>
          <w:szCs w:val="32"/>
          <w:lang w:eastAsia="zh-CN"/>
        </w:rPr>
        <w:t>）</w:t>
      </w:r>
      <w:r>
        <w:rPr>
          <w:rFonts w:hint="default" w:ascii="Times New Roman" w:hAnsi="Times New Roman" w:eastAsia="方正仿宋_GBK" w:cs="Times New Roman"/>
          <w:szCs w:val="32"/>
        </w:rPr>
        <w:t>利用各种书刊宣传包括出版和发行抗震防灾报告文学、通俗读物、科普图片等。</w:t>
      </w:r>
    </w:p>
    <w:p>
      <w:pPr>
        <w:numPr>
          <w:ilvl w:val="0"/>
          <w:numId w:val="0"/>
        </w:numPr>
        <w:spacing w:line="576" w:lineRule="exact"/>
        <w:ind w:left="0" w:leftChars="0" w:firstLine="640" w:firstLineChars="200"/>
        <w:rPr>
          <w:rFonts w:hint="default" w:ascii="Times New Roman" w:hAnsi="Times New Roman" w:eastAsia="方正仿宋_GBK" w:cs="Times New Roman"/>
          <w:szCs w:val="32"/>
        </w:rPr>
      </w:pPr>
      <w:r>
        <w:rPr>
          <w:rFonts w:hint="eastAsia" w:cs="Times New Roman"/>
          <w:szCs w:val="32"/>
          <w:lang w:eastAsia="zh-CN"/>
        </w:rPr>
        <w:t>（</w:t>
      </w:r>
      <w:r>
        <w:rPr>
          <w:rFonts w:hint="eastAsia" w:cs="Times New Roman"/>
          <w:szCs w:val="32"/>
          <w:lang w:val="en-US" w:eastAsia="zh-CN"/>
        </w:rPr>
        <w:t>5</w:t>
      </w:r>
      <w:r>
        <w:rPr>
          <w:rFonts w:hint="eastAsia" w:cs="Times New Roman"/>
          <w:szCs w:val="32"/>
          <w:lang w:eastAsia="zh-CN"/>
        </w:rPr>
        <w:t>）</w:t>
      </w:r>
      <w:r>
        <w:rPr>
          <w:rFonts w:hint="default" w:ascii="Times New Roman" w:hAnsi="Times New Roman" w:eastAsia="方正仿宋_GBK" w:cs="Times New Roman"/>
          <w:szCs w:val="32"/>
        </w:rPr>
        <w:t>定期和选择适当的时机组织集中宣传。</w:t>
      </w:r>
    </w:p>
    <w:p>
      <w:pPr>
        <w:numPr>
          <w:ilvl w:val="0"/>
          <w:numId w:val="0"/>
        </w:numPr>
        <w:spacing w:line="576" w:lineRule="exact"/>
        <w:ind w:left="0" w:leftChars="0" w:firstLine="640" w:firstLineChars="200"/>
        <w:rPr>
          <w:rFonts w:hint="default" w:ascii="Times New Roman" w:hAnsi="Times New Roman" w:eastAsia="方正仿宋_GBK" w:cs="Times New Roman"/>
          <w:spacing w:val="6"/>
          <w:w w:val="102"/>
          <w:szCs w:val="32"/>
        </w:rPr>
      </w:pPr>
      <w:r>
        <w:rPr>
          <w:rFonts w:hint="eastAsia" w:cs="Times New Roman"/>
          <w:szCs w:val="32"/>
          <w:lang w:eastAsia="zh-CN"/>
        </w:rPr>
        <w:t>（</w:t>
      </w:r>
      <w:r>
        <w:rPr>
          <w:rFonts w:hint="eastAsia" w:cs="Times New Roman"/>
          <w:szCs w:val="32"/>
          <w:lang w:val="en-US" w:eastAsia="zh-CN"/>
        </w:rPr>
        <w:t>6</w:t>
      </w:r>
      <w:r>
        <w:rPr>
          <w:rFonts w:hint="eastAsia" w:cs="Times New Roman"/>
          <w:szCs w:val="32"/>
          <w:lang w:eastAsia="zh-CN"/>
        </w:rPr>
        <w:t>）</w:t>
      </w:r>
      <w:r>
        <w:rPr>
          <w:rFonts w:hint="default" w:ascii="Times New Roman" w:hAnsi="Times New Roman" w:eastAsia="方正仿宋_GBK" w:cs="Times New Roman"/>
          <w:spacing w:val="6"/>
          <w:w w:val="102"/>
          <w:szCs w:val="32"/>
        </w:rPr>
        <w:t>利用广播电视或组织重点防灾单位，开展防灾知识竞赛。</w:t>
      </w:r>
    </w:p>
    <w:p>
      <w:pPr>
        <w:numPr>
          <w:ilvl w:val="0"/>
          <w:numId w:val="0"/>
        </w:numPr>
        <w:spacing w:line="576" w:lineRule="exact"/>
        <w:ind w:left="0" w:leftChars="0" w:firstLine="640" w:firstLineChars="200"/>
        <w:rPr>
          <w:rFonts w:hint="default" w:ascii="Times New Roman" w:hAnsi="Times New Roman" w:eastAsia="方正仿宋_GBK" w:cs="Times New Roman"/>
          <w:szCs w:val="32"/>
        </w:rPr>
      </w:pPr>
      <w:r>
        <w:rPr>
          <w:rFonts w:hint="eastAsia" w:cs="Times New Roman"/>
          <w:szCs w:val="32"/>
          <w:lang w:eastAsia="zh-CN"/>
        </w:rPr>
        <w:t>（</w:t>
      </w:r>
      <w:r>
        <w:rPr>
          <w:rFonts w:hint="eastAsia" w:cs="Times New Roman"/>
          <w:szCs w:val="32"/>
          <w:lang w:val="en-US" w:eastAsia="zh-CN"/>
        </w:rPr>
        <w:t>7</w:t>
      </w:r>
      <w:r>
        <w:rPr>
          <w:rFonts w:hint="eastAsia" w:cs="Times New Roman"/>
          <w:szCs w:val="32"/>
          <w:lang w:eastAsia="zh-CN"/>
        </w:rPr>
        <w:t>）</w:t>
      </w:r>
      <w:r>
        <w:rPr>
          <w:rFonts w:hint="default" w:ascii="Times New Roman" w:hAnsi="Times New Roman" w:eastAsia="方正仿宋_GBK" w:cs="Times New Roman"/>
          <w:szCs w:val="32"/>
        </w:rPr>
        <w:t>充分利用互联网，建立防灾知识咨询网站，定期发布城市抗震防灾、减灾的有关信息。</w:t>
      </w:r>
    </w:p>
    <w:p>
      <w:pPr>
        <w:numPr>
          <w:ilvl w:val="0"/>
          <w:numId w:val="0"/>
        </w:numPr>
        <w:spacing w:line="576" w:lineRule="exact"/>
        <w:ind w:left="0" w:leftChars="0" w:firstLine="640" w:firstLineChars="200"/>
        <w:rPr>
          <w:rFonts w:hint="default" w:ascii="Times New Roman" w:hAnsi="Times New Roman" w:eastAsia="方正仿宋_GBK" w:cs="Times New Roman"/>
          <w:szCs w:val="32"/>
        </w:rPr>
      </w:pPr>
      <w:r>
        <w:rPr>
          <w:rFonts w:hint="eastAsia" w:cs="Times New Roman"/>
          <w:szCs w:val="32"/>
          <w:lang w:eastAsia="zh-CN"/>
        </w:rPr>
        <w:t>（</w:t>
      </w:r>
      <w:r>
        <w:rPr>
          <w:rFonts w:hint="eastAsia" w:cs="Times New Roman"/>
          <w:szCs w:val="32"/>
          <w:lang w:val="en-US" w:eastAsia="zh-CN"/>
        </w:rPr>
        <w:t>8</w:t>
      </w:r>
      <w:r>
        <w:rPr>
          <w:rFonts w:hint="eastAsia" w:cs="Times New Roman"/>
          <w:szCs w:val="32"/>
          <w:lang w:eastAsia="zh-CN"/>
        </w:rPr>
        <w:t>）</w:t>
      </w:r>
      <w:r>
        <w:rPr>
          <w:rFonts w:hint="default" w:ascii="Times New Roman" w:hAnsi="Times New Roman" w:eastAsia="方正仿宋_GBK" w:cs="Times New Roman"/>
          <w:szCs w:val="32"/>
        </w:rPr>
        <w:t>建立普及抗震防灾知识的宣传机制，组织街道、厂矿、企业、机关、学校，定期利用多种形式，进行宣传教育活动，提高抗灾自救能力。</w:t>
      </w:r>
    </w:p>
    <w:p>
      <w:pPr>
        <w:numPr>
          <w:ilvl w:val="0"/>
          <w:numId w:val="0"/>
        </w:numPr>
        <w:spacing w:line="576" w:lineRule="exact"/>
        <w:ind w:left="0" w:leftChars="0" w:firstLine="640" w:firstLineChars="200"/>
        <w:rPr>
          <w:szCs w:val="32"/>
        </w:rPr>
      </w:pPr>
      <w:r>
        <w:rPr>
          <w:rFonts w:hint="eastAsia" w:cs="Times New Roman"/>
          <w:szCs w:val="32"/>
          <w:lang w:eastAsia="zh-CN"/>
        </w:rPr>
        <w:t>（</w:t>
      </w:r>
      <w:r>
        <w:rPr>
          <w:rFonts w:hint="eastAsia" w:cs="Times New Roman"/>
          <w:szCs w:val="32"/>
          <w:lang w:val="en-US" w:eastAsia="zh-CN"/>
        </w:rPr>
        <w:t>9</w:t>
      </w:r>
      <w:r>
        <w:rPr>
          <w:rFonts w:hint="eastAsia" w:cs="Times New Roman"/>
          <w:szCs w:val="32"/>
          <w:lang w:eastAsia="zh-CN"/>
        </w:rPr>
        <w:t>）</w:t>
      </w:r>
      <w:r>
        <w:rPr>
          <w:rFonts w:hint="default" w:ascii="Times New Roman" w:hAnsi="Times New Roman" w:eastAsia="方正仿宋_GBK" w:cs="Times New Roman"/>
          <w:szCs w:val="32"/>
        </w:rPr>
        <w:t>认真组织群众进行防震演习。</w:t>
      </w:r>
    </w:p>
    <w:p>
      <w:pPr>
        <w:spacing w:line="576" w:lineRule="exact"/>
        <w:ind w:firstLine="640" w:firstLineChars="200"/>
        <w:rPr>
          <w:rFonts w:hint="default" w:ascii="Times New Roman" w:hAnsi="Times New Roman" w:eastAsia="方正仿宋_GBK" w:cs="Times New Roman"/>
          <w:szCs w:val="32"/>
          <w:lang w:eastAsia="zh-CN"/>
        </w:rPr>
      </w:pPr>
      <w:r>
        <w:rPr>
          <w:rFonts w:hint="default" w:ascii="Times New Roman" w:hAnsi="Times New Roman" w:eastAsia="方正仿宋_GBK" w:cs="Times New Roman"/>
          <w:szCs w:val="32"/>
        </w:rPr>
        <w:t>3</w:t>
      </w:r>
      <w:r>
        <w:rPr>
          <w:rFonts w:hint="default" w:ascii="Times New Roman" w:hAnsi="Times New Roman" w:eastAsia="方正仿宋_GBK" w:cs="Times New Roman"/>
          <w:b w:val="0"/>
          <w:bCs w:val="0"/>
          <w:sz w:val="32"/>
          <w:szCs w:val="32"/>
          <w:lang w:val="en-US" w:eastAsia="zh-CN"/>
        </w:rPr>
        <w:t>．</w:t>
      </w:r>
      <w:r>
        <w:rPr>
          <w:rFonts w:hint="default" w:ascii="Times New Roman" w:hAnsi="Times New Roman" w:eastAsia="方正仿宋_GBK" w:cs="Times New Roman"/>
          <w:szCs w:val="32"/>
        </w:rPr>
        <w:t>建立培训制度</w:t>
      </w:r>
      <w:r>
        <w:rPr>
          <w:rFonts w:hint="default" w:ascii="Times New Roman" w:hAnsi="Times New Roman" w:eastAsia="方正仿宋_GBK" w:cs="Times New Roman"/>
          <w:szCs w:val="32"/>
          <w:lang w:eastAsia="zh-CN"/>
        </w:rPr>
        <w:t>。</w:t>
      </w:r>
    </w:p>
    <w:p>
      <w:pPr>
        <w:spacing w:line="576" w:lineRule="exact"/>
        <w:ind w:firstLine="640" w:firstLineChars="200"/>
        <w:rPr>
          <w:szCs w:val="32"/>
        </w:rPr>
      </w:pPr>
      <w:r>
        <w:rPr>
          <w:szCs w:val="32"/>
        </w:rPr>
        <w:t>对各级主管防灾工作的领导、防灾管理人员、专业人员建立培训制度，根据不同对象、不同层次、不同专业制定相应的培训内容和计划。通过采用定期培训、现场培训或专题讲座等形式提高政府部门人员抗震防灾知识和工作水平。</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第七十四条  </w:t>
      </w:r>
      <w:bookmarkStart w:id="326" w:name="_Toc158038184"/>
      <w:bookmarkStart w:id="327" w:name="_Toc158038280"/>
      <w:bookmarkStart w:id="328" w:name="_Toc156307066"/>
      <w:r>
        <w:rPr>
          <w:rFonts w:hint="eastAsia" w:ascii="方正黑体_GBK" w:hAnsi="Times New Roman" w:eastAsia="方正黑体_GBK" w:cstheme="minorBidi"/>
          <w:b w:val="0"/>
          <w:bCs/>
          <w:kern w:val="0"/>
          <w:sz w:val="32"/>
          <w:szCs w:val="32"/>
          <w:lang w:val="en-US" w:eastAsia="zh-CN" w:bidi="ar-SA"/>
        </w:rPr>
        <w:t>依靠科技进步，提高城市抗震能力和水平</w:t>
      </w:r>
      <w:bookmarkEnd w:id="326"/>
      <w:bookmarkEnd w:id="327"/>
      <w:bookmarkEnd w:id="328"/>
    </w:p>
    <w:p>
      <w:pPr>
        <w:spacing w:line="576" w:lineRule="exact"/>
        <w:ind w:firstLine="640" w:firstLineChars="200"/>
        <w:rPr>
          <w:szCs w:val="32"/>
        </w:rPr>
      </w:pPr>
      <w:r>
        <w:rPr>
          <w:szCs w:val="32"/>
        </w:rPr>
        <w:t>充分利用现代科学技术方法和手段，提高城市抗震防灾综合能力。加大对抗震防灾科学研究的支持，通过专项研究，找出解决问题的办法，促进城市抗震防灾能力的提高。</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第七十五条  </w:t>
      </w:r>
      <w:bookmarkStart w:id="329" w:name="_Toc158038185"/>
      <w:bookmarkStart w:id="330" w:name="_Toc156307067"/>
      <w:bookmarkStart w:id="331" w:name="_Toc158038281"/>
      <w:r>
        <w:rPr>
          <w:rFonts w:hint="eastAsia" w:ascii="方正黑体_GBK" w:hAnsi="Times New Roman" w:eastAsia="方正黑体_GBK" w:cstheme="minorBidi"/>
          <w:b w:val="0"/>
          <w:bCs/>
          <w:kern w:val="0"/>
          <w:sz w:val="32"/>
          <w:szCs w:val="32"/>
          <w:lang w:val="en-US" w:eastAsia="zh-CN" w:bidi="ar-SA"/>
        </w:rPr>
        <w:t>建立稳定的投入保障机制，确保规划实施</w:t>
      </w:r>
      <w:bookmarkEnd w:id="329"/>
      <w:bookmarkEnd w:id="330"/>
      <w:bookmarkEnd w:id="331"/>
    </w:p>
    <w:p>
      <w:pPr>
        <w:numPr>
          <w:ilvl w:val="0"/>
          <w:numId w:val="0"/>
        </w:numPr>
        <w:spacing w:line="576" w:lineRule="exact"/>
        <w:ind w:left="0" w:leftChars="0" w:firstLine="640" w:firstLineChars="200"/>
        <w:rPr>
          <w:szCs w:val="32"/>
        </w:rPr>
      </w:pPr>
      <w:r>
        <w:rPr>
          <w:rFonts w:hint="default" w:ascii="Times New Roman" w:hAnsi="Times New Roman" w:eastAsia="方正仿宋_GBK" w:cs="Times New Roman"/>
          <w:kern w:val="2"/>
          <w:sz w:val="32"/>
          <w:szCs w:val="32"/>
          <w:lang w:val="en-US" w:eastAsia="zh-CN" w:bidi="ar-SA"/>
        </w:rPr>
        <w:t>1</w:t>
      </w:r>
      <w:r>
        <w:rPr>
          <w:rFonts w:hint="default" w:ascii="Times New Roman" w:hAnsi="Times New Roman" w:eastAsia="方正仿宋_GBK" w:cs="Times New Roman"/>
          <w:b w:val="0"/>
          <w:bCs w:val="0"/>
          <w:sz w:val="32"/>
          <w:szCs w:val="32"/>
          <w:lang w:val="en-US" w:eastAsia="zh-CN"/>
        </w:rPr>
        <w:t>．</w:t>
      </w:r>
      <w:r>
        <w:rPr>
          <w:szCs w:val="32"/>
        </w:rPr>
        <w:t>抗震防灾规划宜纳入区和国民经济及社会发展计划，相关经费应列入各级财政年度预算。</w:t>
      </w:r>
    </w:p>
    <w:p>
      <w:pPr>
        <w:numPr>
          <w:ilvl w:val="0"/>
          <w:numId w:val="0"/>
        </w:numPr>
        <w:spacing w:line="576" w:lineRule="exact"/>
        <w:ind w:left="0" w:leftChars="0" w:firstLine="640" w:firstLineChars="200"/>
        <w:rPr>
          <w:szCs w:val="32"/>
        </w:rPr>
      </w:pPr>
      <w:r>
        <w:rPr>
          <w:rFonts w:hint="default" w:ascii="Times New Roman" w:hAnsi="Times New Roman" w:eastAsia="方正仿宋_GBK" w:cs="Times New Roman"/>
          <w:kern w:val="2"/>
          <w:sz w:val="32"/>
          <w:szCs w:val="32"/>
          <w:lang w:val="en-US" w:eastAsia="zh-CN" w:bidi="ar-SA"/>
        </w:rPr>
        <w:t>2</w:t>
      </w:r>
      <w:r>
        <w:rPr>
          <w:rFonts w:hint="default" w:ascii="Times New Roman" w:hAnsi="Times New Roman" w:eastAsia="方正仿宋_GBK" w:cs="Times New Roman"/>
          <w:b w:val="0"/>
          <w:bCs w:val="0"/>
          <w:sz w:val="32"/>
          <w:szCs w:val="32"/>
          <w:lang w:val="en-US" w:eastAsia="zh-CN"/>
        </w:rPr>
        <w:t>．</w:t>
      </w:r>
      <w:r>
        <w:rPr>
          <w:szCs w:val="32"/>
        </w:rPr>
        <w:t>区政府按程序由财政部门建立抗震防灾专项资金，资金的使用按项目列入年度计划，用于防灾工作，保证防灾工作的顺利开展。</w:t>
      </w:r>
    </w:p>
    <w:p>
      <w:pPr>
        <w:numPr>
          <w:ilvl w:val="0"/>
          <w:numId w:val="0"/>
        </w:numPr>
        <w:spacing w:line="576" w:lineRule="exact"/>
        <w:ind w:left="0" w:leftChars="0" w:firstLine="640" w:firstLineChars="200"/>
        <w:rPr>
          <w:szCs w:val="32"/>
        </w:rPr>
      </w:pPr>
      <w:r>
        <w:rPr>
          <w:rFonts w:hint="default" w:ascii="Times New Roman" w:hAnsi="Times New Roman" w:eastAsia="方正仿宋_GBK" w:cs="Times New Roman"/>
          <w:kern w:val="2"/>
          <w:sz w:val="32"/>
          <w:szCs w:val="32"/>
          <w:lang w:val="en-US" w:eastAsia="zh-CN" w:bidi="ar-SA"/>
        </w:rPr>
        <w:t>3</w:t>
      </w:r>
      <w:r>
        <w:rPr>
          <w:rFonts w:hint="default" w:ascii="Times New Roman" w:hAnsi="Times New Roman" w:eastAsia="方正仿宋_GBK" w:cs="Times New Roman"/>
          <w:b w:val="0"/>
          <w:bCs w:val="0"/>
          <w:sz w:val="32"/>
          <w:szCs w:val="32"/>
          <w:lang w:val="en-US" w:eastAsia="zh-CN"/>
        </w:rPr>
        <w:t>．</w:t>
      </w:r>
      <w:r>
        <w:rPr>
          <w:szCs w:val="32"/>
        </w:rPr>
        <w:t>城市抗震防灾经费按</w:t>
      </w:r>
      <w:r>
        <w:rPr>
          <w:rFonts w:hint="eastAsia" w:ascii="方正仿宋_GBK" w:hAnsi="方正仿宋_GBK" w:cs="方正仿宋_GBK"/>
          <w:szCs w:val="32"/>
        </w:rPr>
        <w:t>照“谁建设、谁负责”的原</w:t>
      </w:r>
      <w:r>
        <w:rPr>
          <w:szCs w:val="32"/>
        </w:rPr>
        <w:t>则筹措，政府给予政策支持及适当的资金鼓励，政府建筑、政府负责的公共建筑以所在地政府财政投入为主，城市抗震防灾的基础建设（避震疏散、科学研究等）对于城市建成区以所在地政府财政投入为主，对于新建区由建设单位负责，抗震加固改造建筑以产权所有者为主、政府给予政策鼓励和适当补贴，新建工程由各建设单位负责、政府应加强管理。对市政设施和其他公共建筑的抗震加固按先急后缓分年度纳入城建项目计划，统筹安排。</w:t>
      </w:r>
    </w:p>
    <w:p>
      <w:pPr>
        <w:numPr>
          <w:ilvl w:val="0"/>
          <w:numId w:val="0"/>
        </w:numPr>
        <w:spacing w:line="576" w:lineRule="exact"/>
        <w:ind w:left="0" w:leftChars="0" w:firstLine="640" w:firstLineChars="200"/>
        <w:rPr>
          <w:spacing w:val="6"/>
          <w:w w:val="102"/>
          <w:szCs w:val="32"/>
        </w:rPr>
      </w:pPr>
      <w:r>
        <w:rPr>
          <w:rFonts w:hint="default" w:ascii="Times New Roman" w:hAnsi="Times New Roman" w:eastAsia="方正仿宋_GBK" w:cs="Times New Roman"/>
          <w:kern w:val="2"/>
          <w:sz w:val="32"/>
          <w:szCs w:val="32"/>
          <w:lang w:val="en-US" w:eastAsia="zh-CN" w:bidi="ar-SA"/>
        </w:rPr>
        <w:t>4</w:t>
      </w:r>
      <w:r>
        <w:rPr>
          <w:rFonts w:hint="default" w:ascii="Times New Roman" w:hAnsi="Times New Roman" w:eastAsia="方正仿宋_GBK" w:cs="Times New Roman"/>
          <w:b w:val="0"/>
          <w:bCs w:val="0"/>
          <w:sz w:val="32"/>
          <w:szCs w:val="32"/>
          <w:lang w:val="en-US" w:eastAsia="zh-CN"/>
        </w:rPr>
        <w:t>．</w:t>
      </w:r>
      <w:r>
        <w:rPr>
          <w:szCs w:val="32"/>
        </w:rPr>
        <w:t>为加快城市抗震防灾工作的发展，可引入和完善地震灾</w:t>
      </w:r>
      <w:r>
        <w:rPr>
          <w:spacing w:val="6"/>
          <w:w w:val="102"/>
          <w:szCs w:val="32"/>
        </w:rPr>
        <w:t>害保险机制，实施城市间和跨地区的联防互助计划，分散灾害风险。</w:t>
      </w:r>
    </w:p>
    <w:p>
      <w:pPr>
        <w:numPr>
          <w:ilvl w:val="0"/>
          <w:numId w:val="0"/>
        </w:numPr>
        <w:spacing w:line="576" w:lineRule="exact"/>
        <w:ind w:left="0" w:leftChars="0" w:firstLine="640" w:firstLineChars="200"/>
        <w:rPr>
          <w:szCs w:val="32"/>
        </w:rPr>
      </w:pPr>
      <w:r>
        <w:rPr>
          <w:rFonts w:hint="default" w:ascii="Times New Roman" w:hAnsi="Times New Roman" w:eastAsia="方正仿宋_GBK" w:cs="Times New Roman"/>
          <w:kern w:val="2"/>
          <w:sz w:val="32"/>
          <w:szCs w:val="32"/>
          <w:lang w:val="en-US" w:eastAsia="zh-CN" w:bidi="ar-SA"/>
        </w:rPr>
        <w:t>5</w:t>
      </w:r>
      <w:r>
        <w:rPr>
          <w:rFonts w:hint="default" w:ascii="Times New Roman" w:hAnsi="Times New Roman" w:eastAsia="方正仿宋_GBK" w:cs="Times New Roman"/>
          <w:b w:val="0"/>
          <w:bCs w:val="0"/>
          <w:sz w:val="32"/>
          <w:szCs w:val="32"/>
          <w:lang w:val="en-US" w:eastAsia="zh-CN"/>
        </w:rPr>
        <w:t>．</w:t>
      </w:r>
      <w:r>
        <w:rPr>
          <w:szCs w:val="32"/>
        </w:rPr>
        <w:t>政府应制定鼓励政策，对进行加固改造、采用较高标准进行防灾建设、采用新技术提高抗灾安全性者进行鼓励引导。</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第七十六条  </w:t>
      </w:r>
      <w:bookmarkStart w:id="332" w:name="_Toc156307068"/>
      <w:bookmarkStart w:id="333" w:name="_Toc158038186"/>
      <w:bookmarkStart w:id="334" w:name="_Toc158038282"/>
      <w:r>
        <w:rPr>
          <w:rFonts w:hint="eastAsia" w:ascii="方正黑体_GBK" w:hAnsi="Times New Roman" w:eastAsia="方正黑体_GBK" w:cstheme="minorBidi"/>
          <w:b w:val="0"/>
          <w:bCs/>
          <w:kern w:val="0"/>
          <w:sz w:val="32"/>
          <w:szCs w:val="32"/>
          <w:lang w:val="en-US" w:eastAsia="zh-CN" w:bidi="ar-SA"/>
        </w:rPr>
        <w:t>规划实施宣传</w:t>
      </w:r>
      <w:bookmarkEnd w:id="332"/>
      <w:bookmarkEnd w:id="333"/>
      <w:bookmarkEnd w:id="334"/>
    </w:p>
    <w:p>
      <w:pPr>
        <w:spacing w:line="576" w:lineRule="exact"/>
        <w:ind w:firstLine="640" w:firstLineChars="200"/>
        <w:rPr>
          <w:szCs w:val="32"/>
        </w:rPr>
      </w:pPr>
      <w:r>
        <w:rPr>
          <w:szCs w:val="32"/>
        </w:rPr>
        <w:t>认真贯彻执行《中华人民共和国城乡规划法</w:t>
      </w:r>
      <w:r>
        <w:rPr>
          <w:rFonts w:hint="eastAsia"/>
          <w:szCs w:val="32"/>
        </w:rPr>
        <w:t>》《</w:t>
      </w:r>
      <w:r>
        <w:rPr>
          <w:szCs w:val="32"/>
        </w:rPr>
        <w:t>中华人民共和国突发事件应对法</w:t>
      </w:r>
      <w:r>
        <w:rPr>
          <w:rFonts w:hint="eastAsia"/>
          <w:szCs w:val="32"/>
        </w:rPr>
        <w:t>》《</w:t>
      </w:r>
      <w:r>
        <w:rPr>
          <w:szCs w:val="32"/>
        </w:rPr>
        <w:t>中华人民共和国文物保护法</w:t>
      </w:r>
      <w:r>
        <w:rPr>
          <w:rFonts w:hint="eastAsia"/>
          <w:szCs w:val="32"/>
        </w:rPr>
        <w:t>》《</w:t>
      </w:r>
      <w:r>
        <w:rPr>
          <w:szCs w:val="32"/>
        </w:rPr>
        <w:t>中华人民共和国防震减灾法》，维护规划的法效性、严肃性和权威性，任何部门、单位和个人不得擅自违反或更改。加强城市抗震防灾的宣传教育，</w:t>
      </w:r>
      <w:r>
        <w:rPr>
          <w:rFonts w:hint="eastAsia"/>
          <w:szCs w:val="32"/>
        </w:rPr>
        <w:t>增强</w:t>
      </w:r>
      <w:r>
        <w:rPr>
          <w:szCs w:val="32"/>
        </w:rPr>
        <w:t>全民防灾意识和维护、执行规划的自觉性。</w:t>
      </w:r>
    </w:p>
    <w:p>
      <w:pPr>
        <w:spacing w:line="576" w:lineRule="exact"/>
        <w:rPr>
          <w:szCs w:val="32"/>
        </w:rPr>
      </w:pPr>
    </w:p>
    <w:p>
      <w:pPr>
        <w:pStyle w:val="4"/>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ascii="方正黑体_GBK"/>
          <w:bCs/>
        </w:rPr>
      </w:pPr>
      <w:r>
        <w:rPr>
          <w:rFonts w:hint="eastAsia" w:ascii="方正黑体_GBK" w:hAnsi="Times New Roman" w:eastAsia="方正黑体_GBK" w:cstheme="minorBidi"/>
          <w:bCs/>
          <w:kern w:val="0"/>
          <w:sz w:val="32"/>
          <w:szCs w:val="32"/>
          <w:lang w:val="en-US" w:eastAsia="zh-CN" w:bidi="ar-SA"/>
        </w:rPr>
        <w:t>第十五章</w:t>
      </w:r>
      <w:r>
        <w:rPr>
          <w:rFonts w:ascii="方正黑体_GBK"/>
          <w:bCs/>
        </w:rPr>
        <w:t xml:space="preserve">  </w:t>
      </w:r>
      <w:bookmarkStart w:id="335" w:name="_Toc158038187"/>
      <w:bookmarkStart w:id="336" w:name="_Toc156307069"/>
      <w:bookmarkStart w:id="337" w:name="_Toc158038283"/>
      <w:r>
        <w:rPr>
          <w:rFonts w:ascii="方正黑体_GBK"/>
          <w:bCs/>
        </w:rPr>
        <w:t>附</w:t>
      </w:r>
      <w:r>
        <w:rPr>
          <w:rFonts w:hint="eastAsia" w:ascii="方正黑体_GBK"/>
          <w:bCs/>
          <w:lang w:val="en-US" w:eastAsia="zh-CN"/>
        </w:rPr>
        <w:t xml:space="preserve">  </w:t>
      </w:r>
      <w:r>
        <w:rPr>
          <w:rFonts w:ascii="方正黑体_GBK"/>
          <w:bCs/>
        </w:rPr>
        <w:t>则</w:t>
      </w:r>
      <w:bookmarkEnd w:id="335"/>
      <w:bookmarkEnd w:id="336"/>
      <w:bookmarkEnd w:id="337"/>
    </w:p>
    <w:p>
      <w:pPr>
        <w:keepNext/>
        <w:spacing w:line="576" w:lineRule="exact"/>
        <w:ind w:firstLine="640" w:firstLineChars="200"/>
        <w:rPr>
          <w:lang w:val="zh-CN"/>
        </w:rPr>
      </w:pP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第七十七条  </w:t>
      </w:r>
      <w:bookmarkStart w:id="338" w:name="_Toc158038284"/>
      <w:bookmarkStart w:id="339" w:name="_Toc158038188"/>
      <w:bookmarkStart w:id="340" w:name="_Toc156307070"/>
      <w:r>
        <w:rPr>
          <w:rFonts w:hint="eastAsia" w:ascii="方正黑体_GBK" w:hAnsi="Times New Roman" w:eastAsia="方正黑体_GBK" w:cstheme="minorBidi"/>
          <w:b w:val="0"/>
          <w:bCs/>
          <w:kern w:val="0"/>
          <w:sz w:val="32"/>
          <w:szCs w:val="32"/>
          <w:lang w:val="en-US" w:eastAsia="zh-CN" w:bidi="ar-SA"/>
        </w:rPr>
        <w:t>修编条件</w:t>
      </w:r>
      <w:bookmarkEnd w:id="338"/>
      <w:bookmarkEnd w:id="339"/>
      <w:bookmarkEnd w:id="340"/>
    </w:p>
    <w:p>
      <w:pPr>
        <w:spacing w:line="576" w:lineRule="exact"/>
        <w:ind w:firstLine="640" w:firstLineChars="200"/>
        <w:rPr>
          <w:szCs w:val="32"/>
        </w:rPr>
      </w:pPr>
      <w:r>
        <w:rPr>
          <w:szCs w:val="32"/>
        </w:rPr>
        <w:t>1</w:t>
      </w:r>
      <w:r>
        <w:rPr>
          <w:rFonts w:hint="default" w:ascii="Times New Roman" w:hAnsi="Times New Roman" w:eastAsia="方正仿宋_GBK" w:cs="Times New Roman"/>
          <w:b w:val="0"/>
          <w:bCs w:val="0"/>
          <w:sz w:val="32"/>
          <w:szCs w:val="32"/>
          <w:lang w:val="en-US" w:eastAsia="zh-CN"/>
        </w:rPr>
        <w:t>．</w:t>
      </w:r>
      <w:r>
        <w:rPr>
          <w:szCs w:val="32"/>
        </w:rPr>
        <w:t>城市国土空间规划进行修编时；</w:t>
      </w:r>
    </w:p>
    <w:p>
      <w:pPr>
        <w:spacing w:line="576" w:lineRule="exact"/>
        <w:ind w:firstLine="640" w:firstLineChars="200"/>
        <w:rPr>
          <w:szCs w:val="32"/>
        </w:rPr>
      </w:pPr>
      <w:r>
        <w:rPr>
          <w:szCs w:val="32"/>
        </w:rPr>
        <w:t>2</w:t>
      </w:r>
      <w:r>
        <w:rPr>
          <w:rFonts w:hint="default" w:ascii="Times New Roman" w:hAnsi="Times New Roman" w:eastAsia="方正仿宋_GBK" w:cs="Times New Roman"/>
          <w:b w:val="0"/>
          <w:bCs w:val="0"/>
          <w:sz w:val="32"/>
          <w:szCs w:val="32"/>
          <w:lang w:val="en-US" w:eastAsia="zh-CN"/>
        </w:rPr>
        <w:t>．</w:t>
      </w:r>
      <w:r>
        <w:rPr>
          <w:szCs w:val="32"/>
        </w:rPr>
        <w:t>城市的工程设施情况发生较大变化本规划已不能适应城市情况时；</w:t>
      </w:r>
    </w:p>
    <w:p>
      <w:pPr>
        <w:spacing w:line="576" w:lineRule="exact"/>
        <w:ind w:firstLine="640" w:firstLineChars="200"/>
        <w:rPr>
          <w:szCs w:val="32"/>
        </w:rPr>
      </w:pPr>
      <w:r>
        <w:rPr>
          <w:szCs w:val="32"/>
        </w:rPr>
        <w:t>3</w:t>
      </w:r>
      <w:r>
        <w:rPr>
          <w:rFonts w:hint="default" w:ascii="Times New Roman" w:hAnsi="Times New Roman" w:eastAsia="方正仿宋_GBK" w:cs="Times New Roman"/>
          <w:b w:val="0"/>
          <w:bCs w:val="0"/>
          <w:sz w:val="32"/>
          <w:szCs w:val="32"/>
          <w:lang w:val="en-US" w:eastAsia="zh-CN"/>
        </w:rPr>
        <w:t>．</w:t>
      </w:r>
      <w:r>
        <w:rPr>
          <w:szCs w:val="32"/>
        </w:rPr>
        <w:t>城市抗震设防要求发生重大变化时；</w:t>
      </w:r>
    </w:p>
    <w:p>
      <w:pPr>
        <w:spacing w:line="576" w:lineRule="exact"/>
        <w:ind w:firstLine="640" w:firstLineChars="200"/>
        <w:rPr>
          <w:szCs w:val="32"/>
        </w:rPr>
      </w:pPr>
      <w:r>
        <w:rPr>
          <w:szCs w:val="32"/>
        </w:rPr>
        <w:t>4</w:t>
      </w:r>
      <w:r>
        <w:rPr>
          <w:rFonts w:hint="default" w:ascii="Times New Roman" w:hAnsi="Times New Roman" w:eastAsia="方正仿宋_GBK" w:cs="Times New Roman"/>
          <w:b w:val="0"/>
          <w:bCs w:val="0"/>
          <w:sz w:val="32"/>
          <w:szCs w:val="32"/>
          <w:lang w:val="en-US" w:eastAsia="zh-CN"/>
        </w:rPr>
        <w:t>．</w:t>
      </w:r>
      <w:r>
        <w:rPr>
          <w:rFonts w:hint="eastAsia"/>
          <w:szCs w:val="32"/>
        </w:rPr>
        <w:t>其他</w:t>
      </w:r>
      <w:r>
        <w:rPr>
          <w:szCs w:val="32"/>
        </w:rPr>
        <w:t>有关法律法规规定的情形。</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第七十八条  </w:t>
      </w:r>
      <w:bookmarkStart w:id="341" w:name="_Toc158038285"/>
      <w:bookmarkStart w:id="342" w:name="_Toc158038189"/>
      <w:bookmarkStart w:id="343" w:name="_Toc156307071"/>
      <w:r>
        <w:rPr>
          <w:rFonts w:hint="eastAsia" w:ascii="方正黑体_GBK" w:hAnsi="Times New Roman" w:eastAsia="方正黑体_GBK" w:cstheme="minorBidi"/>
          <w:b w:val="0"/>
          <w:bCs/>
          <w:kern w:val="0"/>
          <w:sz w:val="32"/>
          <w:szCs w:val="32"/>
          <w:lang w:val="en-US" w:eastAsia="zh-CN" w:bidi="ar-SA"/>
        </w:rPr>
        <w:t>修编报批</w:t>
      </w:r>
      <w:bookmarkEnd w:id="341"/>
      <w:bookmarkEnd w:id="342"/>
      <w:bookmarkEnd w:id="343"/>
    </w:p>
    <w:p>
      <w:pPr>
        <w:spacing w:line="576" w:lineRule="exact"/>
        <w:ind w:firstLine="640" w:firstLineChars="200"/>
        <w:rPr>
          <w:szCs w:val="32"/>
        </w:rPr>
      </w:pPr>
      <w:r>
        <w:rPr>
          <w:szCs w:val="32"/>
        </w:rPr>
        <w:t>对綦江中心城区抗震防灾专项规划进行调整、修订时，应依法履行报批。</w:t>
      </w:r>
    </w:p>
    <w:p>
      <w:pPr>
        <w:pStyle w:val="5"/>
        <w:keepNext/>
        <w:keepLines/>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2"/>
        <w:rPr>
          <w:rFonts w:hint="eastAsia" w:ascii="方正黑体_GBK" w:hAnsi="Times New Roman" w:eastAsia="方正黑体_GBK" w:cstheme="minorBidi"/>
          <w:b w:val="0"/>
          <w:bCs/>
          <w:kern w:val="0"/>
          <w:sz w:val="32"/>
          <w:szCs w:val="32"/>
          <w:lang w:val="en-US" w:eastAsia="zh-CN" w:bidi="ar-SA"/>
        </w:rPr>
      </w:pPr>
      <w:r>
        <w:rPr>
          <w:rFonts w:hint="eastAsia" w:ascii="方正黑体_GBK" w:hAnsi="Times New Roman" w:eastAsia="方正黑体_GBK" w:cstheme="minorBidi"/>
          <w:b w:val="0"/>
          <w:bCs/>
          <w:kern w:val="0"/>
          <w:sz w:val="32"/>
          <w:szCs w:val="32"/>
          <w:lang w:val="en-US" w:eastAsia="zh-CN" w:bidi="ar-SA"/>
        </w:rPr>
        <w:t xml:space="preserve">第七十九条  </w:t>
      </w:r>
      <w:bookmarkStart w:id="344" w:name="_Toc158038190"/>
      <w:bookmarkStart w:id="345" w:name="_Toc156307072"/>
      <w:bookmarkStart w:id="346" w:name="_Toc158038286"/>
      <w:r>
        <w:rPr>
          <w:rFonts w:hint="eastAsia" w:ascii="方正黑体_GBK" w:hAnsi="Times New Roman" w:eastAsia="方正黑体_GBK" w:cstheme="minorBidi"/>
          <w:b w:val="0"/>
          <w:bCs/>
          <w:kern w:val="0"/>
          <w:sz w:val="32"/>
          <w:szCs w:val="32"/>
          <w:lang w:val="en-US" w:eastAsia="zh-CN" w:bidi="ar-SA"/>
        </w:rPr>
        <w:t>解释</w:t>
      </w:r>
      <w:bookmarkEnd w:id="344"/>
      <w:bookmarkEnd w:id="345"/>
      <w:bookmarkEnd w:id="346"/>
    </w:p>
    <w:p>
      <w:pPr>
        <w:spacing w:line="576" w:lineRule="exact"/>
        <w:ind w:firstLine="640" w:firstLineChars="200"/>
        <w:rPr>
          <w:szCs w:val="32"/>
        </w:rPr>
      </w:pPr>
      <w:r>
        <w:rPr>
          <w:szCs w:val="32"/>
        </w:rPr>
        <w:t>綦江中心城区抗震防灾专项规划解释权属綦江区应急管理局，经綦江区人民政府批准后生效。</w:t>
      </w:r>
    </w:p>
    <w:p>
      <w:pPr>
        <w:pStyle w:val="2"/>
        <w:spacing w:line="960" w:lineRule="exact"/>
        <w:rPr>
          <w:szCs w:val="32"/>
        </w:rPr>
      </w:pPr>
    </w:p>
    <w:p>
      <w:pPr>
        <w:pStyle w:val="2"/>
        <w:spacing w:line="960" w:lineRule="exact"/>
        <w:rPr>
          <w:szCs w:val="32"/>
        </w:rPr>
        <w:sectPr>
          <w:headerReference r:id="rId12" w:type="first"/>
          <w:headerReference r:id="rId10" w:type="default"/>
          <w:footerReference r:id="rId13" w:type="default"/>
          <w:headerReference r:id="rId11" w:type="even"/>
          <w:footerReference r:id="rId14" w:type="even"/>
          <w:pgSz w:w="11906" w:h="16838"/>
          <w:pgMar w:top="2155" w:right="1474" w:bottom="2098" w:left="1588" w:header="851" w:footer="680" w:gutter="0"/>
          <w:pgNumType w:fmt="decimal"/>
          <w:cols w:space="720" w:num="1"/>
          <w:docGrid w:linePitch="579" w:charSpace="-849"/>
        </w:sectPr>
      </w:pPr>
    </w:p>
    <w:p>
      <w:pPr>
        <w:pStyle w:val="7"/>
        <w:keepNext/>
        <w:spacing w:line="576" w:lineRule="exact"/>
        <w:rPr>
          <w:rFonts w:hint="eastAsia" w:ascii="Times New Roman" w:hAnsi="Times New Roman" w:eastAsia="方正黑体_GBK" w:cs="Times New Roman"/>
          <w:sz w:val="32"/>
          <w:szCs w:val="32"/>
          <w:lang w:val="en-US" w:eastAsia="zh-CN" w:bidi="ar"/>
        </w:rPr>
      </w:pPr>
      <w:bookmarkStart w:id="347" w:name="_Ref118119704"/>
      <w:bookmarkEnd w:id="347"/>
      <w:bookmarkStart w:id="348" w:name="_Ref120543857"/>
      <w:bookmarkStart w:id="349" w:name="_Toc156308077"/>
      <w:bookmarkStart w:id="350" w:name="_Toc158043558"/>
      <w:bookmarkStart w:id="351" w:name="_Hlk114232035"/>
      <w:r>
        <w:rPr>
          <w:rFonts w:hint="default" w:ascii="Times New Roman" w:hAnsi="Times New Roman" w:eastAsia="方正黑体_GBK" w:cs="Times New Roman"/>
          <w:sz w:val="32"/>
          <w:szCs w:val="32"/>
          <w:lang w:bidi="ar"/>
        </w:rPr>
        <w:t>附表</w:t>
      </w:r>
      <w:bookmarkEnd w:id="348"/>
      <w:r>
        <w:rPr>
          <w:rFonts w:hint="eastAsia" w:ascii="Times New Roman" w:hAnsi="Times New Roman" w:eastAsia="方正黑体_GBK" w:cs="Times New Roman"/>
          <w:sz w:val="32"/>
          <w:szCs w:val="32"/>
          <w:lang w:val="en-US" w:eastAsia="zh-CN" w:bidi="ar"/>
        </w:rPr>
        <w:t xml:space="preserve">1 </w:t>
      </w:r>
    </w:p>
    <w:p>
      <w:pPr>
        <w:pStyle w:val="7"/>
        <w:keepNext/>
        <w:spacing w:line="576" w:lineRule="exact"/>
        <w:jc w:val="center"/>
        <w:rPr>
          <w:rFonts w:hint="eastAsia" w:ascii="方正黑体_GBK" w:hAnsi="方正黑体_GBK" w:eastAsia="方正黑体_GBK" w:cs="方正黑体_GBK"/>
          <w:sz w:val="32"/>
          <w:szCs w:val="32"/>
          <w:lang w:bidi="ar"/>
        </w:rPr>
      </w:pPr>
      <w:r>
        <w:rPr>
          <w:rFonts w:hint="eastAsia" w:ascii="方正黑体_GBK" w:hAnsi="方正黑体_GBK" w:eastAsia="方正黑体_GBK" w:cs="方正黑体_GBK"/>
          <w:sz w:val="32"/>
          <w:szCs w:val="32"/>
          <w:lang w:bidi="ar"/>
        </w:rPr>
        <w:t>綦江中心城区重要建筑抗震改造加固策略一览表</w:t>
      </w:r>
      <w:bookmarkEnd w:id="349"/>
      <w:bookmarkEnd w:id="350"/>
    </w:p>
    <w:p/>
    <w:tbl>
      <w:tblPr>
        <w:tblStyle w:val="18"/>
        <w:tblW w:w="8876" w:type="dxa"/>
        <w:tblInd w:w="0" w:type="dxa"/>
        <w:tblLayout w:type="fixed"/>
        <w:tblCellMar>
          <w:top w:w="0" w:type="dxa"/>
          <w:left w:w="0" w:type="dxa"/>
          <w:bottom w:w="0" w:type="dxa"/>
          <w:right w:w="0" w:type="dxa"/>
        </w:tblCellMar>
      </w:tblPr>
      <w:tblGrid>
        <w:gridCol w:w="568"/>
        <w:gridCol w:w="1894"/>
        <w:gridCol w:w="704"/>
        <w:gridCol w:w="1493"/>
        <w:gridCol w:w="1320"/>
        <w:gridCol w:w="1125"/>
        <w:gridCol w:w="1772"/>
      </w:tblGrid>
      <w:tr>
        <w:tblPrEx>
          <w:tblLayout w:type="fixed"/>
          <w:tblCellMar>
            <w:top w:w="0" w:type="dxa"/>
            <w:left w:w="0" w:type="dxa"/>
            <w:bottom w:w="0" w:type="dxa"/>
            <w:right w:w="0" w:type="dxa"/>
          </w:tblCellMar>
        </w:tblPrEx>
        <w:trPr>
          <w:trHeight w:val="1056" w:hRule="atLeast"/>
          <w:tblHeader/>
        </w:trPr>
        <w:tc>
          <w:tcPr>
            <w:tcW w:w="568"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rFonts w:hint="default" w:ascii="Times New Roman" w:hAnsi="Times New Roman" w:eastAsia="方正黑体_GBK" w:cs="Times New Roman"/>
                <w:b w:val="0"/>
                <w:bCs w:val="0"/>
                <w:color w:val="000000"/>
                <w:kern w:val="0"/>
                <w:sz w:val="28"/>
                <w:szCs w:val="28"/>
              </w:rPr>
            </w:pPr>
            <w:r>
              <w:rPr>
                <w:rFonts w:hint="default" w:ascii="Times New Roman" w:hAnsi="Times New Roman" w:eastAsia="方正黑体_GBK" w:cs="Times New Roman"/>
                <w:b w:val="0"/>
                <w:bCs w:val="0"/>
                <w:color w:val="000000"/>
                <w:kern w:val="0"/>
                <w:sz w:val="28"/>
                <w:szCs w:val="28"/>
              </w:rPr>
              <w:t>序号</w:t>
            </w:r>
          </w:p>
        </w:tc>
        <w:tc>
          <w:tcPr>
            <w:tcW w:w="1894" w:type="dxa"/>
            <w:tcBorders>
              <w:top w:val="single" w:color="auto" w:sz="4" w:space="0"/>
              <w:left w:val="nil"/>
              <w:bottom w:val="single" w:color="auto" w:sz="4" w:space="0"/>
              <w:right w:val="single" w:color="auto" w:sz="4" w:space="0"/>
            </w:tcBorders>
            <w:vAlign w:val="center"/>
          </w:tcPr>
          <w:p>
            <w:pPr>
              <w:widowControl/>
              <w:spacing w:line="480" w:lineRule="exact"/>
              <w:jc w:val="center"/>
              <w:rPr>
                <w:rFonts w:hint="default" w:ascii="Times New Roman" w:hAnsi="Times New Roman" w:eastAsia="方正黑体_GBK" w:cs="Times New Roman"/>
                <w:b w:val="0"/>
                <w:bCs w:val="0"/>
                <w:color w:val="000000"/>
                <w:kern w:val="0"/>
                <w:sz w:val="28"/>
                <w:szCs w:val="28"/>
              </w:rPr>
            </w:pPr>
            <w:r>
              <w:rPr>
                <w:rFonts w:hint="default" w:ascii="Times New Roman" w:hAnsi="Times New Roman" w:eastAsia="方正黑体_GBK" w:cs="Times New Roman"/>
                <w:b w:val="0"/>
                <w:bCs w:val="0"/>
                <w:color w:val="000000"/>
                <w:kern w:val="0"/>
                <w:sz w:val="28"/>
                <w:szCs w:val="28"/>
              </w:rPr>
              <w:t>建筑物名称</w:t>
            </w:r>
          </w:p>
        </w:tc>
        <w:tc>
          <w:tcPr>
            <w:tcW w:w="704" w:type="dxa"/>
            <w:tcBorders>
              <w:top w:val="single" w:color="auto" w:sz="4" w:space="0"/>
              <w:left w:val="nil"/>
              <w:bottom w:val="single" w:color="auto" w:sz="4" w:space="0"/>
              <w:right w:val="single" w:color="auto" w:sz="4" w:space="0"/>
            </w:tcBorders>
            <w:vAlign w:val="center"/>
          </w:tcPr>
          <w:p>
            <w:pPr>
              <w:widowControl/>
              <w:spacing w:line="480" w:lineRule="exact"/>
              <w:jc w:val="center"/>
              <w:rPr>
                <w:rFonts w:hint="default" w:ascii="Times New Roman" w:hAnsi="Times New Roman" w:eastAsia="方正黑体_GBK" w:cs="Times New Roman"/>
                <w:b w:val="0"/>
                <w:bCs w:val="0"/>
                <w:color w:val="000000"/>
                <w:kern w:val="0"/>
                <w:sz w:val="28"/>
                <w:szCs w:val="28"/>
              </w:rPr>
            </w:pPr>
            <w:r>
              <w:rPr>
                <w:rFonts w:hint="default" w:ascii="Times New Roman" w:hAnsi="Times New Roman" w:eastAsia="方正黑体_GBK" w:cs="Times New Roman"/>
                <w:b w:val="0"/>
                <w:bCs w:val="0"/>
                <w:color w:val="000000"/>
                <w:kern w:val="0"/>
                <w:sz w:val="28"/>
                <w:szCs w:val="28"/>
              </w:rPr>
              <w:t>层数</w:t>
            </w:r>
          </w:p>
        </w:tc>
        <w:tc>
          <w:tcPr>
            <w:tcW w:w="1493" w:type="dxa"/>
            <w:tcBorders>
              <w:top w:val="single" w:color="auto" w:sz="4" w:space="0"/>
              <w:left w:val="nil"/>
              <w:bottom w:val="single" w:color="auto" w:sz="4" w:space="0"/>
              <w:right w:val="single" w:color="auto" w:sz="4" w:space="0"/>
            </w:tcBorders>
            <w:vAlign w:val="center"/>
          </w:tcPr>
          <w:p>
            <w:pPr>
              <w:widowControl/>
              <w:spacing w:line="480" w:lineRule="exact"/>
              <w:jc w:val="center"/>
              <w:rPr>
                <w:rFonts w:hint="default" w:ascii="Times New Roman" w:hAnsi="Times New Roman" w:eastAsia="方正黑体_GBK" w:cs="Times New Roman"/>
                <w:b w:val="0"/>
                <w:bCs w:val="0"/>
                <w:color w:val="000000"/>
                <w:kern w:val="0"/>
                <w:sz w:val="28"/>
                <w:szCs w:val="28"/>
              </w:rPr>
            </w:pPr>
            <w:r>
              <w:rPr>
                <w:rFonts w:hint="default" w:ascii="Times New Roman" w:hAnsi="Times New Roman" w:eastAsia="方正黑体_GBK" w:cs="Times New Roman"/>
                <w:b w:val="0"/>
                <w:bCs w:val="0"/>
                <w:color w:val="000000"/>
                <w:kern w:val="0"/>
                <w:sz w:val="28"/>
                <w:szCs w:val="28"/>
              </w:rPr>
              <w:t>结构类型</w:t>
            </w:r>
          </w:p>
        </w:tc>
        <w:tc>
          <w:tcPr>
            <w:tcW w:w="1320" w:type="dxa"/>
            <w:tcBorders>
              <w:top w:val="single" w:color="auto" w:sz="4" w:space="0"/>
              <w:left w:val="nil"/>
              <w:bottom w:val="single" w:color="auto" w:sz="4" w:space="0"/>
              <w:right w:val="single" w:color="auto" w:sz="4" w:space="0"/>
            </w:tcBorders>
            <w:vAlign w:val="center"/>
          </w:tcPr>
          <w:p>
            <w:pPr>
              <w:widowControl/>
              <w:spacing w:line="480" w:lineRule="exact"/>
              <w:jc w:val="center"/>
              <w:rPr>
                <w:rFonts w:hint="default" w:ascii="Times New Roman" w:hAnsi="Times New Roman" w:eastAsia="方正黑体_GBK" w:cs="Times New Roman"/>
                <w:b w:val="0"/>
                <w:bCs w:val="0"/>
                <w:color w:val="000000"/>
                <w:kern w:val="0"/>
                <w:sz w:val="28"/>
                <w:szCs w:val="28"/>
              </w:rPr>
            </w:pPr>
            <w:r>
              <w:rPr>
                <w:rFonts w:hint="default" w:ascii="Times New Roman" w:hAnsi="Times New Roman" w:eastAsia="方正黑体_GBK" w:cs="Times New Roman"/>
                <w:b w:val="0"/>
                <w:bCs w:val="0"/>
                <w:color w:val="000000"/>
                <w:kern w:val="0"/>
                <w:sz w:val="28"/>
                <w:szCs w:val="28"/>
              </w:rPr>
              <w:t>建筑面积（m</w:t>
            </w:r>
            <w:r>
              <w:rPr>
                <w:rFonts w:hint="default" w:ascii="Times New Roman" w:hAnsi="Times New Roman" w:eastAsia="方正黑体_GBK" w:cs="Times New Roman"/>
                <w:b w:val="0"/>
                <w:bCs w:val="0"/>
                <w:color w:val="000000"/>
                <w:kern w:val="0"/>
                <w:sz w:val="28"/>
                <w:szCs w:val="28"/>
                <w:vertAlign w:val="superscript"/>
              </w:rPr>
              <w:t>2</w:t>
            </w:r>
            <w:r>
              <w:rPr>
                <w:rFonts w:hint="default" w:ascii="Times New Roman" w:hAnsi="Times New Roman" w:eastAsia="方正黑体_GBK" w:cs="Times New Roman"/>
                <w:b w:val="0"/>
                <w:bCs w:val="0"/>
                <w:color w:val="000000"/>
                <w:kern w:val="0"/>
                <w:sz w:val="28"/>
                <w:szCs w:val="28"/>
              </w:rPr>
              <w:t>）</w:t>
            </w:r>
          </w:p>
        </w:tc>
        <w:tc>
          <w:tcPr>
            <w:tcW w:w="1125" w:type="dxa"/>
            <w:tcBorders>
              <w:top w:val="single" w:color="auto" w:sz="4" w:space="0"/>
              <w:left w:val="nil"/>
              <w:bottom w:val="single" w:color="auto" w:sz="4" w:space="0"/>
              <w:right w:val="single" w:color="auto" w:sz="4" w:space="0"/>
            </w:tcBorders>
            <w:vAlign w:val="center"/>
          </w:tcPr>
          <w:p>
            <w:pPr>
              <w:widowControl/>
              <w:spacing w:line="480" w:lineRule="exact"/>
              <w:jc w:val="center"/>
              <w:rPr>
                <w:rFonts w:hint="default" w:ascii="Times New Roman" w:hAnsi="Times New Roman" w:eastAsia="方正黑体_GBK" w:cs="Times New Roman"/>
                <w:b w:val="0"/>
                <w:bCs w:val="0"/>
                <w:color w:val="000000"/>
                <w:kern w:val="0"/>
                <w:sz w:val="28"/>
                <w:szCs w:val="28"/>
              </w:rPr>
            </w:pPr>
            <w:r>
              <w:rPr>
                <w:rFonts w:hint="default" w:ascii="Times New Roman" w:hAnsi="Times New Roman" w:eastAsia="方正黑体_GBK" w:cs="Times New Roman"/>
                <w:b w:val="0"/>
                <w:bCs w:val="0"/>
                <w:color w:val="000000"/>
                <w:kern w:val="0"/>
                <w:sz w:val="28"/>
                <w:szCs w:val="28"/>
              </w:rPr>
              <w:t>建设</w:t>
            </w:r>
          </w:p>
          <w:p>
            <w:pPr>
              <w:widowControl/>
              <w:spacing w:line="480" w:lineRule="exact"/>
              <w:jc w:val="center"/>
              <w:rPr>
                <w:rFonts w:hint="default" w:ascii="Times New Roman" w:hAnsi="Times New Roman" w:eastAsia="方正黑体_GBK" w:cs="Times New Roman"/>
                <w:b w:val="0"/>
                <w:bCs w:val="0"/>
                <w:color w:val="000000"/>
                <w:kern w:val="0"/>
                <w:sz w:val="28"/>
                <w:szCs w:val="28"/>
              </w:rPr>
            </w:pPr>
            <w:r>
              <w:rPr>
                <w:rFonts w:hint="default" w:ascii="Times New Roman" w:hAnsi="Times New Roman" w:eastAsia="方正黑体_GBK" w:cs="Times New Roman"/>
                <w:b w:val="0"/>
                <w:bCs w:val="0"/>
                <w:color w:val="000000"/>
                <w:kern w:val="0"/>
                <w:sz w:val="28"/>
                <w:szCs w:val="28"/>
              </w:rPr>
              <w:t>年代</w:t>
            </w:r>
          </w:p>
        </w:tc>
        <w:tc>
          <w:tcPr>
            <w:tcW w:w="1772" w:type="dxa"/>
            <w:tcBorders>
              <w:top w:val="single" w:color="auto" w:sz="4" w:space="0"/>
              <w:left w:val="nil"/>
              <w:bottom w:val="single" w:color="auto" w:sz="4" w:space="0"/>
              <w:right w:val="single" w:color="auto" w:sz="4" w:space="0"/>
            </w:tcBorders>
            <w:vAlign w:val="center"/>
          </w:tcPr>
          <w:p>
            <w:pPr>
              <w:widowControl/>
              <w:spacing w:line="480" w:lineRule="exact"/>
              <w:jc w:val="center"/>
              <w:rPr>
                <w:rFonts w:hint="default" w:ascii="Times New Roman" w:hAnsi="Times New Roman" w:eastAsia="方正黑体_GBK" w:cs="Times New Roman"/>
                <w:b w:val="0"/>
                <w:bCs w:val="0"/>
                <w:color w:val="000000"/>
                <w:kern w:val="0"/>
                <w:sz w:val="28"/>
                <w:szCs w:val="28"/>
              </w:rPr>
            </w:pPr>
            <w:r>
              <w:rPr>
                <w:rFonts w:hint="default" w:ascii="Times New Roman" w:hAnsi="Times New Roman" w:eastAsia="方正黑体_GBK" w:cs="Times New Roman"/>
                <w:b w:val="0"/>
                <w:bCs w:val="0"/>
                <w:color w:val="000000"/>
                <w:kern w:val="0"/>
                <w:sz w:val="28"/>
                <w:szCs w:val="28"/>
              </w:rPr>
              <w:t>处理意见</w:t>
            </w:r>
          </w:p>
        </w:tc>
      </w:tr>
      <w:tr>
        <w:tblPrEx>
          <w:tblLayout w:type="fixed"/>
          <w:tblCellMar>
            <w:top w:w="0" w:type="dxa"/>
            <w:left w:w="0" w:type="dxa"/>
            <w:bottom w:w="0" w:type="dxa"/>
            <w:right w:w="0" w:type="dxa"/>
          </w:tblCellMar>
        </w:tblPrEx>
        <w:trPr>
          <w:trHeight w:val="1579" w:hRule="atLeast"/>
        </w:trPr>
        <w:tc>
          <w:tcPr>
            <w:tcW w:w="568"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1</w:t>
            </w:r>
          </w:p>
        </w:tc>
        <w:tc>
          <w:tcPr>
            <w:tcW w:w="189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綦江区人民政府办公楼</w:t>
            </w:r>
          </w:p>
        </w:tc>
        <w:tc>
          <w:tcPr>
            <w:tcW w:w="70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11</w:t>
            </w:r>
          </w:p>
        </w:tc>
        <w:tc>
          <w:tcPr>
            <w:tcW w:w="1493"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钢筋混凝土</w:t>
            </w:r>
          </w:p>
        </w:tc>
        <w:tc>
          <w:tcPr>
            <w:tcW w:w="1320"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8835</w:t>
            </w:r>
          </w:p>
        </w:tc>
        <w:tc>
          <w:tcPr>
            <w:tcW w:w="1125"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1990</w:t>
            </w:r>
          </w:p>
        </w:tc>
        <w:tc>
          <w:tcPr>
            <w:tcW w:w="1772"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按照重点设防类建筑进行抗震加固</w:t>
            </w:r>
          </w:p>
        </w:tc>
      </w:tr>
      <w:tr>
        <w:tblPrEx>
          <w:tblLayout w:type="fixed"/>
          <w:tblCellMar>
            <w:top w:w="0" w:type="dxa"/>
            <w:left w:w="0" w:type="dxa"/>
            <w:bottom w:w="0" w:type="dxa"/>
            <w:right w:w="0" w:type="dxa"/>
          </w:tblCellMar>
        </w:tblPrEx>
        <w:trPr>
          <w:trHeight w:val="1056" w:hRule="atLeast"/>
        </w:trPr>
        <w:tc>
          <w:tcPr>
            <w:tcW w:w="568"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w:t>
            </w:r>
          </w:p>
        </w:tc>
        <w:tc>
          <w:tcPr>
            <w:tcW w:w="189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綦江区应急管理局办公楼</w:t>
            </w:r>
          </w:p>
        </w:tc>
        <w:tc>
          <w:tcPr>
            <w:tcW w:w="70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w:t>
            </w:r>
          </w:p>
        </w:tc>
        <w:tc>
          <w:tcPr>
            <w:tcW w:w="1493"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钢筋混凝土</w:t>
            </w:r>
          </w:p>
        </w:tc>
        <w:tc>
          <w:tcPr>
            <w:tcW w:w="1320"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2601</w:t>
            </w:r>
          </w:p>
        </w:tc>
        <w:tc>
          <w:tcPr>
            <w:tcW w:w="1125"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2010</w:t>
            </w:r>
          </w:p>
        </w:tc>
        <w:tc>
          <w:tcPr>
            <w:tcW w:w="1772"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无需加固</w:t>
            </w:r>
          </w:p>
        </w:tc>
      </w:tr>
      <w:tr>
        <w:tblPrEx>
          <w:tblLayout w:type="fixed"/>
          <w:tblCellMar>
            <w:top w:w="0" w:type="dxa"/>
            <w:left w:w="0" w:type="dxa"/>
            <w:bottom w:w="0" w:type="dxa"/>
            <w:right w:w="0" w:type="dxa"/>
          </w:tblCellMar>
        </w:tblPrEx>
        <w:trPr>
          <w:trHeight w:val="1056" w:hRule="atLeast"/>
        </w:trPr>
        <w:tc>
          <w:tcPr>
            <w:tcW w:w="568"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3</w:t>
            </w:r>
          </w:p>
        </w:tc>
        <w:tc>
          <w:tcPr>
            <w:tcW w:w="189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bookmarkStart w:id="352" w:name="RANGE!C5"/>
            <w:r>
              <w:rPr>
                <w:color w:val="000000"/>
                <w:kern w:val="0"/>
                <w:sz w:val="28"/>
                <w:szCs w:val="28"/>
              </w:rPr>
              <w:t>綦江区消防救援支队办公楼</w:t>
            </w:r>
            <w:bookmarkEnd w:id="352"/>
          </w:p>
        </w:tc>
        <w:tc>
          <w:tcPr>
            <w:tcW w:w="70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6</w:t>
            </w:r>
          </w:p>
        </w:tc>
        <w:tc>
          <w:tcPr>
            <w:tcW w:w="1493"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钢筋混凝土</w:t>
            </w:r>
          </w:p>
        </w:tc>
        <w:tc>
          <w:tcPr>
            <w:tcW w:w="1320"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5429</w:t>
            </w:r>
          </w:p>
        </w:tc>
        <w:tc>
          <w:tcPr>
            <w:tcW w:w="1125"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2016</w:t>
            </w:r>
          </w:p>
        </w:tc>
        <w:tc>
          <w:tcPr>
            <w:tcW w:w="1772"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无需加固</w:t>
            </w:r>
          </w:p>
        </w:tc>
      </w:tr>
      <w:tr>
        <w:tblPrEx>
          <w:tblLayout w:type="fixed"/>
          <w:tblCellMar>
            <w:top w:w="0" w:type="dxa"/>
            <w:left w:w="0" w:type="dxa"/>
            <w:bottom w:w="0" w:type="dxa"/>
            <w:right w:w="0" w:type="dxa"/>
          </w:tblCellMar>
        </w:tblPrEx>
        <w:trPr>
          <w:trHeight w:val="533" w:hRule="atLeast"/>
        </w:trPr>
        <w:tc>
          <w:tcPr>
            <w:tcW w:w="568"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4</w:t>
            </w:r>
          </w:p>
        </w:tc>
        <w:tc>
          <w:tcPr>
            <w:tcW w:w="1894" w:type="dxa"/>
            <w:tcBorders>
              <w:top w:val="nil"/>
              <w:left w:val="nil"/>
              <w:bottom w:val="single" w:color="auto" w:sz="4" w:space="0"/>
              <w:right w:val="single" w:color="auto" w:sz="4" w:space="0"/>
            </w:tcBorders>
            <w:vAlign w:val="center"/>
          </w:tcPr>
          <w:p>
            <w:pPr>
              <w:widowControl/>
              <w:spacing w:line="480" w:lineRule="exact"/>
              <w:jc w:val="center"/>
              <w:rPr>
                <w:color w:val="000000"/>
                <w:spacing w:val="-11"/>
                <w:kern w:val="0"/>
                <w:sz w:val="28"/>
                <w:szCs w:val="28"/>
              </w:rPr>
            </w:pPr>
            <w:r>
              <w:rPr>
                <w:color w:val="000000"/>
                <w:spacing w:val="-11"/>
                <w:kern w:val="0"/>
                <w:sz w:val="28"/>
                <w:szCs w:val="28"/>
              </w:rPr>
              <w:t>古南街道办事处</w:t>
            </w:r>
          </w:p>
        </w:tc>
        <w:tc>
          <w:tcPr>
            <w:tcW w:w="70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7</w:t>
            </w:r>
          </w:p>
        </w:tc>
        <w:tc>
          <w:tcPr>
            <w:tcW w:w="1493"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bookmarkStart w:id="353" w:name="RANGE!E6"/>
            <w:r>
              <w:rPr>
                <w:color w:val="000000"/>
                <w:kern w:val="0"/>
                <w:sz w:val="28"/>
                <w:szCs w:val="28"/>
              </w:rPr>
              <w:t>钢筋混凝土</w:t>
            </w:r>
            <w:bookmarkEnd w:id="353"/>
          </w:p>
        </w:tc>
        <w:tc>
          <w:tcPr>
            <w:tcW w:w="1320"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7169</w:t>
            </w:r>
          </w:p>
        </w:tc>
        <w:tc>
          <w:tcPr>
            <w:tcW w:w="1125"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2016</w:t>
            </w:r>
          </w:p>
        </w:tc>
        <w:tc>
          <w:tcPr>
            <w:tcW w:w="1772"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无需加固</w:t>
            </w:r>
          </w:p>
        </w:tc>
      </w:tr>
      <w:tr>
        <w:tblPrEx>
          <w:tblLayout w:type="fixed"/>
          <w:tblCellMar>
            <w:top w:w="0" w:type="dxa"/>
            <w:left w:w="0" w:type="dxa"/>
            <w:bottom w:w="0" w:type="dxa"/>
            <w:right w:w="0" w:type="dxa"/>
          </w:tblCellMar>
        </w:tblPrEx>
        <w:trPr>
          <w:trHeight w:val="1579" w:hRule="atLeast"/>
        </w:trPr>
        <w:tc>
          <w:tcPr>
            <w:tcW w:w="568"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5</w:t>
            </w:r>
          </w:p>
        </w:tc>
        <w:tc>
          <w:tcPr>
            <w:tcW w:w="1894" w:type="dxa"/>
            <w:tcBorders>
              <w:top w:val="nil"/>
              <w:left w:val="nil"/>
              <w:bottom w:val="single" w:color="auto" w:sz="4" w:space="0"/>
              <w:right w:val="single" w:color="auto" w:sz="4" w:space="0"/>
            </w:tcBorders>
            <w:vAlign w:val="center"/>
          </w:tcPr>
          <w:p>
            <w:pPr>
              <w:widowControl/>
              <w:spacing w:line="480" w:lineRule="exact"/>
              <w:jc w:val="center"/>
              <w:rPr>
                <w:color w:val="000000"/>
                <w:spacing w:val="-11"/>
                <w:kern w:val="0"/>
                <w:sz w:val="28"/>
                <w:szCs w:val="28"/>
              </w:rPr>
            </w:pPr>
            <w:r>
              <w:rPr>
                <w:color w:val="000000"/>
                <w:spacing w:val="-11"/>
                <w:kern w:val="0"/>
                <w:sz w:val="28"/>
                <w:szCs w:val="28"/>
              </w:rPr>
              <w:t>文龙街道办事处</w:t>
            </w:r>
          </w:p>
        </w:tc>
        <w:tc>
          <w:tcPr>
            <w:tcW w:w="70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7</w:t>
            </w:r>
          </w:p>
        </w:tc>
        <w:tc>
          <w:tcPr>
            <w:tcW w:w="1493"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钢筋混凝土</w:t>
            </w:r>
          </w:p>
        </w:tc>
        <w:tc>
          <w:tcPr>
            <w:tcW w:w="1320"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6560</w:t>
            </w:r>
          </w:p>
        </w:tc>
        <w:tc>
          <w:tcPr>
            <w:tcW w:w="1125"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2010</w:t>
            </w:r>
          </w:p>
        </w:tc>
        <w:tc>
          <w:tcPr>
            <w:tcW w:w="1772"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按照重点设防类建筑进行抗震加固</w:t>
            </w:r>
          </w:p>
        </w:tc>
      </w:tr>
      <w:tr>
        <w:tblPrEx>
          <w:tblLayout w:type="fixed"/>
          <w:tblCellMar>
            <w:top w:w="0" w:type="dxa"/>
            <w:left w:w="0" w:type="dxa"/>
            <w:bottom w:w="0" w:type="dxa"/>
            <w:right w:w="0" w:type="dxa"/>
          </w:tblCellMar>
        </w:tblPrEx>
        <w:trPr>
          <w:trHeight w:val="533" w:hRule="atLeast"/>
        </w:trPr>
        <w:tc>
          <w:tcPr>
            <w:tcW w:w="568"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6</w:t>
            </w:r>
          </w:p>
        </w:tc>
        <w:tc>
          <w:tcPr>
            <w:tcW w:w="1894" w:type="dxa"/>
            <w:tcBorders>
              <w:top w:val="nil"/>
              <w:left w:val="nil"/>
              <w:bottom w:val="single" w:color="auto" w:sz="4" w:space="0"/>
              <w:right w:val="single" w:color="auto" w:sz="4" w:space="0"/>
            </w:tcBorders>
            <w:vAlign w:val="center"/>
          </w:tcPr>
          <w:p>
            <w:pPr>
              <w:widowControl/>
              <w:spacing w:line="480" w:lineRule="exact"/>
              <w:jc w:val="center"/>
              <w:rPr>
                <w:color w:val="000000"/>
                <w:spacing w:val="-11"/>
                <w:kern w:val="0"/>
                <w:sz w:val="28"/>
                <w:szCs w:val="28"/>
              </w:rPr>
            </w:pPr>
            <w:r>
              <w:rPr>
                <w:color w:val="000000"/>
                <w:spacing w:val="-11"/>
                <w:kern w:val="0"/>
                <w:sz w:val="28"/>
                <w:szCs w:val="28"/>
              </w:rPr>
              <w:t>通惠街道办事处</w:t>
            </w:r>
          </w:p>
        </w:tc>
        <w:tc>
          <w:tcPr>
            <w:tcW w:w="70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3</w:t>
            </w:r>
          </w:p>
        </w:tc>
        <w:tc>
          <w:tcPr>
            <w:tcW w:w="1493"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钢筋混凝土</w:t>
            </w:r>
          </w:p>
        </w:tc>
        <w:tc>
          <w:tcPr>
            <w:tcW w:w="1320"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2712</w:t>
            </w:r>
          </w:p>
        </w:tc>
        <w:tc>
          <w:tcPr>
            <w:tcW w:w="1125"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2014</w:t>
            </w:r>
          </w:p>
        </w:tc>
        <w:tc>
          <w:tcPr>
            <w:tcW w:w="1772"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无需加固</w:t>
            </w:r>
          </w:p>
        </w:tc>
      </w:tr>
      <w:tr>
        <w:tblPrEx>
          <w:tblLayout w:type="fixed"/>
          <w:tblCellMar>
            <w:top w:w="0" w:type="dxa"/>
            <w:left w:w="0" w:type="dxa"/>
            <w:bottom w:w="0" w:type="dxa"/>
            <w:right w:w="0" w:type="dxa"/>
          </w:tblCellMar>
        </w:tblPrEx>
        <w:trPr>
          <w:trHeight w:val="533" w:hRule="atLeast"/>
        </w:trPr>
        <w:tc>
          <w:tcPr>
            <w:tcW w:w="568"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7</w:t>
            </w:r>
          </w:p>
        </w:tc>
        <w:tc>
          <w:tcPr>
            <w:tcW w:w="1894" w:type="dxa"/>
            <w:tcBorders>
              <w:top w:val="nil"/>
              <w:left w:val="nil"/>
              <w:bottom w:val="single" w:color="auto" w:sz="4" w:space="0"/>
              <w:right w:val="single" w:color="auto" w:sz="4" w:space="0"/>
            </w:tcBorders>
            <w:vAlign w:val="center"/>
          </w:tcPr>
          <w:p>
            <w:pPr>
              <w:widowControl/>
              <w:spacing w:line="480" w:lineRule="exact"/>
              <w:jc w:val="center"/>
              <w:rPr>
                <w:color w:val="000000"/>
                <w:spacing w:val="-11"/>
                <w:kern w:val="0"/>
                <w:sz w:val="28"/>
                <w:szCs w:val="28"/>
              </w:rPr>
            </w:pPr>
            <w:r>
              <w:rPr>
                <w:color w:val="000000"/>
                <w:spacing w:val="-11"/>
                <w:kern w:val="0"/>
                <w:sz w:val="28"/>
                <w:szCs w:val="28"/>
              </w:rPr>
              <w:t>三江街道办事处</w:t>
            </w:r>
          </w:p>
        </w:tc>
        <w:tc>
          <w:tcPr>
            <w:tcW w:w="70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5</w:t>
            </w:r>
          </w:p>
        </w:tc>
        <w:tc>
          <w:tcPr>
            <w:tcW w:w="1493"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钢筋混凝土</w:t>
            </w:r>
          </w:p>
        </w:tc>
        <w:tc>
          <w:tcPr>
            <w:tcW w:w="1320"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2401</w:t>
            </w:r>
          </w:p>
        </w:tc>
        <w:tc>
          <w:tcPr>
            <w:tcW w:w="1125"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2020</w:t>
            </w:r>
          </w:p>
        </w:tc>
        <w:tc>
          <w:tcPr>
            <w:tcW w:w="1772"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无需加固</w:t>
            </w:r>
          </w:p>
        </w:tc>
      </w:tr>
      <w:tr>
        <w:tblPrEx>
          <w:tblLayout w:type="fixed"/>
          <w:tblCellMar>
            <w:top w:w="0" w:type="dxa"/>
            <w:left w:w="0" w:type="dxa"/>
            <w:bottom w:w="0" w:type="dxa"/>
            <w:right w:w="0" w:type="dxa"/>
          </w:tblCellMar>
        </w:tblPrEx>
        <w:trPr>
          <w:trHeight w:val="533" w:hRule="atLeast"/>
        </w:trPr>
        <w:tc>
          <w:tcPr>
            <w:tcW w:w="568"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8</w:t>
            </w:r>
          </w:p>
        </w:tc>
        <w:tc>
          <w:tcPr>
            <w:tcW w:w="189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二级车站</w:t>
            </w:r>
          </w:p>
        </w:tc>
        <w:tc>
          <w:tcPr>
            <w:tcW w:w="70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w:t>
            </w:r>
          </w:p>
        </w:tc>
        <w:tc>
          <w:tcPr>
            <w:tcW w:w="1493"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钢筋混凝土</w:t>
            </w:r>
          </w:p>
        </w:tc>
        <w:tc>
          <w:tcPr>
            <w:tcW w:w="1320"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2409</w:t>
            </w:r>
          </w:p>
        </w:tc>
        <w:tc>
          <w:tcPr>
            <w:tcW w:w="1125"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2000</w:t>
            </w:r>
          </w:p>
        </w:tc>
        <w:tc>
          <w:tcPr>
            <w:tcW w:w="1772"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无需加固</w:t>
            </w:r>
          </w:p>
        </w:tc>
      </w:tr>
      <w:tr>
        <w:tblPrEx>
          <w:tblLayout w:type="fixed"/>
          <w:tblCellMar>
            <w:top w:w="0" w:type="dxa"/>
            <w:left w:w="0" w:type="dxa"/>
            <w:bottom w:w="0" w:type="dxa"/>
            <w:right w:w="0" w:type="dxa"/>
          </w:tblCellMar>
        </w:tblPrEx>
        <w:trPr>
          <w:trHeight w:val="533" w:hRule="atLeast"/>
        </w:trPr>
        <w:tc>
          <w:tcPr>
            <w:tcW w:w="568"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9</w:t>
            </w:r>
          </w:p>
        </w:tc>
        <w:tc>
          <w:tcPr>
            <w:tcW w:w="189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妇幼保健院</w:t>
            </w:r>
          </w:p>
        </w:tc>
        <w:tc>
          <w:tcPr>
            <w:tcW w:w="70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12</w:t>
            </w:r>
          </w:p>
        </w:tc>
        <w:tc>
          <w:tcPr>
            <w:tcW w:w="1493"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钢筋混凝土</w:t>
            </w:r>
          </w:p>
        </w:tc>
        <w:tc>
          <w:tcPr>
            <w:tcW w:w="1320"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1634</w:t>
            </w:r>
          </w:p>
        </w:tc>
        <w:tc>
          <w:tcPr>
            <w:tcW w:w="1125"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2017</w:t>
            </w:r>
          </w:p>
        </w:tc>
        <w:tc>
          <w:tcPr>
            <w:tcW w:w="1772"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无需加固</w:t>
            </w:r>
          </w:p>
        </w:tc>
      </w:tr>
      <w:tr>
        <w:tblPrEx>
          <w:tblLayout w:type="fixed"/>
          <w:tblCellMar>
            <w:top w:w="0" w:type="dxa"/>
            <w:left w:w="0" w:type="dxa"/>
            <w:bottom w:w="0" w:type="dxa"/>
            <w:right w:w="0" w:type="dxa"/>
          </w:tblCellMar>
        </w:tblPrEx>
        <w:trPr>
          <w:trHeight w:val="533" w:hRule="atLeast"/>
        </w:trPr>
        <w:tc>
          <w:tcPr>
            <w:tcW w:w="568"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10</w:t>
            </w:r>
          </w:p>
        </w:tc>
        <w:tc>
          <w:tcPr>
            <w:tcW w:w="189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工人体育馆</w:t>
            </w:r>
          </w:p>
        </w:tc>
        <w:tc>
          <w:tcPr>
            <w:tcW w:w="70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4</w:t>
            </w:r>
          </w:p>
        </w:tc>
        <w:tc>
          <w:tcPr>
            <w:tcW w:w="1493"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钢筋混凝土</w:t>
            </w:r>
          </w:p>
        </w:tc>
        <w:tc>
          <w:tcPr>
            <w:tcW w:w="1320"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4320</w:t>
            </w:r>
          </w:p>
        </w:tc>
        <w:tc>
          <w:tcPr>
            <w:tcW w:w="1125"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1990</w:t>
            </w:r>
          </w:p>
        </w:tc>
        <w:tc>
          <w:tcPr>
            <w:tcW w:w="1772"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无需加固</w:t>
            </w:r>
          </w:p>
        </w:tc>
      </w:tr>
      <w:tr>
        <w:tblPrEx>
          <w:tblLayout w:type="fixed"/>
          <w:tblCellMar>
            <w:top w:w="0" w:type="dxa"/>
            <w:left w:w="0" w:type="dxa"/>
            <w:bottom w:w="0" w:type="dxa"/>
            <w:right w:w="0" w:type="dxa"/>
          </w:tblCellMar>
        </w:tblPrEx>
        <w:trPr>
          <w:trHeight w:val="1056" w:hRule="atLeast"/>
        </w:trPr>
        <w:tc>
          <w:tcPr>
            <w:tcW w:w="568"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11</w:t>
            </w:r>
          </w:p>
        </w:tc>
        <w:tc>
          <w:tcPr>
            <w:tcW w:w="189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版画院</w:t>
            </w:r>
          </w:p>
        </w:tc>
        <w:tc>
          <w:tcPr>
            <w:tcW w:w="70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4</w:t>
            </w:r>
          </w:p>
        </w:tc>
        <w:tc>
          <w:tcPr>
            <w:tcW w:w="1493"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钢筋混凝土</w:t>
            </w:r>
          </w:p>
        </w:tc>
        <w:tc>
          <w:tcPr>
            <w:tcW w:w="1320"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895</w:t>
            </w:r>
          </w:p>
        </w:tc>
        <w:tc>
          <w:tcPr>
            <w:tcW w:w="1125"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2000</w:t>
            </w:r>
          </w:p>
        </w:tc>
        <w:tc>
          <w:tcPr>
            <w:tcW w:w="1772"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按重点设防类建筑进行加固</w:t>
            </w:r>
          </w:p>
        </w:tc>
      </w:tr>
      <w:tr>
        <w:tblPrEx>
          <w:tblLayout w:type="fixed"/>
          <w:tblCellMar>
            <w:top w:w="0" w:type="dxa"/>
            <w:left w:w="0" w:type="dxa"/>
            <w:bottom w:w="0" w:type="dxa"/>
            <w:right w:w="0" w:type="dxa"/>
          </w:tblCellMar>
        </w:tblPrEx>
        <w:trPr>
          <w:trHeight w:val="1056" w:hRule="atLeast"/>
        </w:trPr>
        <w:tc>
          <w:tcPr>
            <w:tcW w:w="568"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12</w:t>
            </w:r>
          </w:p>
        </w:tc>
        <w:tc>
          <w:tcPr>
            <w:tcW w:w="189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公交首末站候车大厅</w:t>
            </w:r>
          </w:p>
        </w:tc>
        <w:tc>
          <w:tcPr>
            <w:tcW w:w="70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3</w:t>
            </w:r>
          </w:p>
        </w:tc>
        <w:tc>
          <w:tcPr>
            <w:tcW w:w="1493"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钢筋混凝土</w:t>
            </w:r>
          </w:p>
        </w:tc>
        <w:tc>
          <w:tcPr>
            <w:tcW w:w="1320"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938</w:t>
            </w:r>
          </w:p>
        </w:tc>
        <w:tc>
          <w:tcPr>
            <w:tcW w:w="1125"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2019</w:t>
            </w:r>
          </w:p>
        </w:tc>
        <w:tc>
          <w:tcPr>
            <w:tcW w:w="1772"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按重点设防类建筑进行加固</w:t>
            </w:r>
          </w:p>
        </w:tc>
      </w:tr>
      <w:tr>
        <w:tblPrEx>
          <w:tblLayout w:type="fixed"/>
          <w:tblCellMar>
            <w:top w:w="0" w:type="dxa"/>
            <w:left w:w="0" w:type="dxa"/>
            <w:bottom w:w="0" w:type="dxa"/>
            <w:right w:w="0" w:type="dxa"/>
          </w:tblCellMar>
        </w:tblPrEx>
        <w:trPr>
          <w:trHeight w:val="533" w:hRule="atLeast"/>
        </w:trPr>
        <w:tc>
          <w:tcPr>
            <w:tcW w:w="568"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13</w:t>
            </w:r>
          </w:p>
        </w:tc>
        <w:tc>
          <w:tcPr>
            <w:tcW w:w="189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綦江粮站</w:t>
            </w:r>
          </w:p>
        </w:tc>
        <w:tc>
          <w:tcPr>
            <w:tcW w:w="70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1</w:t>
            </w:r>
          </w:p>
        </w:tc>
        <w:tc>
          <w:tcPr>
            <w:tcW w:w="1493"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钢筋混凝土</w:t>
            </w:r>
          </w:p>
        </w:tc>
        <w:tc>
          <w:tcPr>
            <w:tcW w:w="1320"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2161</w:t>
            </w:r>
          </w:p>
        </w:tc>
        <w:tc>
          <w:tcPr>
            <w:tcW w:w="1125"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2017</w:t>
            </w:r>
          </w:p>
        </w:tc>
        <w:tc>
          <w:tcPr>
            <w:tcW w:w="1772"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无需加固</w:t>
            </w:r>
          </w:p>
        </w:tc>
      </w:tr>
      <w:tr>
        <w:tblPrEx>
          <w:tblLayout w:type="fixed"/>
          <w:tblCellMar>
            <w:top w:w="0" w:type="dxa"/>
            <w:left w:w="0" w:type="dxa"/>
            <w:bottom w:w="0" w:type="dxa"/>
            <w:right w:w="0" w:type="dxa"/>
          </w:tblCellMar>
        </w:tblPrEx>
        <w:trPr>
          <w:trHeight w:val="533" w:hRule="atLeast"/>
        </w:trPr>
        <w:tc>
          <w:tcPr>
            <w:tcW w:w="568"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14</w:t>
            </w:r>
          </w:p>
        </w:tc>
        <w:tc>
          <w:tcPr>
            <w:tcW w:w="189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汽车客运中心</w:t>
            </w:r>
          </w:p>
        </w:tc>
        <w:tc>
          <w:tcPr>
            <w:tcW w:w="70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w:t>
            </w:r>
          </w:p>
        </w:tc>
        <w:tc>
          <w:tcPr>
            <w:tcW w:w="1493"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钢筋混凝土</w:t>
            </w:r>
          </w:p>
        </w:tc>
        <w:tc>
          <w:tcPr>
            <w:tcW w:w="1320"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5532</w:t>
            </w:r>
          </w:p>
        </w:tc>
        <w:tc>
          <w:tcPr>
            <w:tcW w:w="1125"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2020</w:t>
            </w:r>
          </w:p>
        </w:tc>
        <w:tc>
          <w:tcPr>
            <w:tcW w:w="1772"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无需加固</w:t>
            </w:r>
          </w:p>
        </w:tc>
      </w:tr>
      <w:tr>
        <w:tblPrEx>
          <w:tblLayout w:type="fixed"/>
          <w:tblCellMar>
            <w:top w:w="0" w:type="dxa"/>
            <w:left w:w="0" w:type="dxa"/>
            <w:bottom w:w="0" w:type="dxa"/>
            <w:right w:w="0" w:type="dxa"/>
          </w:tblCellMar>
        </w:tblPrEx>
        <w:trPr>
          <w:trHeight w:val="533" w:hRule="atLeast"/>
        </w:trPr>
        <w:tc>
          <w:tcPr>
            <w:tcW w:w="568"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15</w:t>
            </w:r>
          </w:p>
        </w:tc>
        <w:tc>
          <w:tcPr>
            <w:tcW w:w="189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spacing w:val="-11"/>
                <w:kern w:val="0"/>
                <w:sz w:val="28"/>
                <w:szCs w:val="28"/>
              </w:rPr>
              <w:t>青少年活动中心</w:t>
            </w:r>
          </w:p>
        </w:tc>
        <w:tc>
          <w:tcPr>
            <w:tcW w:w="70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4</w:t>
            </w:r>
          </w:p>
        </w:tc>
        <w:tc>
          <w:tcPr>
            <w:tcW w:w="1493"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钢筋混凝土</w:t>
            </w:r>
          </w:p>
        </w:tc>
        <w:tc>
          <w:tcPr>
            <w:tcW w:w="1320"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358</w:t>
            </w:r>
          </w:p>
        </w:tc>
        <w:tc>
          <w:tcPr>
            <w:tcW w:w="1125"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2014</w:t>
            </w:r>
          </w:p>
        </w:tc>
        <w:tc>
          <w:tcPr>
            <w:tcW w:w="1772"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无需加固</w:t>
            </w:r>
          </w:p>
        </w:tc>
      </w:tr>
      <w:tr>
        <w:tblPrEx>
          <w:tblLayout w:type="fixed"/>
          <w:tblCellMar>
            <w:top w:w="0" w:type="dxa"/>
            <w:left w:w="0" w:type="dxa"/>
            <w:bottom w:w="0" w:type="dxa"/>
            <w:right w:w="0" w:type="dxa"/>
          </w:tblCellMar>
        </w:tblPrEx>
        <w:trPr>
          <w:trHeight w:val="1056" w:hRule="atLeast"/>
        </w:trPr>
        <w:tc>
          <w:tcPr>
            <w:tcW w:w="568"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16</w:t>
            </w:r>
          </w:p>
        </w:tc>
        <w:tc>
          <w:tcPr>
            <w:tcW w:w="189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人民医院住院大楼</w:t>
            </w:r>
          </w:p>
        </w:tc>
        <w:tc>
          <w:tcPr>
            <w:tcW w:w="70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19</w:t>
            </w:r>
          </w:p>
        </w:tc>
        <w:tc>
          <w:tcPr>
            <w:tcW w:w="1493"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钢筋混凝土</w:t>
            </w:r>
          </w:p>
        </w:tc>
        <w:tc>
          <w:tcPr>
            <w:tcW w:w="1320"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1605</w:t>
            </w:r>
          </w:p>
        </w:tc>
        <w:tc>
          <w:tcPr>
            <w:tcW w:w="1125"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2010</w:t>
            </w:r>
          </w:p>
        </w:tc>
        <w:tc>
          <w:tcPr>
            <w:tcW w:w="1772"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无需加固</w:t>
            </w:r>
          </w:p>
        </w:tc>
      </w:tr>
      <w:tr>
        <w:tblPrEx>
          <w:tblLayout w:type="fixed"/>
          <w:tblCellMar>
            <w:top w:w="0" w:type="dxa"/>
            <w:left w:w="0" w:type="dxa"/>
            <w:bottom w:w="0" w:type="dxa"/>
            <w:right w:w="0" w:type="dxa"/>
          </w:tblCellMar>
        </w:tblPrEx>
        <w:trPr>
          <w:trHeight w:val="1056" w:hRule="atLeast"/>
        </w:trPr>
        <w:tc>
          <w:tcPr>
            <w:tcW w:w="568"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17</w:t>
            </w:r>
          </w:p>
        </w:tc>
        <w:tc>
          <w:tcPr>
            <w:tcW w:w="189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三江街道社区卫生服务中心</w:t>
            </w:r>
          </w:p>
        </w:tc>
        <w:tc>
          <w:tcPr>
            <w:tcW w:w="70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4</w:t>
            </w:r>
          </w:p>
        </w:tc>
        <w:tc>
          <w:tcPr>
            <w:tcW w:w="1493"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钢筋混凝土</w:t>
            </w:r>
          </w:p>
        </w:tc>
        <w:tc>
          <w:tcPr>
            <w:tcW w:w="1320"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988</w:t>
            </w:r>
          </w:p>
        </w:tc>
        <w:tc>
          <w:tcPr>
            <w:tcW w:w="1125"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2021</w:t>
            </w:r>
          </w:p>
        </w:tc>
        <w:tc>
          <w:tcPr>
            <w:tcW w:w="1772"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按重点设防类建筑进行加固</w:t>
            </w:r>
          </w:p>
        </w:tc>
      </w:tr>
      <w:tr>
        <w:tblPrEx>
          <w:tblLayout w:type="fixed"/>
          <w:tblCellMar>
            <w:top w:w="0" w:type="dxa"/>
            <w:left w:w="0" w:type="dxa"/>
            <w:bottom w:w="0" w:type="dxa"/>
            <w:right w:w="0" w:type="dxa"/>
          </w:tblCellMar>
        </w:tblPrEx>
        <w:trPr>
          <w:trHeight w:val="533" w:hRule="atLeast"/>
        </w:trPr>
        <w:tc>
          <w:tcPr>
            <w:tcW w:w="568"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18</w:t>
            </w:r>
          </w:p>
        </w:tc>
        <w:tc>
          <w:tcPr>
            <w:tcW w:w="189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三江文化中心</w:t>
            </w:r>
          </w:p>
        </w:tc>
        <w:tc>
          <w:tcPr>
            <w:tcW w:w="70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4</w:t>
            </w:r>
          </w:p>
        </w:tc>
        <w:tc>
          <w:tcPr>
            <w:tcW w:w="1493"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钢筋混凝土</w:t>
            </w:r>
          </w:p>
        </w:tc>
        <w:tc>
          <w:tcPr>
            <w:tcW w:w="1320"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200</w:t>
            </w:r>
          </w:p>
        </w:tc>
        <w:tc>
          <w:tcPr>
            <w:tcW w:w="1125"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2015</w:t>
            </w:r>
          </w:p>
        </w:tc>
        <w:tc>
          <w:tcPr>
            <w:tcW w:w="1772"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无需加固</w:t>
            </w:r>
          </w:p>
        </w:tc>
      </w:tr>
      <w:tr>
        <w:tblPrEx>
          <w:tblLayout w:type="fixed"/>
          <w:tblCellMar>
            <w:top w:w="0" w:type="dxa"/>
            <w:left w:w="0" w:type="dxa"/>
            <w:bottom w:w="0" w:type="dxa"/>
            <w:right w:w="0" w:type="dxa"/>
          </w:tblCellMar>
        </w:tblPrEx>
        <w:trPr>
          <w:trHeight w:val="533" w:hRule="atLeast"/>
        </w:trPr>
        <w:tc>
          <w:tcPr>
            <w:tcW w:w="568"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19</w:t>
            </w:r>
          </w:p>
        </w:tc>
        <w:tc>
          <w:tcPr>
            <w:tcW w:w="189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spacing w:val="-11"/>
                <w:kern w:val="0"/>
                <w:sz w:val="28"/>
                <w:szCs w:val="28"/>
              </w:rPr>
              <w:t>社会福利院C区</w:t>
            </w:r>
          </w:p>
        </w:tc>
        <w:tc>
          <w:tcPr>
            <w:tcW w:w="70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8</w:t>
            </w:r>
          </w:p>
        </w:tc>
        <w:tc>
          <w:tcPr>
            <w:tcW w:w="1493"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钢筋混凝土</w:t>
            </w:r>
          </w:p>
        </w:tc>
        <w:tc>
          <w:tcPr>
            <w:tcW w:w="1320"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1295</w:t>
            </w:r>
          </w:p>
        </w:tc>
        <w:tc>
          <w:tcPr>
            <w:tcW w:w="1125"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2017</w:t>
            </w:r>
          </w:p>
        </w:tc>
        <w:tc>
          <w:tcPr>
            <w:tcW w:w="1772"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无需加固</w:t>
            </w:r>
          </w:p>
        </w:tc>
      </w:tr>
      <w:tr>
        <w:tblPrEx>
          <w:tblLayout w:type="fixed"/>
          <w:tblCellMar>
            <w:top w:w="0" w:type="dxa"/>
            <w:left w:w="0" w:type="dxa"/>
            <w:bottom w:w="0" w:type="dxa"/>
            <w:right w:w="0" w:type="dxa"/>
          </w:tblCellMar>
        </w:tblPrEx>
        <w:trPr>
          <w:trHeight w:val="533" w:hRule="atLeast"/>
        </w:trPr>
        <w:tc>
          <w:tcPr>
            <w:tcW w:w="568"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20</w:t>
            </w:r>
          </w:p>
        </w:tc>
        <w:tc>
          <w:tcPr>
            <w:tcW w:w="189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心新医院C区</w:t>
            </w:r>
          </w:p>
        </w:tc>
        <w:tc>
          <w:tcPr>
            <w:tcW w:w="70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8</w:t>
            </w:r>
          </w:p>
        </w:tc>
        <w:tc>
          <w:tcPr>
            <w:tcW w:w="1493"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钢筋混凝土</w:t>
            </w:r>
          </w:p>
        </w:tc>
        <w:tc>
          <w:tcPr>
            <w:tcW w:w="1320"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1295</w:t>
            </w:r>
          </w:p>
        </w:tc>
        <w:tc>
          <w:tcPr>
            <w:tcW w:w="1125"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2017</w:t>
            </w:r>
          </w:p>
        </w:tc>
        <w:tc>
          <w:tcPr>
            <w:tcW w:w="1772"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无需加固</w:t>
            </w:r>
          </w:p>
        </w:tc>
      </w:tr>
      <w:tr>
        <w:tblPrEx>
          <w:tblLayout w:type="fixed"/>
          <w:tblCellMar>
            <w:top w:w="0" w:type="dxa"/>
            <w:left w:w="0" w:type="dxa"/>
            <w:bottom w:w="0" w:type="dxa"/>
            <w:right w:w="0" w:type="dxa"/>
          </w:tblCellMar>
        </w:tblPrEx>
        <w:trPr>
          <w:trHeight w:val="1056" w:hRule="atLeast"/>
        </w:trPr>
        <w:tc>
          <w:tcPr>
            <w:tcW w:w="568"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21</w:t>
            </w:r>
          </w:p>
        </w:tc>
        <w:tc>
          <w:tcPr>
            <w:tcW w:w="189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綦南供电局检修公司办公楼</w:t>
            </w:r>
          </w:p>
        </w:tc>
        <w:tc>
          <w:tcPr>
            <w:tcW w:w="70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4</w:t>
            </w:r>
          </w:p>
        </w:tc>
        <w:tc>
          <w:tcPr>
            <w:tcW w:w="1493"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钢筋混凝土</w:t>
            </w:r>
          </w:p>
        </w:tc>
        <w:tc>
          <w:tcPr>
            <w:tcW w:w="1320"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622</w:t>
            </w:r>
          </w:p>
        </w:tc>
        <w:tc>
          <w:tcPr>
            <w:tcW w:w="1125"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2000</w:t>
            </w:r>
          </w:p>
        </w:tc>
        <w:tc>
          <w:tcPr>
            <w:tcW w:w="1772"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按重点设防类建筑进行加固</w:t>
            </w:r>
          </w:p>
        </w:tc>
      </w:tr>
      <w:tr>
        <w:tblPrEx>
          <w:tblLayout w:type="fixed"/>
          <w:tblCellMar>
            <w:top w:w="0" w:type="dxa"/>
            <w:left w:w="0" w:type="dxa"/>
            <w:bottom w:w="0" w:type="dxa"/>
            <w:right w:w="0" w:type="dxa"/>
          </w:tblCellMar>
        </w:tblPrEx>
        <w:trPr>
          <w:trHeight w:val="1056" w:hRule="atLeast"/>
        </w:trPr>
        <w:tc>
          <w:tcPr>
            <w:tcW w:w="568"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22</w:t>
            </w:r>
          </w:p>
        </w:tc>
        <w:tc>
          <w:tcPr>
            <w:tcW w:w="189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四钢自来水厂水池</w:t>
            </w:r>
          </w:p>
        </w:tc>
        <w:tc>
          <w:tcPr>
            <w:tcW w:w="70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1</w:t>
            </w:r>
          </w:p>
        </w:tc>
        <w:tc>
          <w:tcPr>
            <w:tcW w:w="1493"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钢筋混凝土</w:t>
            </w:r>
          </w:p>
        </w:tc>
        <w:tc>
          <w:tcPr>
            <w:tcW w:w="1320"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379</w:t>
            </w:r>
          </w:p>
        </w:tc>
        <w:tc>
          <w:tcPr>
            <w:tcW w:w="1125"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2016</w:t>
            </w:r>
          </w:p>
        </w:tc>
        <w:tc>
          <w:tcPr>
            <w:tcW w:w="1772"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按重点设防类建筑进行加固</w:t>
            </w:r>
          </w:p>
        </w:tc>
      </w:tr>
      <w:tr>
        <w:tblPrEx>
          <w:tblLayout w:type="fixed"/>
          <w:tblCellMar>
            <w:top w:w="0" w:type="dxa"/>
            <w:left w:w="0" w:type="dxa"/>
            <w:bottom w:w="0" w:type="dxa"/>
            <w:right w:w="0" w:type="dxa"/>
          </w:tblCellMar>
        </w:tblPrEx>
        <w:trPr>
          <w:trHeight w:val="1056" w:hRule="atLeast"/>
        </w:trPr>
        <w:tc>
          <w:tcPr>
            <w:tcW w:w="568"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23</w:t>
            </w:r>
          </w:p>
        </w:tc>
        <w:tc>
          <w:tcPr>
            <w:tcW w:w="189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移动公司</w:t>
            </w:r>
          </w:p>
        </w:tc>
        <w:tc>
          <w:tcPr>
            <w:tcW w:w="70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5</w:t>
            </w:r>
          </w:p>
        </w:tc>
        <w:tc>
          <w:tcPr>
            <w:tcW w:w="1493"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钢筋混凝土</w:t>
            </w:r>
          </w:p>
        </w:tc>
        <w:tc>
          <w:tcPr>
            <w:tcW w:w="1320"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1213</w:t>
            </w:r>
          </w:p>
        </w:tc>
        <w:tc>
          <w:tcPr>
            <w:tcW w:w="1125"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2010</w:t>
            </w:r>
          </w:p>
        </w:tc>
        <w:tc>
          <w:tcPr>
            <w:tcW w:w="1772"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按重点设防类建筑进行加固</w:t>
            </w:r>
          </w:p>
        </w:tc>
      </w:tr>
      <w:tr>
        <w:tblPrEx>
          <w:tblLayout w:type="fixed"/>
          <w:tblCellMar>
            <w:top w:w="0" w:type="dxa"/>
            <w:left w:w="0" w:type="dxa"/>
            <w:bottom w:w="0" w:type="dxa"/>
            <w:right w:w="0" w:type="dxa"/>
          </w:tblCellMar>
        </w:tblPrEx>
        <w:trPr>
          <w:trHeight w:val="533" w:hRule="atLeast"/>
        </w:trPr>
        <w:tc>
          <w:tcPr>
            <w:tcW w:w="568"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24</w:t>
            </w:r>
          </w:p>
        </w:tc>
        <w:tc>
          <w:tcPr>
            <w:tcW w:w="189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中医院</w:t>
            </w:r>
          </w:p>
        </w:tc>
        <w:tc>
          <w:tcPr>
            <w:tcW w:w="70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10</w:t>
            </w:r>
          </w:p>
        </w:tc>
        <w:tc>
          <w:tcPr>
            <w:tcW w:w="1493"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钢筋混凝土</w:t>
            </w:r>
          </w:p>
        </w:tc>
        <w:tc>
          <w:tcPr>
            <w:tcW w:w="1320"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1493</w:t>
            </w:r>
          </w:p>
        </w:tc>
        <w:tc>
          <w:tcPr>
            <w:tcW w:w="1125"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2016</w:t>
            </w:r>
          </w:p>
        </w:tc>
        <w:tc>
          <w:tcPr>
            <w:tcW w:w="1772"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无需加固</w:t>
            </w:r>
          </w:p>
        </w:tc>
      </w:tr>
      <w:tr>
        <w:tblPrEx>
          <w:tblLayout w:type="fixed"/>
          <w:tblCellMar>
            <w:top w:w="0" w:type="dxa"/>
            <w:left w:w="0" w:type="dxa"/>
            <w:bottom w:w="0" w:type="dxa"/>
            <w:right w:w="0" w:type="dxa"/>
          </w:tblCellMar>
        </w:tblPrEx>
        <w:trPr>
          <w:trHeight w:val="1067" w:hRule="atLeast"/>
        </w:trPr>
        <w:tc>
          <w:tcPr>
            <w:tcW w:w="568"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25</w:t>
            </w:r>
          </w:p>
        </w:tc>
        <w:tc>
          <w:tcPr>
            <w:tcW w:w="189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三</w:t>
            </w:r>
            <w:r>
              <w:rPr>
                <w:color w:val="000000"/>
                <w:spacing w:val="-11"/>
                <w:kern w:val="0"/>
                <w:sz w:val="28"/>
                <w:szCs w:val="28"/>
              </w:rPr>
              <w:t>江污水处理站</w:t>
            </w:r>
          </w:p>
        </w:tc>
        <w:tc>
          <w:tcPr>
            <w:tcW w:w="70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1</w:t>
            </w:r>
          </w:p>
        </w:tc>
        <w:tc>
          <w:tcPr>
            <w:tcW w:w="1493"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钢筋混凝土</w:t>
            </w:r>
          </w:p>
        </w:tc>
        <w:tc>
          <w:tcPr>
            <w:tcW w:w="1320"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116</w:t>
            </w:r>
          </w:p>
        </w:tc>
        <w:tc>
          <w:tcPr>
            <w:tcW w:w="1125"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2018</w:t>
            </w:r>
          </w:p>
        </w:tc>
        <w:tc>
          <w:tcPr>
            <w:tcW w:w="1772"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按重点设防类建筑进行加固</w:t>
            </w:r>
          </w:p>
        </w:tc>
      </w:tr>
    </w:tbl>
    <w:p>
      <w:pPr>
        <w:pStyle w:val="7"/>
        <w:keepNext/>
        <w:spacing w:line="576" w:lineRule="exact"/>
        <w:rPr>
          <w:rFonts w:hint="default" w:ascii="Times New Roman" w:hAnsi="Times New Roman" w:eastAsia="方正黑体_GBK" w:cs="Times New Roman"/>
          <w:sz w:val="32"/>
          <w:szCs w:val="32"/>
          <w:lang w:val="en-US" w:eastAsia="zh-CN" w:bidi="ar"/>
        </w:rPr>
      </w:pPr>
      <w:bookmarkStart w:id="354" w:name="_Ref120544100"/>
      <w:bookmarkStart w:id="355" w:name="_Toc158043559"/>
      <w:bookmarkStart w:id="356" w:name="_Toc156308078"/>
      <w:r>
        <w:rPr>
          <w:rFonts w:hint="default" w:ascii="Times New Roman" w:hAnsi="Times New Roman" w:eastAsia="方正黑体_GBK" w:cs="Times New Roman"/>
          <w:sz w:val="32"/>
          <w:szCs w:val="32"/>
          <w:lang w:bidi="ar"/>
        </w:rPr>
        <w:t>附表</w:t>
      </w:r>
      <w:bookmarkEnd w:id="354"/>
      <w:r>
        <w:rPr>
          <w:rFonts w:hint="default" w:ascii="Times New Roman" w:hAnsi="Times New Roman" w:eastAsia="方正黑体_GBK" w:cs="Times New Roman"/>
          <w:sz w:val="32"/>
          <w:szCs w:val="32"/>
          <w:lang w:val="en-US" w:eastAsia="zh-CN" w:bidi="ar"/>
        </w:rPr>
        <w:t xml:space="preserve">2 </w:t>
      </w:r>
    </w:p>
    <w:p>
      <w:pPr>
        <w:pStyle w:val="7"/>
        <w:keepNext/>
        <w:spacing w:line="576" w:lineRule="exact"/>
        <w:jc w:val="center"/>
        <w:rPr>
          <w:rFonts w:hint="eastAsia" w:ascii="方正黑体_GBK" w:hAnsi="方正黑体_GBK" w:eastAsia="方正黑体_GBK" w:cs="方正黑体_GBK"/>
          <w:sz w:val="32"/>
          <w:szCs w:val="32"/>
          <w:lang w:bidi="ar"/>
        </w:rPr>
      </w:pPr>
      <w:r>
        <w:rPr>
          <w:rFonts w:hint="eastAsia" w:ascii="方正黑体_GBK" w:hAnsi="方正黑体_GBK" w:eastAsia="方正黑体_GBK" w:cs="方正黑体_GBK"/>
          <w:sz w:val="32"/>
          <w:szCs w:val="32"/>
          <w:lang w:bidi="ar"/>
        </w:rPr>
        <w:t>綦江中心城区一般建筑物抗震改造加固策略一览表</w:t>
      </w:r>
      <w:bookmarkEnd w:id="355"/>
      <w:bookmarkEnd w:id="356"/>
    </w:p>
    <w:p/>
    <w:tbl>
      <w:tblPr>
        <w:tblStyle w:val="18"/>
        <w:tblW w:w="8805" w:type="dxa"/>
        <w:tblInd w:w="85" w:type="dxa"/>
        <w:tblLayout w:type="fixed"/>
        <w:tblCellMar>
          <w:top w:w="0" w:type="dxa"/>
          <w:left w:w="23" w:type="dxa"/>
          <w:bottom w:w="0" w:type="dxa"/>
          <w:right w:w="23" w:type="dxa"/>
        </w:tblCellMar>
      </w:tblPr>
      <w:tblGrid>
        <w:gridCol w:w="1373"/>
        <w:gridCol w:w="2608"/>
        <w:gridCol w:w="840"/>
        <w:gridCol w:w="1500"/>
        <w:gridCol w:w="993"/>
        <w:gridCol w:w="1491"/>
      </w:tblGrid>
      <w:tr>
        <w:tblPrEx>
          <w:tblLayout w:type="fixed"/>
          <w:tblCellMar>
            <w:top w:w="0" w:type="dxa"/>
            <w:left w:w="23" w:type="dxa"/>
            <w:bottom w:w="0" w:type="dxa"/>
            <w:right w:w="23" w:type="dxa"/>
          </w:tblCellMar>
        </w:tblPrEx>
        <w:trPr>
          <w:trHeight w:val="23" w:hRule="atLeast"/>
          <w:tblHeader/>
        </w:trPr>
        <w:tc>
          <w:tcPr>
            <w:tcW w:w="1373"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textAlignment w:val="center"/>
              <w:rPr>
                <w:rFonts w:hint="eastAsia" w:ascii="方正黑体_GBK" w:hAnsi="方正黑体_GBK" w:eastAsia="方正黑体_GBK" w:cs="方正黑体_GBK"/>
                <w:b w:val="0"/>
                <w:bCs w:val="0"/>
                <w:color w:val="000000"/>
                <w:sz w:val="28"/>
                <w:szCs w:val="28"/>
              </w:rPr>
            </w:pPr>
            <w:r>
              <w:rPr>
                <w:rFonts w:hint="eastAsia" w:ascii="方正黑体_GBK" w:hAnsi="方正黑体_GBK" w:eastAsia="方正黑体_GBK" w:cs="方正黑体_GBK"/>
                <w:b w:val="0"/>
                <w:bCs w:val="0"/>
                <w:color w:val="000000"/>
                <w:kern w:val="0"/>
                <w:sz w:val="28"/>
                <w:szCs w:val="28"/>
              </w:rPr>
              <w:t>名称</w:t>
            </w:r>
          </w:p>
        </w:tc>
        <w:tc>
          <w:tcPr>
            <w:tcW w:w="2608" w:type="dxa"/>
            <w:tcBorders>
              <w:top w:val="single" w:color="auto" w:sz="4" w:space="0"/>
              <w:left w:val="nil"/>
              <w:bottom w:val="single" w:color="auto" w:sz="4" w:space="0"/>
              <w:right w:val="single" w:color="auto" w:sz="4" w:space="0"/>
            </w:tcBorders>
            <w:vAlign w:val="center"/>
          </w:tcPr>
          <w:p>
            <w:pPr>
              <w:widowControl/>
              <w:spacing w:line="480" w:lineRule="exact"/>
              <w:jc w:val="center"/>
              <w:textAlignment w:val="center"/>
              <w:rPr>
                <w:rFonts w:hint="eastAsia" w:ascii="方正黑体_GBK" w:hAnsi="方正黑体_GBK" w:eastAsia="方正黑体_GBK" w:cs="方正黑体_GBK"/>
                <w:b w:val="0"/>
                <w:bCs w:val="0"/>
                <w:color w:val="000000"/>
                <w:sz w:val="28"/>
                <w:szCs w:val="28"/>
              </w:rPr>
            </w:pPr>
            <w:r>
              <w:rPr>
                <w:rFonts w:hint="eastAsia" w:ascii="方正黑体_GBK" w:hAnsi="方正黑体_GBK" w:eastAsia="方正黑体_GBK" w:cs="方正黑体_GBK"/>
                <w:b w:val="0"/>
                <w:bCs w:val="0"/>
                <w:color w:val="000000"/>
                <w:kern w:val="0"/>
                <w:sz w:val="28"/>
                <w:szCs w:val="28"/>
              </w:rPr>
              <w:t>位置</w:t>
            </w:r>
          </w:p>
        </w:tc>
        <w:tc>
          <w:tcPr>
            <w:tcW w:w="840" w:type="dxa"/>
            <w:tcBorders>
              <w:top w:val="single" w:color="auto" w:sz="4" w:space="0"/>
              <w:left w:val="nil"/>
              <w:bottom w:val="single" w:color="auto" w:sz="4" w:space="0"/>
              <w:right w:val="single" w:color="auto" w:sz="4" w:space="0"/>
            </w:tcBorders>
            <w:vAlign w:val="center"/>
          </w:tcPr>
          <w:p>
            <w:pPr>
              <w:widowControl/>
              <w:spacing w:line="480" w:lineRule="exact"/>
              <w:jc w:val="center"/>
              <w:textAlignment w:val="center"/>
              <w:rPr>
                <w:rFonts w:hint="eastAsia" w:ascii="方正黑体_GBK" w:hAnsi="方正黑体_GBK" w:eastAsia="方正黑体_GBK" w:cs="方正黑体_GBK"/>
                <w:b w:val="0"/>
                <w:bCs w:val="0"/>
                <w:color w:val="000000"/>
                <w:sz w:val="28"/>
                <w:szCs w:val="28"/>
              </w:rPr>
            </w:pPr>
            <w:r>
              <w:rPr>
                <w:rFonts w:hint="eastAsia" w:ascii="方正黑体_GBK" w:hAnsi="方正黑体_GBK" w:eastAsia="方正黑体_GBK" w:cs="方正黑体_GBK"/>
                <w:b w:val="0"/>
                <w:bCs w:val="0"/>
                <w:color w:val="000000"/>
                <w:kern w:val="0"/>
                <w:sz w:val="28"/>
                <w:szCs w:val="28"/>
              </w:rPr>
              <w:t>用地面积</w:t>
            </w:r>
            <w:r>
              <w:rPr>
                <w:rFonts w:hint="default" w:ascii="Times New Roman" w:hAnsi="Times New Roman" w:eastAsia="方正黑体_GBK" w:cs="Times New Roman"/>
                <w:b w:val="0"/>
                <w:bCs w:val="0"/>
                <w:color w:val="000000"/>
                <w:spacing w:val="-23"/>
                <w:kern w:val="0"/>
                <w:sz w:val="28"/>
                <w:szCs w:val="28"/>
              </w:rPr>
              <w:t>（</w:t>
            </w:r>
            <w:r>
              <w:rPr>
                <w:rFonts w:hint="eastAsia" w:eastAsia="方正黑体_GBK" w:cs="Times New Roman"/>
                <w:b w:val="0"/>
                <w:bCs w:val="0"/>
                <w:color w:val="000000"/>
                <w:spacing w:val="-23"/>
                <w:kern w:val="0"/>
                <w:sz w:val="28"/>
                <w:szCs w:val="28"/>
                <w:lang w:val="en-US" w:eastAsia="zh"/>
              </w:rPr>
              <w:t>k</w:t>
            </w:r>
            <w:r>
              <w:rPr>
                <w:rFonts w:hint="default" w:ascii="Times New Roman" w:hAnsi="Times New Roman" w:eastAsia="方正黑体_GBK" w:cs="Times New Roman"/>
                <w:b w:val="0"/>
                <w:bCs w:val="0"/>
                <w:color w:val="000000"/>
                <w:spacing w:val="-23"/>
                <w:kern w:val="0"/>
                <w:sz w:val="28"/>
                <w:szCs w:val="28"/>
              </w:rPr>
              <w:t>m</w:t>
            </w:r>
            <w:r>
              <w:rPr>
                <w:rFonts w:hint="default" w:ascii="Times New Roman" w:hAnsi="Times New Roman" w:eastAsia="方正黑体_GBK" w:cs="Times New Roman"/>
                <w:b w:val="0"/>
                <w:bCs w:val="0"/>
                <w:color w:val="000000"/>
                <w:spacing w:val="-23"/>
                <w:kern w:val="0"/>
                <w:sz w:val="28"/>
                <w:szCs w:val="28"/>
                <w:vertAlign w:val="superscript"/>
              </w:rPr>
              <w:t>2</w:t>
            </w:r>
            <w:r>
              <w:rPr>
                <w:rFonts w:hint="default" w:ascii="Times New Roman" w:hAnsi="Times New Roman" w:eastAsia="方正黑体_GBK" w:cs="Times New Roman"/>
                <w:b w:val="0"/>
                <w:bCs w:val="0"/>
                <w:color w:val="000000"/>
                <w:spacing w:val="-23"/>
                <w:kern w:val="0"/>
                <w:sz w:val="28"/>
                <w:szCs w:val="28"/>
              </w:rPr>
              <w:t>）</w:t>
            </w:r>
          </w:p>
        </w:tc>
        <w:tc>
          <w:tcPr>
            <w:tcW w:w="1500" w:type="dxa"/>
            <w:tcBorders>
              <w:top w:val="single" w:color="auto" w:sz="4" w:space="0"/>
              <w:left w:val="nil"/>
              <w:bottom w:val="single" w:color="auto" w:sz="4" w:space="0"/>
              <w:right w:val="single" w:color="auto" w:sz="4" w:space="0"/>
            </w:tcBorders>
            <w:vAlign w:val="center"/>
          </w:tcPr>
          <w:p>
            <w:pPr>
              <w:widowControl/>
              <w:spacing w:line="480" w:lineRule="exact"/>
              <w:jc w:val="center"/>
              <w:textAlignment w:val="center"/>
              <w:rPr>
                <w:rFonts w:hint="eastAsia" w:ascii="方正黑体_GBK" w:hAnsi="方正黑体_GBK" w:eastAsia="方正黑体_GBK" w:cs="方正黑体_GBK"/>
                <w:b w:val="0"/>
                <w:bCs w:val="0"/>
                <w:color w:val="000000"/>
                <w:sz w:val="28"/>
                <w:szCs w:val="28"/>
              </w:rPr>
            </w:pPr>
            <w:r>
              <w:rPr>
                <w:rFonts w:hint="eastAsia" w:ascii="方正黑体_GBK" w:hAnsi="方正黑体_GBK" w:eastAsia="方正黑体_GBK" w:cs="方正黑体_GBK"/>
                <w:b w:val="0"/>
                <w:bCs w:val="0"/>
                <w:color w:val="000000"/>
                <w:kern w:val="0"/>
                <w:sz w:val="28"/>
                <w:szCs w:val="28"/>
              </w:rPr>
              <w:t>建筑类型</w:t>
            </w:r>
          </w:p>
        </w:tc>
        <w:tc>
          <w:tcPr>
            <w:tcW w:w="993" w:type="dxa"/>
            <w:tcBorders>
              <w:top w:val="single" w:color="auto" w:sz="4" w:space="0"/>
              <w:left w:val="nil"/>
              <w:bottom w:val="single" w:color="auto" w:sz="4" w:space="0"/>
              <w:right w:val="single" w:color="auto" w:sz="4" w:space="0"/>
            </w:tcBorders>
            <w:vAlign w:val="center"/>
          </w:tcPr>
          <w:p>
            <w:pPr>
              <w:widowControl/>
              <w:spacing w:line="480" w:lineRule="exact"/>
              <w:jc w:val="center"/>
              <w:textAlignment w:val="center"/>
              <w:rPr>
                <w:rFonts w:hint="eastAsia" w:ascii="方正黑体_GBK" w:hAnsi="方正黑体_GBK" w:eastAsia="方正黑体_GBK" w:cs="方正黑体_GBK"/>
                <w:b w:val="0"/>
                <w:bCs w:val="0"/>
                <w:color w:val="000000"/>
                <w:sz w:val="28"/>
                <w:szCs w:val="28"/>
              </w:rPr>
            </w:pPr>
            <w:r>
              <w:rPr>
                <w:rFonts w:hint="eastAsia" w:ascii="方正黑体_GBK" w:hAnsi="方正黑体_GBK" w:eastAsia="方正黑体_GBK" w:cs="方正黑体_GBK"/>
                <w:b w:val="0"/>
                <w:bCs w:val="0"/>
                <w:color w:val="000000"/>
                <w:kern w:val="0"/>
                <w:sz w:val="28"/>
                <w:szCs w:val="28"/>
              </w:rPr>
              <w:t>现状抗震性能</w:t>
            </w:r>
          </w:p>
        </w:tc>
        <w:tc>
          <w:tcPr>
            <w:tcW w:w="1491" w:type="dxa"/>
            <w:tcBorders>
              <w:top w:val="single" w:color="auto" w:sz="4" w:space="0"/>
              <w:left w:val="nil"/>
              <w:bottom w:val="single" w:color="auto" w:sz="4" w:space="0"/>
              <w:right w:val="single" w:color="auto" w:sz="4" w:space="0"/>
            </w:tcBorders>
            <w:vAlign w:val="center"/>
          </w:tcPr>
          <w:p>
            <w:pPr>
              <w:widowControl/>
              <w:spacing w:line="480" w:lineRule="exact"/>
              <w:jc w:val="center"/>
              <w:textAlignment w:val="center"/>
              <w:rPr>
                <w:rFonts w:hint="eastAsia" w:ascii="方正黑体_GBK" w:hAnsi="方正黑体_GBK" w:eastAsia="方正黑体_GBK" w:cs="方正黑体_GBK"/>
                <w:b w:val="0"/>
                <w:bCs w:val="0"/>
                <w:color w:val="000000"/>
                <w:sz w:val="28"/>
                <w:szCs w:val="28"/>
              </w:rPr>
            </w:pPr>
            <w:r>
              <w:rPr>
                <w:rFonts w:hint="eastAsia" w:ascii="方正黑体_GBK" w:hAnsi="方正黑体_GBK" w:eastAsia="方正黑体_GBK" w:cs="方正黑体_GBK"/>
                <w:b w:val="0"/>
                <w:bCs w:val="0"/>
                <w:color w:val="000000"/>
                <w:kern w:val="0"/>
                <w:sz w:val="28"/>
                <w:szCs w:val="28"/>
              </w:rPr>
              <w:t>处理意见</w:t>
            </w:r>
          </w:p>
        </w:tc>
      </w:tr>
      <w:tr>
        <w:tblPrEx>
          <w:tblLayout w:type="fixed"/>
          <w:tblCellMar>
            <w:top w:w="0" w:type="dxa"/>
            <w:left w:w="23" w:type="dxa"/>
            <w:bottom w:w="0" w:type="dxa"/>
            <w:right w:w="23" w:type="dxa"/>
          </w:tblCellMar>
        </w:tblPrEx>
        <w:trPr>
          <w:trHeight w:val="23" w:hRule="atLeast"/>
        </w:trPr>
        <w:tc>
          <w:tcPr>
            <w:tcW w:w="1373"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预测单元1</w:t>
            </w:r>
          </w:p>
        </w:tc>
        <w:tc>
          <w:tcPr>
            <w:tcW w:w="260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綦江河及电信支路北侧，兰海高速西侧</w:t>
            </w:r>
          </w:p>
        </w:tc>
        <w:tc>
          <w:tcPr>
            <w:tcW w:w="84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3.77</w:t>
            </w:r>
          </w:p>
        </w:tc>
        <w:tc>
          <w:tcPr>
            <w:tcW w:w="150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以高层居住建筑为主</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一般</w:t>
            </w:r>
          </w:p>
        </w:tc>
        <w:tc>
          <w:tcPr>
            <w:tcW w:w="1491"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抗震鉴定与加固</w:t>
            </w:r>
          </w:p>
        </w:tc>
      </w:tr>
      <w:tr>
        <w:tblPrEx>
          <w:tblLayout w:type="fixed"/>
          <w:tblCellMar>
            <w:top w:w="0" w:type="dxa"/>
            <w:left w:w="23" w:type="dxa"/>
            <w:bottom w:w="0" w:type="dxa"/>
            <w:right w:w="23" w:type="dxa"/>
          </w:tblCellMar>
        </w:tblPrEx>
        <w:trPr>
          <w:trHeight w:val="23" w:hRule="atLeast"/>
        </w:trPr>
        <w:tc>
          <w:tcPr>
            <w:tcW w:w="1373"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预测单元2</w:t>
            </w:r>
          </w:p>
        </w:tc>
        <w:tc>
          <w:tcPr>
            <w:tcW w:w="260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綦江河老城区两侧，电信支路南侧，兰海高速西侧</w:t>
            </w:r>
          </w:p>
        </w:tc>
        <w:tc>
          <w:tcPr>
            <w:tcW w:w="84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3.22</w:t>
            </w:r>
          </w:p>
        </w:tc>
        <w:tc>
          <w:tcPr>
            <w:tcW w:w="150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以多层和小高层居住建筑为主</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较差</w:t>
            </w:r>
          </w:p>
        </w:tc>
        <w:tc>
          <w:tcPr>
            <w:tcW w:w="1491"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建设年代久远的建筑进行拆除重建</w:t>
            </w:r>
          </w:p>
        </w:tc>
      </w:tr>
      <w:tr>
        <w:tblPrEx>
          <w:tblLayout w:type="fixed"/>
          <w:tblCellMar>
            <w:top w:w="0" w:type="dxa"/>
            <w:left w:w="23" w:type="dxa"/>
            <w:bottom w:w="0" w:type="dxa"/>
            <w:right w:w="23" w:type="dxa"/>
          </w:tblCellMar>
        </w:tblPrEx>
        <w:trPr>
          <w:trHeight w:val="23" w:hRule="atLeast"/>
        </w:trPr>
        <w:tc>
          <w:tcPr>
            <w:tcW w:w="1373"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预测单元3</w:t>
            </w:r>
          </w:p>
        </w:tc>
        <w:tc>
          <w:tcPr>
            <w:tcW w:w="260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翠屏山公园北侧，綦万高速及共同片区南侧，兰海高速东侧，翠屏山西侧</w:t>
            </w:r>
          </w:p>
        </w:tc>
        <w:tc>
          <w:tcPr>
            <w:tcW w:w="84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3.98</w:t>
            </w:r>
          </w:p>
        </w:tc>
        <w:tc>
          <w:tcPr>
            <w:tcW w:w="150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以高层居住建筑为主</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较好</w:t>
            </w:r>
          </w:p>
        </w:tc>
        <w:tc>
          <w:tcPr>
            <w:tcW w:w="1491"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抗震鉴定与加固</w:t>
            </w:r>
          </w:p>
        </w:tc>
      </w:tr>
      <w:tr>
        <w:tblPrEx>
          <w:tblLayout w:type="fixed"/>
          <w:tblCellMar>
            <w:top w:w="0" w:type="dxa"/>
            <w:left w:w="23" w:type="dxa"/>
            <w:bottom w:w="0" w:type="dxa"/>
            <w:right w:w="23" w:type="dxa"/>
          </w:tblCellMar>
        </w:tblPrEx>
        <w:trPr>
          <w:trHeight w:val="23" w:hRule="atLeast"/>
        </w:trPr>
        <w:tc>
          <w:tcPr>
            <w:tcW w:w="1373"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预测单元4</w:t>
            </w:r>
          </w:p>
        </w:tc>
        <w:tc>
          <w:tcPr>
            <w:tcW w:w="260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通惠河通惠老场段东侧，翠屏山北部，綦万高速南侧</w:t>
            </w:r>
          </w:p>
        </w:tc>
        <w:tc>
          <w:tcPr>
            <w:tcW w:w="84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3.96</w:t>
            </w:r>
          </w:p>
        </w:tc>
        <w:tc>
          <w:tcPr>
            <w:tcW w:w="150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以居住和工业建筑为主</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较好</w:t>
            </w:r>
          </w:p>
        </w:tc>
        <w:tc>
          <w:tcPr>
            <w:tcW w:w="1491"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抗震鉴定与加固</w:t>
            </w:r>
          </w:p>
        </w:tc>
      </w:tr>
      <w:tr>
        <w:tblPrEx>
          <w:tblLayout w:type="fixed"/>
          <w:tblCellMar>
            <w:top w:w="0" w:type="dxa"/>
            <w:left w:w="23" w:type="dxa"/>
            <w:bottom w:w="0" w:type="dxa"/>
            <w:right w:w="23" w:type="dxa"/>
          </w:tblCellMar>
        </w:tblPrEx>
        <w:trPr>
          <w:trHeight w:val="23" w:hRule="atLeast"/>
        </w:trPr>
        <w:tc>
          <w:tcPr>
            <w:tcW w:w="1373"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预测单元5</w:t>
            </w:r>
          </w:p>
        </w:tc>
        <w:tc>
          <w:tcPr>
            <w:tcW w:w="260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綦江河西南侧，三环高速以北</w:t>
            </w:r>
          </w:p>
        </w:tc>
        <w:tc>
          <w:tcPr>
            <w:tcW w:w="84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1.87</w:t>
            </w:r>
          </w:p>
        </w:tc>
        <w:tc>
          <w:tcPr>
            <w:tcW w:w="150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以高层居住建筑为主</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较好</w:t>
            </w:r>
          </w:p>
        </w:tc>
        <w:tc>
          <w:tcPr>
            <w:tcW w:w="1491"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抗震鉴定与加固</w:t>
            </w:r>
          </w:p>
        </w:tc>
      </w:tr>
      <w:tr>
        <w:tblPrEx>
          <w:tblLayout w:type="fixed"/>
          <w:tblCellMar>
            <w:top w:w="0" w:type="dxa"/>
            <w:left w:w="23" w:type="dxa"/>
            <w:bottom w:w="0" w:type="dxa"/>
            <w:right w:w="23" w:type="dxa"/>
          </w:tblCellMar>
        </w:tblPrEx>
        <w:trPr>
          <w:trHeight w:val="23" w:hRule="atLeast"/>
        </w:trPr>
        <w:tc>
          <w:tcPr>
            <w:tcW w:w="1373"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预测单元6</w:t>
            </w:r>
          </w:p>
        </w:tc>
        <w:tc>
          <w:tcPr>
            <w:tcW w:w="260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綦江河西南侧，三环高速以南</w:t>
            </w:r>
          </w:p>
        </w:tc>
        <w:tc>
          <w:tcPr>
            <w:tcW w:w="84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3.63</w:t>
            </w:r>
          </w:p>
        </w:tc>
        <w:tc>
          <w:tcPr>
            <w:tcW w:w="150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以多层居住建筑为主</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一般</w:t>
            </w:r>
          </w:p>
        </w:tc>
        <w:tc>
          <w:tcPr>
            <w:tcW w:w="1491"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抗震鉴定与加固</w:t>
            </w:r>
          </w:p>
        </w:tc>
      </w:tr>
      <w:tr>
        <w:tblPrEx>
          <w:tblLayout w:type="fixed"/>
          <w:tblCellMar>
            <w:top w:w="0" w:type="dxa"/>
            <w:left w:w="23" w:type="dxa"/>
            <w:bottom w:w="0" w:type="dxa"/>
            <w:right w:w="23" w:type="dxa"/>
          </w:tblCellMar>
        </w:tblPrEx>
        <w:trPr>
          <w:trHeight w:val="23" w:hRule="atLeast"/>
        </w:trPr>
        <w:tc>
          <w:tcPr>
            <w:tcW w:w="1373"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预测单元7</w:t>
            </w:r>
          </w:p>
        </w:tc>
        <w:tc>
          <w:tcPr>
            <w:tcW w:w="260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三江街道城镇建成区</w:t>
            </w:r>
          </w:p>
        </w:tc>
        <w:tc>
          <w:tcPr>
            <w:tcW w:w="84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3.35</w:t>
            </w:r>
          </w:p>
        </w:tc>
        <w:tc>
          <w:tcPr>
            <w:tcW w:w="150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以多层居住建筑为主</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较差</w:t>
            </w:r>
          </w:p>
        </w:tc>
        <w:tc>
          <w:tcPr>
            <w:tcW w:w="1491"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20" w:lineRule="exact"/>
              <w:jc w:val="center"/>
              <w:textAlignment w:val="center"/>
              <w:rPr>
                <w:color w:val="000000"/>
                <w:sz w:val="28"/>
                <w:szCs w:val="28"/>
              </w:rPr>
            </w:pPr>
            <w:r>
              <w:rPr>
                <w:color w:val="000000"/>
                <w:kern w:val="0"/>
                <w:sz w:val="28"/>
                <w:szCs w:val="28"/>
              </w:rPr>
              <w:t>建设年代久远的建筑进行拆除重建</w:t>
            </w:r>
          </w:p>
        </w:tc>
      </w:tr>
      <w:tr>
        <w:tblPrEx>
          <w:tblLayout w:type="fixed"/>
          <w:tblCellMar>
            <w:top w:w="0" w:type="dxa"/>
            <w:left w:w="23" w:type="dxa"/>
            <w:bottom w:w="0" w:type="dxa"/>
            <w:right w:w="23" w:type="dxa"/>
          </w:tblCellMar>
        </w:tblPrEx>
        <w:trPr>
          <w:trHeight w:val="23" w:hRule="atLeast"/>
        </w:trPr>
        <w:tc>
          <w:tcPr>
            <w:tcW w:w="1373" w:type="dxa"/>
            <w:tcBorders>
              <w:top w:val="nil"/>
              <w:left w:val="single" w:color="auto" w:sz="4" w:space="0"/>
              <w:bottom w:val="single" w:color="auto" w:sz="4" w:space="0"/>
              <w:right w:val="single" w:color="auto" w:sz="4" w:space="0"/>
            </w:tcBorders>
            <w:vAlign w:val="center"/>
          </w:tcPr>
          <w:p>
            <w:pPr>
              <w:widowControl/>
              <w:spacing w:line="480" w:lineRule="exact"/>
              <w:jc w:val="center"/>
              <w:textAlignment w:val="center"/>
              <w:rPr>
                <w:color w:val="000000"/>
                <w:sz w:val="28"/>
                <w:szCs w:val="28"/>
              </w:rPr>
            </w:pPr>
            <w:r>
              <w:rPr>
                <w:color w:val="000000"/>
                <w:kern w:val="0"/>
                <w:sz w:val="28"/>
                <w:szCs w:val="28"/>
              </w:rPr>
              <w:t>预测单元8</w:t>
            </w:r>
          </w:p>
        </w:tc>
        <w:tc>
          <w:tcPr>
            <w:tcW w:w="2608" w:type="dxa"/>
            <w:tcBorders>
              <w:top w:val="nil"/>
              <w:left w:val="nil"/>
              <w:bottom w:val="single" w:color="auto" w:sz="4" w:space="0"/>
              <w:right w:val="single" w:color="auto" w:sz="4" w:space="0"/>
            </w:tcBorders>
            <w:vAlign w:val="center"/>
          </w:tcPr>
          <w:p>
            <w:pPr>
              <w:widowControl/>
              <w:spacing w:line="480" w:lineRule="exact"/>
              <w:jc w:val="center"/>
              <w:textAlignment w:val="center"/>
              <w:rPr>
                <w:color w:val="000000"/>
                <w:sz w:val="28"/>
                <w:szCs w:val="28"/>
              </w:rPr>
            </w:pPr>
            <w:r>
              <w:rPr>
                <w:color w:val="000000"/>
                <w:kern w:val="0"/>
                <w:sz w:val="28"/>
                <w:szCs w:val="28"/>
              </w:rPr>
              <w:t>通惠、登瀛河转关口老乡场</w:t>
            </w:r>
          </w:p>
        </w:tc>
        <w:tc>
          <w:tcPr>
            <w:tcW w:w="840" w:type="dxa"/>
            <w:tcBorders>
              <w:top w:val="nil"/>
              <w:left w:val="nil"/>
              <w:bottom w:val="single" w:color="auto" w:sz="4" w:space="0"/>
              <w:right w:val="single" w:color="auto" w:sz="4" w:space="0"/>
            </w:tcBorders>
            <w:vAlign w:val="center"/>
          </w:tcPr>
          <w:p>
            <w:pPr>
              <w:widowControl/>
              <w:spacing w:line="480" w:lineRule="exact"/>
              <w:jc w:val="center"/>
              <w:textAlignment w:val="center"/>
              <w:rPr>
                <w:color w:val="000000"/>
                <w:sz w:val="28"/>
                <w:szCs w:val="28"/>
              </w:rPr>
            </w:pPr>
            <w:r>
              <w:rPr>
                <w:color w:val="000000"/>
                <w:kern w:val="0"/>
                <w:sz w:val="28"/>
                <w:szCs w:val="28"/>
              </w:rPr>
              <w:t>1.5</w:t>
            </w:r>
          </w:p>
        </w:tc>
        <w:tc>
          <w:tcPr>
            <w:tcW w:w="1500" w:type="dxa"/>
            <w:tcBorders>
              <w:top w:val="nil"/>
              <w:left w:val="nil"/>
              <w:bottom w:val="single" w:color="auto" w:sz="4" w:space="0"/>
              <w:right w:val="single" w:color="auto" w:sz="4" w:space="0"/>
            </w:tcBorders>
            <w:vAlign w:val="center"/>
          </w:tcPr>
          <w:p>
            <w:pPr>
              <w:widowControl/>
              <w:spacing w:line="480" w:lineRule="exact"/>
              <w:jc w:val="center"/>
              <w:textAlignment w:val="center"/>
              <w:rPr>
                <w:color w:val="000000"/>
                <w:sz w:val="28"/>
                <w:szCs w:val="28"/>
              </w:rPr>
            </w:pPr>
            <w:r>
              <w:rPr>
                <w:color w:val="000000"/>
                <w:kern w:val="0"/>
                <w:sz w:val="28"/>
                <w:szCs w:val="28"/>
              </w:rPr>
              <w:t>以低层、多层居住为主</w:t>
            </w:r>
          </w:p>
        </w:tc>
        <w:tc>
          <w:tcPr>
            <w:tcW w:w="993" w:type="dxa"/>
            <w:tcBorders>
              <w:top w:val="nil"/>
              <w:left w:val="nil"/>
              <w:bottom w:val="single" w:color="auto" w:sz="4" w:space="0"/>
              <w:right w:val="single" w:color="auto" w:sz="4" w:space="0"/>
            </w:tcBorders>
            <w:vAlign w:val="center"/>
          </w:tcPr>
          <w:p>
            <w:pPr>
              <w:widowControl/>
              <w:spacing w:line="480" w:lineRule="exact"/>
              <w:jc w:val="center"/>
              <w:textAlignment w:val="center"/>
              <w:rPr>
                <w:color w:val="000000"/>
                <w:sz w:val="28"/>
                <w:szCs w:val="28"/>
              </w:rPr>
            </w:pPr>
            <w:r>
              <w:rPr>
                <w:color w:val="000000"/>
                <w:kern w:val="0"/>
                <w:sz w:val="28"/>
                <w:szCs w:val="28"/>
              </w:rPr>
              <w:t>较差</w:t>
            </w:r>
          </w:p>
        </w:tc>
        <w:tc>
          <w:tcPr>
            <w:tcW w:w="1491" w:type="dxa"/>
            <w:tcBorders>
              <w:top w:val="nil"/>
              <w:left w:val="nil"/>
              <w:bottom w:val="single" w:color="auto" w:sz="4" w:space="0"/>
              <w:right w:val="single" w:color="auto" w:sz="4" w:space="0"/>
            </w:tcBorders>
            <w:vAlign w:val="center"/>
          </w:tcPr>
          <w:p>
            <w:pPr>
              <w:widowControl/>
              <w:spacing w:line="480" w:lineRule="exact"/>
              <w:jc w:val="center"/>
              <w:textAlignment w:val="center"/>
              <w:rPr>
                <w:color w:val="000000"/>
                <w:sz w:val="28"/>
                <w:szCs w:val="28"/>
              </w:rPr>
            </w:pPr>
            <w:r>
              <w:rPr>
                <w:color w:val="000000"/>
                <w:kern w:val="0"/>
                <w:sz w:val="28"/>
                <w:szCs w:val="28"/>
              </w:rPr>
              <w:t>拆除改造</w:t>
            </w:r>
          </w:p>
        </w:tc>
      </w:tr>
    </w:tbl>
    <w:p>
      <w:pPr>
        <w:pStyle w:val="7"/>
        <w:keepNext/>
        <w:spacing w:line="576" w:lineRule="exact"/>
        <w:rPr>
          <w:rFonts w:hint="default" w:ascii="Times New Roman" w:hAnsi="Times New Roman" w:eastAsia="方正黑体_GBK" w:cs="Times New Roman"/>
          <w:sz w:val="32"/>
          <w:szCs w:val="32"/>
          <w:lang w:val="en-US" w:eastAsia="zh-CN" w:bidi="ar"/>
        </w:rPr>
      </w:pPr>
      <w:bookmarkStart w:id="357" w:name="_Ref120544360"/>
      <w:bookmarkStart w:id="358" w:name="_Toc158043560"/>
      <w:bookmarkStart w:id="359" w:name="_Toc156308079"/>
      <w:r>
        <w:rPr>
          <w:rFonts w:hint="default" w:ascii="Times New Roman" w:hAnsi="Times New Roman" w:eastAsia="方正黑体_GBK" w:cs="Times New Roman"/>
          <w:sz w:val="32"/>
          <w:szCs w:val="32"/>
          <w:lang w:bidi="ar"/>
        </w:rPr>
        <w:t>附表</w:t>
      </w:r>
      <w:bookmarkEnd w:id="357"/>
      <w:r>
        <w:rPr>
          <w:rFonts w:hint="default" w:ascii="Times New Roman" w:hAnsi="Times New Roman" w:eastAsia="方正黑体_GBK" w:cs="Times New Roman"/>
          <w:sz w:val="32"/>
          <w:szCs w:val="32"/>
          <w:lang w:val="en-US" w:eastAsia="zh-CN" w:bidi="ar"/>
        </w:rPr>
        <w:t xml:space="preserve">3 </w:t>
      </w:r>
    </w:p>
    <w:p>
      <w:pPr>
        <w:pStyle w:val="7"/>
        <w:keepNext/>
        <w:spacing w:line="576" w:lineRule="exact"/>
        <w:jc w:val="center"/>
        <w:rPr>
          <w:rFonts w:hint="default" w:ascii="Times New Roman" w:hAnsi="Times New Roman" w:eastAsia="方正黑体_GBK" w:cs="Times New Roman"/>
          <w:sz w:val="32"/>
          <w:szCs w:val="32"/>
          <w:lang w:bidi="ar"/>
        </w:rPr>
      </w:pPr>
      <w:r>
        <w:rPr>
          <w:rFonts w:hint="default" w:ascii="Times New Roman" w:hAnsi="Times New Roman" w:eastAsia="方正黑体_GBK" w:cs="Times New Roman"/>
          <w:sz w:val="32"/>
          <w:szCs w:val="32"/>
          <w:lang w:bidi="ar"/>
        </w:rPr>
        <w:t>中小学校舍建筑抗震改造加固策略一览表</w:t>
      </w:r>
      <w:bookmarkEnd w:id="358"/>
      <w:bookmarkEnd w:id="359"/>
    </w:p>
    <w:p>
      <w:pPr>
        <w:rPr>
          <w:rFonts w:hint="default"/>
        </w:rPr>
      </w:pPr>
    </w:p>
    <w:tbl>
      <w:tblPr>
        <w:tblStyle w:val="18"/>
        <w:tblW w:w="8831" w:type="dxa"/>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96"/>
        <w:gridCol w:w="2625"/>
        <w:gridCol w:w="625"/>
        <w:gridCol w:w="1501"/>
        <w:gridCol w:w="998"/>
        <w:gridCol w:w="1125"/>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7" w:hRule="atLeast"/>
        </w:trPr>
        <w:tc>
          <w:tcPr>
            <w:tcW w:w="496"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default" w:ascii="Times New Roman" w:hAnsi="Times New Roman" w:eastAsia="方正黑体_GBK" w:cs="Times New Roman"/>
                <w:b w:val="0"/>
                <w:bCs w:val="0"/>
                <w:sz w:val="28"/>
                <w:szCs w:val="28"/>
              </w:rPr>
            </w:pPr>
            <w:r>
              <w:rPr>
                <w:rFonts w:hint="default" w:ascii="Times New Roman" w:hAnsi="Times New Roman" w:eastAsia="方正黑体_GBK" w:cs="Times New Roman"/>
                <w:b w:val="0"/>
                <w:bCs w:val="0"/>
                <w:sz w:val="28"/>
                <w:szCs w:val="28"/>
              </w:rPr>
              <w:t>序号</w:t>
            </w:r>
          </w:p>
        </w:tc>
        <w:tc>
          <w:tcPr>
            <w:tcW w:w="2625"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default" w:ascii="Times New Roman" w:hAnsi="Times New Roman" w:eastAsia="方正黑体_GBK" w:cs="Times New Roman"/>
                <w:b w:val="0"/>
                <w:bCs w:val="0"/>
                <w:sz w:val="28"/>
                <w:szCs w:val="28"/>
              </w:rPr>
            </w:pPr>
            <w:r>
              <w:rPr>
                <w:rFonts w:hint="default" w:ascii="Times New Roman" w:hAnsi="Times New Roman" w:eastAsia="方正黑体_GBK" w:cs="Times New Roman"/>
                <w:b w:val="0"/>
                <w:bCs w:val="0"/>
                <w:sz w:val="28"/>
                <w:szCs w:val="28"/>
              </w:rPr>
              <w:t>建筑物名称</w:t>
            </w:r>
          </w:p>
        </w:tc>
        <w:tc>
          <w:tcPr>
            <w:tcW w:w="625"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default" w:ascii="Times New Roman" w:hAnsi="Times New Roman" w:eastAsia="方正黑体_GBK" w:cs="Times New Roman"/>
                <w:b w:val="0"/>
                <w:bCs w:val="0"/>
                <w:sz w:val="28"/>
                <w:szCs w:val="28"/>
              </w:rPr>
            </w:pPr>
            <w:r>
              <w:rPr>
                <w:rFonts w:hint="default" w:ascii="Times New Roman" w:hAnsi="Times New Roman" w:eastAsia="方正黑体_GBK" w:cs="Times New Roman"/>
                <w:b w:val="0"/>
                <w:bCs w:val="0"/>
                <w:sz w:val="28"/>
                <w:szCs w:val="28"/>
              </w:rPr>
              <w:t>层数</w:t>
            </w:r>
          </w:p>
        </w:tc>
        <w:tc>
          <w:tcPr>
            <w:tcW w:w="15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default" w:ascii="Times New Roman" w:hAnsi="Times New Roman" w:eastAsia="方正黑体_GBK" w:cs="Times New Roman"/>
                <w:b w:val="0"/>
                <w:bCs w:val="0"/>
                <w:sz w:val="28"/>
                <w:szCs w:val="28"/>
              </w:rPr>
            </w:pPr>
            <w:r>
              <w:rPr>
                <w:rFonts w:hint="default" w:ascii="Times New Roman" w:hAnsi="Times New Roman" w:eastAsia="方正黑体_GBK" w:cs="Times New Roman"/>
                <w:b w:val="0"/>
                <w:bCs w:val="0"/>
                <w:sz w:val="28"/>
                <w:szCs w:val="28"/>
              </w:rPr>
              <w:t>结构类型</w:t>
            </w:r>
          </w:p>
        </w:tc>
        <w:tc>
          <w:tcPr>
            <w:tcW w:w="998"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default" w:ascii="Times New Roman" w:hAnsi="Times New Roman" w:eastAsia="方正黑体_GBK" w:cs="Times New Roman"/>
                <w:b w:val="0"/>
                <w:bCs w:val="0"/>
                <w:sz w:val="28"/>
                <w:szCs w:val="28"/>
              </w:rPr>
            </w:pPr>
            <w:r>
              <w:rPr>
                <w:rFonts w:hint="default" w:ascii="Times New Roman" w:hAnsi="Times New Roman" w:eastAsia="方正黑体_GBK" w:cs="Times New Roman"/>
                <w:b w:val="0"/>
                <w:bCs w:val="0"/>
                <w:sz w:val="28"/>
                <w:szCs w:val="28"/>
              </w:rPr>
              <w:t>建筑面积（m</w:t>
            </w:r>
            <w:r>
              <w:rPr>
                <w:rFonts w:hint="default" w:ascii="Times New Roman" w:hAnsi="Times New Roman" w:eastAsia="方正黑体_GBK" w:cs="Times New Roman"/>
                <w:b w:val="0"/>
                <w:bCs w:val="0"/>
                <w:sz w:val="28"/>
                <w:szCs w:val="28"/>
                <w:vertAlign w:val="superscript"/>
              </w:rPr>
              <w:t>2</w:t>
            </w:r>
            <w:r>
              <w:rPr>
                <w:rFonts w:hint="default" w:ascii="Times New Roman" w:hAnsi="Times New Roman" w:eastAsia="方正黑体_GBK" w:cs="Times New Roman"/>
                <w:b w:val="0"/>
                <w:bCs w:val="0"/>
                <w:sz w:val="28"/>
                <w:szCs w:val="28"/>
              </w:rPr>
              <w:t>）</w:t>
            </w:r>
          </w:p>
        </w:tc>
        <w:tc>
          <w:tcPr>
            <w:tcW w:w="1125"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default" w:ascii="Times New Roman" w:hAnsi="Times New Roman" w:eastAsia="方正黑体_GBK" w:cs="Times New Roman"/>
                <w:b w:val="0"/>
                <w:bCs w:val="0"/>
                <w:sz w:val="28"/>
                <w:szCs w:val="28"/>
              </w:rPr>
            </w:pPr>
            <w:r>
              <w:rPr>
                <w:rFonts w:hint="default" w:ascii="Times New Roman" w:hAnsi="Times New Roman" w:eastAsia="方正黑体_GBK" w:cs="Times New Roman"/>
                <w:b w:val="0"/>
                <w:bCs w:val="0"/>
                <w:sz w:val="28"/>
                <w:szCs w:val="28"/>
              </w:rPr>
              <w:t>建设</w:t>
            </w:r>
          </w:p>
          <w:p>
            <w:pPr>
              <w:spacing w:line="480" w:lineRule="exact"/>
              <w:jc w:val="center"/>
              <w:rPr>
                <w:rFonts w:hint="default" w:ascii="Times New Roman" w:hAnsi="Times New Roman" w:eastAsia="方正黑体_GBK" w:cs="Times New Roman"/>
                <w:b w:val="0"/>
                <w:bCs w:val="0"/>
                <w:sz w:val="28"/>
                <w:szCs w:val="28"/>
              </w:rPr>
            </w:pPr>
            <w:r>
              <w:rPr>
                <w:rFonts w:hint="default" w:ascii="Times New Roman" w:hAnsi="Times New Roman" w:eastAsia="方正黑体_GBK" w:cs="Times New Roman"/>
                <w:b w:val="0"/>
                <w:bCs w:val="0"/>
                <w:sz w:val="28"/>
                <w:szCs w:val="28"/>
              </w:rPr>
              <w:t>年份</w:t>
            </w:r>
          </w:p>
        </w:tc>
        <w:tc>
          <w:tcPr>
            <w:tcW w:w="146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hint="default" w:ascii="Times New Roman" w:hAnsi="Times New Roman" w:eastAsia="方正黑体_GBK" w:cs="Times New Roman"/>
                <w:b w:val="0"/>
                <w:bCs w:val="0"/>
                <w:sz w:val="28"/>
                <w:szCs w:val="28"/>
              </w:rPr>
            </w:pPr>
            <w:r>
              <w:rPr>
                <w:rFonts w:hint="default" w:ascii="Times New Roman" w:hAnsi="Times New Roman" w:eastAsia="方正黑体_GBK" w:cs="Times New Roman"/>
                <w:b w:val="0"/>
                <w:bCs w:val="0"/>
                <w:sz w:val="28"/>
                <w:szCs w:val="28"/>
              </w:rPr>
              <w:t>处理意见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50" w:hRule="exact"/>
        </w:trPr>
        <w:tc>
          <w:tcPr>
            <w:tcW w:w="496"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sz w:val="28"/>
                <w:szCs w:val="28"/>
              </w:rPr>
              <w:t>1</w:t>
            </w:r>
          </w:p>
        </w:tc>
        <w:tc>
          <w:tcPr>
            <w:tcW w:w="2625" w:type="dxa"/>
            <w:tcBorders>
              <w:top w:val="single" w:color="auto" w:sz="4" w:space="0"/>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元方小学</w:t>
            </w:r>
          </w:p>
        </w:tc>
        <w:tc>
          <w:tcPr>
            <w:tcW w:w="625" w:type="dxa"/>
            <w:tcBorders>
              <w:top w:val="single" w:color="auto" w:sz="4" w:space="0"/>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5</w:t>
            </w:r>
          </w:p>
        </w:tc>
        <w:tc>
          <w:tcPr>
            <w:tcW w:w="1501" w:type="dxa"/>
            <w:tcBorders>
              <w:top w:val="single" w:color="auto" w:sz="4" w:space="0"/>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钢筋混凝土</w:t>
            </w:r>
          </w:p>
        </w:tc>
        <w:tc>
          <w:tcPr>
            <w:tcW w:w="998" w:type="dxa"/>
            <w:tcBorders>
              <w:top w:val="single" w:color="auto" w:sz="4" w:space="0"/>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1674</w:t>
            </w:r>
          </w:p>
        </w:tc>
        <w:tc>
          <w:tcPr>
            <w:tcW w:w="1125" w:type="dxa"/>
            <w:tcBorders>
              <w:top w:val="single" w:color="auto" w:sz="4" w:space="0"/>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2010</w:t>
            </w:r>
          </w:p>
        </w:tc>
        <w:tc>
          <w:tcPr>
            <w:tcW w:w="1461" w:type="dxa"/>
            <w:tcBorders>
              <w:top w:val="single" w:color="auto" w:sz="4" w:space="0"/>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无需加固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50" w:hRule="exact"/>
        </w:trPr>
        <w:tc>
          <w:tcPr>
            <w:tcW w:w="496" w:type="dxa"/>
            <w:tcBorders>
              <w:top w:val="nil"/>
              <w:left w:val="single" w:color="auto" w:sz="4" w:space="0"/>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2</w:t>
            </w:r>
          </w:p>
        </w:tc>
        <w:tc>
          <w:tcPr>
            <w:tcW w:w="2625"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綦江中学</w:t>
            </w:r>
          </w:p>
        </w:tc>
        <w:tc>
          <w:tcPr>
            <w:tcW w:w="625"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6</w:t>
            </w:r>
          </w:p>
        </w:tc>
        <w:tc>
          <w:tcPr>
            <w:tcW w:w="1501"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钢筋混凝土</w:t>
            </w:r>
          </w:p>
        </w:tc>
        <w:tc>
          <w:tcPr>
            <w:tcW w:w="998"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977</w:t>
            </w:r>
          </w:p>
        </w:tc>
        <w:tc>
          <w:tcPr>
            <w:tcW w:w="1125"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2010</w:t>
            </w:r>
          </w:p>
        </w:tc>
        <w:tc>
          <w:tcPr>
            <w:tcW w:w="1461"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无需加固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50" w:hRule="exact"/>
        </w:trPr>
        <w:tc>
          <w:tcPr>
            <w:tcW w:w="496" w:type="dxa"/>
            <w:tcBorders>
              <w:top w:val="nil"/>
              <w:left w:val="single" w:color="auto" w:sz="4" w:space="0"/>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3</w:t>
            </w:r>
          </w:p>
        </w:tc>
        <w:tc>
          <w:tcPr>
            <w:tcW w:w="2625"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三江中学</w:t>
            </w:r>
          </w:p>
        </w:tc>
        <w:tc>
          <w:tcPr>
            <w:tcW w:w="625"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4</w:t>
            </w:r>
          </w:p>
        </w:tc>
        <w:tc>
          <w:tcPr>
            <w:tcW w:w="1501"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钢筋混凝土</w:t>
            </w:r>
          </w:p>
        </w:tc>
        <w:tc>
          <w:tcPr>
            <w:tcW w:w="998"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625</w:t>
            </w:r>
          </w:p>
        </w:tc>
        <w:tc>
          <w:tcPr>
            <w:tcW w:w="1125"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2015</w:t>
            </w:r>
          </w:p>
        </w:tc>
        <w:tc>
          <w:tcPr>
            <w:tcW w:w="1461"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抗震加固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50" w:hRule="exact"/>
        </w:trPr>
        <w:tc>
          <w:tcPr>
            <w:tcW w:w="496" w:type="dxa"/>
            <w:tcBorders>
              <w:top w:val="nil"/>
              <w:left w:val="single" w:color="auto" w:sz="4" w:space="0"/>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4</w:t>
            </w:r>
          </w:p>
        </w:tc>
        <w:tc>
          <w:tcPr>
            <w:tcW w:w="2625"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营盘山小学</w:t>
            </w:r>
          </w:p>
        </w:tc>
        <w:tc>
          <w:tcPr>
            <w:tcW w:w="625"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4</w:t>
            </w:r>
          </w:p>
        </w:tc>
        <w:tc>
          <w:tcPr>
            <w:tcW w:w="1501"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钢筋混凝土</w:t>
            </w:r>
          </w:p>
        </w:tc>
        <w:tc>
          <w:tcPr>
            <w:tcW w:w="998"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1225</w:t>
            </w:r>
          </w:p>
        </w:tc>
        <w:tc>
          <w:tcPr>
            <w:tcW w:w="1125"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2016</w:t>
            </w:r>
          </w:p>
        </w:tc>
        <w:tc>
          <w:tcPr>
            <w:tcW w:w="1461"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抗震加固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50" w:hRule="exact"/>
        </w:trPr>
        <w:tc>
          <w:tcPr>
            <w:tcW w:w="496" w:type="dxa"/>
            <w:tcBorders>
              <w:top w:val="nil"/>
              <w:left w:val="single" w:color="auto" w:sz="4" w:space="0"/>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5</w:t>
            </w:r>
          </w:p>
        </w:tc>
        <w:tc>
          <w:tcPr>
            <w:tcW w:w="2625"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中山路小学</w:t>
            </w:r>
          </w:p>
        </w:tc>
        <w:tc>
          <w:tcPr>
            <w:tcW w:w="625"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5</w:t>
            </w:r>
          </w:p>
        </w:tc>
        <w:tc>
          <w:tcPr>
            <w:tcW w:w="1501"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钢筋混凝土</w:t>
            </w:r>
          </w:p>
        </w:tc>
        <w:tc>
          <w:tcPr>
            <w:tcW w:w="998"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505</w:t>
            </w:r>
          </w:p>
        </w:tc>
        <w:tc>
          <w:tcPr>
            <w:tcW w:w="1125"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2020</w:t>
            </w:r>
          </w:p>
        </w:tc>
        <w:tc>
          <w:tcPr>
            <w:tcW w:w="1461"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无需加固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50" w:hRule="exact"/>
        </w:trPr>
        <w:tc>
          <w:tcPr>
            <w:tcW w:w="496" w:type="dxa"/>
            <w:tcBorders>
              <w:top w:val="nil"/>
              <w:left w:val="single" w:color="auto" w:sz="4" w:space="0"/>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6</w:t>
            </w:r>
          </w:p>
        </w:tc>
        <w:tc>
          <w:tcPr>
            <w:tcW w:w="2625"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城南中学</w:t>
            </w:r>
          </w:p>
        </w:tc>
        <w:tc>
          <w:tcPr>
            <w:tcW w:w="625"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4</w:t>
            </w:r>
          </w:p>
        </w:tc>
        <w:tc>
          <w:tcPr>
            <w:tcW w:w="1501"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钢筋混凝土</w:t>
            </w:r>
          </w:p>
        </w:tc>
        <w:tc>
          <w:tcPr>
            <w:tcW w:w="998"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1080</w:t>
            </w:r>
          </w:p>
        </w:tc>
        <w:tc>
          <w:tcPr>
            <w:tcW w:w="1125"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2010</w:t>
            </w:r>
          </w:p>
        </w:tc>
        <w:tc>
          <w:tcPr>
            <w:tcW w:w="1461"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抗震加固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50" w:hRule="exact"/>
        </w:trPr>
        <w:tc>
          <w:tcPr>
            <w:tcW w:w="496" w:type="dxa"/>
            <w:tcBorders>
              <w:top w:val="nil"/>
              <w:left w:val="single" w:color="auto" w:sz="4" w:space="0"/>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7</w:t>
            </w:r>
          </w:p>
        </w:tc>
        <w:tc>
          <w:tcPr>
            <w:tcW w:w="2625"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陵园小学沙溪校区</w:t>
            </w:r>
          </w:p>
        </w:tc>
        <w:tc>
          <w:tcPr>
            <w:tcW w:w="625"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4</w:t>
            </w:r>
          </w:p>
        </w:tc>
        <w:tc>
          <w:tcPr>
            <w:tcW w:w="1501"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钢筋混凝土</w:t>
            </w:r>
          </w:p>
        </w:tc>
        <w:tc>
          <w:tcPr>
            <w:tcW w:w="998"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962</w:t>
            </w:r>
          </w:p>
        </w:tc>
        <w:tc>
          <w:tcPr>
            <w:tcW w:w="1125"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2010</w:t>
            </w:r>
          </w:p>
        </w:tc>
        <w:tc>
          <w:tcPr>
            <w:tcW w:w="1461"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抗震加固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50" w:hRule="exact"/>
        </w:trPr>
        <w:tc>
          <w:tcPr>
            <w:tcW w:w="496" w:type="dxa"/>
            <w:tcBorders>
              <w:top w:val="nil"/>
              <w:left w:val="single" w:color="auto" w:sz="4" w:space="0"/>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8</w:t>
            </w:r>
          </w:p>
        </w:tc>
        <w:tc>
          <w:tcPr>
            <w:tcW w:w="2625"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南州中学</w:t>
            </w:r>
          </w:p>
        </w:tc>
        <w:tc>
          <w:tcPr>
            <w:tcW w:w="625"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6</w:t>
            </w:r>
          </w:p>
        </w:tc>
        <w:tc>
          <w:tcPr>
            <w:tcW w:w="1501"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钢筋混凝土</w:t>
            </w:r>
          </w:p>
        </w:tc>
        <w:tc>
          <w:tcPr>
            <w:tcW w:w="998"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966</w:t>
            </w:r>
          </w:p>
        </w:tc>
        <w:tc>
          <w:tcPr>
            <w:tcW w:w="1125"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2000</w:t>
            </w:r>
          </w:p>
        </w:tc>
        <w:tc>
          <w:tcPr>
            <w:tcW w:w="1461"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无需加固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50" w:hRule="exact"/>
        </w:trPr>
        <w:tc>
          <w:tcPr>
            <w:tcW w:w="496" w:type="dxa"/>
            <w:tcBorders>
              <w:top w:val="nil"/>
              <w:left w:val="single" w:color="auto" w:sz="4" w:space="0"/>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9</w:t>
            </w:r>
          </w:p>
        </w:tc>
        <w:tc>
          <w:tcPr>
            <w:tcW w:w="2625"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通惠中学</w:t>
            </w:r>
          </w:p>
        </w:tc>
        <w:tc>
          <w:tcPr>
            <w:tcW w:w="625"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4</w:t>
            </w:r>
          </w:p>
        </w:tc>
        <w:tc>
          <w:tcPr>
            <w:tcW w:w="1501"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钢筋混凝土</w:t>
            </w:r>
          </w:p>
        </w:tc>
        <w:tc>
          <w:tcPr>
            <w:tcW w:w="998"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2305</w:t>
            </w:r>
          </w:p>
        </w:tc>
        <w:tc>
          <w:tcPr>
            <w:tcW w:w="1125"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2015</w:t>
            </w:r>
          </w:p>
        </w:tc>
        <w:tc>
          <w:tcPr>
            <w:tcW w:w="1461"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无需加固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50" w:hRule="exact"/>
        </w:trPr>
        <w:tc>
          <w:tcPr>
            <w:tcW w:w="496" w:type="dxa"/>
            <w:tcBorders>
              <w:top w:val="nil"/>
              <w:left w:val="single" w:color="auto" w:sz="4" w:space="0"/>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10</w:t>
            </w:r>
          </w:p>
        </w:tc>
        <w:tc>
          <w:tcPr>
            <w:tcW w:w="2625"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通惠小学</w:t>
            </w:r>
          </w:p>
        </w:tc>
        <w:tc>
          <w:tcPr>
            <w:tcW w:w="625"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5</w:t>
            </w:r>
          </w:p>
        </w:tc>
        <w:tc>
          <w:tcPr>
            <w:tcW w:w="1501"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钢筋混凝土</w:t>
            </w:r>
          </w:p>
        </w:tc>
        <w:tc>
          <w:tcPr>
            <w:tcW w:w="998"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2258</w:t>
            </w:r>
          </w:p>
        </w:tc>
        <w:tc>
          <w:tcPr>
            <w:tcW w:w="1125"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2010</w:t>
            </w:r>
          </w:p>
        </w:tc>
        <w:tc>
          <w:tcPr>
            <w:tcW w:w="1461" w:type="dxa"/>
            <w:tcBorders>
              <w:top w:val="nil"/>
              <w:left w:val="nil"/>
              <w:bottom w:val="single" w:color="auto" w:sz="4" w:space="0"/>
              <w:right w:val="single" w:color="auto" w:sz="4" w:space="0"/>
            </w:tcBorders>
            <w:vAlign w:val="center"/>
          </w:tcPr>
          <w:p>
            <w:pPr>
              <w:spacing w:line="480" w:lineRule="exact"/>
              <w:jc w:val="center"/>
              <w:rPr>
                <w:color w:val="000000"/>
                <w:sz w:val="28"/>
                <w:szCs w:val="28"/>
              </w:rPr>
            </w:pPr>
            <w:r>
              <w:rPr>
                <w:color w:val="000000"/>
                <w:sz w:val="28"/>
                <w:szCs w:val="28"/>
              </w:rPr>
              <w:t>无需加固</w:t>
            </w:r>
          </w:p>
        </w:tc>
      </w:tr>
    </w:tbl>
    <w:p>
      <w:pPr>
        <w:spacing w:line="576" w:lineRule="exact"/>
        <w:ind w:firstLine="560" w:firstLineChars="200"/>
        <w:jc w:val="center"/>
        <w:rPr>
          <w:sz w:val="28"/>
          <w:szCs w:val="28"/>
          <w:lang w:bidi="ar"/>
        </w:rPr>
      </w:pPr>
      <w:bookmarkStart w:id="360" w:name="_Ref28983"/>
    </w:p>
    <w:p>
      <w:pPr>
        <w:pStyle w:val="2"/>
        <w:ind w:firstLine="560"/>
        <w:rPr>
          <w:sz w:val="28"/>
          <w:szCs w:val="28"/>
          <w:lang w:bidi="ar"/>
        </w:rPr>
      </w:pPr>
    </w:p>
    <w:bookmarkEnd w:id="351"/>
    <w:bookmarkEnd w:id="360"/>
    <w:p>
      <w:pPr>
        <w:pStyle w:val="7"/>
        <w:keepNext/>
        <w:spacing w:line="576" w:lineRule="exact"/>
        <w:rPr>
          <w:rFonts w:hint="eastAsia" w:ascii="Times New Roman" w:hAnsi="Times New Roman" w:eastAsia="方正黑体_GBK" w:cs="Times New Roman"/>
          <w:sz w:val="32"/>
          <w:szCs w:val="32"/>
          <w:lang w:val="en-US" w:eastAsia="zh-CN" w:bidi="ar"/>
        </w:rPr>
      </w:pPr>
      <w:bookmarkStart w:id="361" w:name="_Ref156315315"/>
      <w:bookmarkStart w:id="362" w:name="_Toc158043561"/>
      <w:bookmarkStart w:id="363" w:name="_Toc156308080"/>
      <w:bookmarkStart w:id="364" w:name="_Ref30681"/>
      <w:r>
        <w:rPr>
          <w:rFonts w:hint="default" w:ascii="Times New Roman" w:hAnsi="Times New Roman" w:eastAsia="方正黑体_GBK" w:cs="Times New Roman"/>
          <w:sz w:val="32"/>
          <w:szCs w:val="32"/>
          <w:lang w:bidi="ar"/>
        </w:rPr>
        <w:t>附表</w:t>
      </w:r>
      <w:bookmarkEnd w:id="361"/>
      <w:r>
        <w:rPr>
          <w:rFonts w:hint="eastAsia" w:ascii="Times New Roman" w:hAnsi="Times New Roman" w:eastAsia="方正黑体_GBK" w:cs="Times New Roman"/>
          <w:sz w:val="32"/>
          <w:szCs w:val="32"/>
          <w:lang w:val="en-US" w:eastAsia="zh-CN" w:bidi="ar"/>
        </w:rPr>
        <w:t xml:space="preserve">4 </w:t>
      </w:r>
    </w:p>
    <w:p>
      <w:pPr>
        <w:pStyle w:val="7"/>
        <w:keepNext/>
        <w:spacing w:line="576" w:lineRule="exact"/>
        <w:jc w:val="center"/>
        <w:rPr>
          <w:rFonts w:hint="default" w:ascii="Times New Roman" w:hAnsi="Times New Roman" w:eastAsia="方正黑体_GBK" w:cs="Times New Roman"/>
          <w:sz w:val="32"/>
          <w:szCs w:val="32"/>
          <w:lang w:bidi="ar"/>
        </w:rPr>
      </w:pPr>
      <w:r>
        <w:rPr>
          <w:rFonts w:hint="default" w:ascii="Times New Roman" w:hAnsi="Times New Roman" w:eastAsia="方正黑体_GBK" w:cs="Times New Roman"/>
          <w:sz w:val="32"/>
          <w:szCs w:val="32"/>
          <w:lang w:bidi="ar"/>
        </w:rPr>
        <w:t>綦江中心城区中长期应急避难场所规划一览表</w:t>
      </w:r>
      <w:bookmarkEnd w:id="362"/>
      <w:bookmarkEnd w:id="363"/>
    </w:p>
    <w:p>
      <w:pPr>
        <w:rPr>
          <w:rFonts w:hint="default"/>
        </w:rPr>
      </w:pPr>
    </w:p>
    <w:tbl>
      <w:tblPr>
        <w:tblStyle w:val="18"/>
        <w:tblW w:w="8855" w:type="dxa"/>
        <w:tblInd w:w="0" w:type="dxa"/>
        <w:tblLayout w:type="fixed"/>
        <w:tblCellMar>
          <w:top w:w="0" w:type="dxa"/>
          <w:left w:w="0" w:type="dxa"/>
          <w:bottom w:w="0" w:type="dxa"/>
          <w:right w:w="0" w:type="dxa"/>
        </w:tblCellMar>
      </w:tblPr>
      <w:tblGrid>
        <w:gridCol w:w="431"/>
        <w:gridCol w:w="850"/>
        <w:gridCol w:w="1276"/>
        <w:gridCol w:w="1134"/>
        <w:gridCol w:w="1276"/>
        <w:gridCol w:w="1417"/>
        <w:gridCol w:w="1134"/>
        <w:gridCol w:w="1337"/>
      </w:tblGrid>
      <w:tr>
        <w:tblPrEx>
          <w:tblLayout w:type="fixed"/>
          <w:tblCellMar>
            <w:top w:w="0" w:type="dxa"/>
            <w:left w:w="0" w:type="dxa"/>
            <w:bottom w:w="0" w:type="dxa"/>
            <w:right w:w="0" w:type="dxa"/>
          </w:tblCellMar>
        </w:tblPrEx>
        <w:trPr>
          <w:trHeight w:val="810" w:hRule="atLeast"/>
        </w:trPr>
        <w:tc>
          <w:tcPr>
            <w:tcW w:w="431" w:type="dxa"/>
            <w:tcBorders>
              <w:top w:val="single" w:color="auto" w:sz="4" w:space="0"/>
              <w:left w:val="single" w:color="auto" w:sz="4" w:space="0"/>
              <w:bottom w:val="single" w:color="auto" w:sz="4" w:space="0"/>
              <w:right w:val="single" w:color="auto" w:sz="4" w:space="0"/>
            </w:tcBorders>
            <w:shd w:val="clear" w:color="auto" w:fill="auto"/>
            <w:vAlign w:val="center"/>
          </w:tcPr>
          <w:p>
            <w:pPr>
              <w:keepNext/>
              <w:spacing w:line="480" w:lineRule="exact"/>
              <w:jc w:val="center"/>
              <w:rPr>
                <w:rFonts w:hint="default" w:ascii="Times New Roman" w:hAnsi="Times New Roman" w:eastAsia="方正黑体_GBK" w:cs="Times New Roman"/>
                <w:b w:val="0"/>
                <w:bCs/>
                <w:color w:val="000000"/>
                <w:kern w:val="0"/>
                <w:sz w:val="28"/>
                <w:szCs w:val="28"/>
              </w:rPr>
            </w:pPr>
            <w:r>
              <w:rPr>
                <w:rFonts w:hint="default" w:ascii="Times New Roman" w:hAnsi="Times New Roman" w:eastAsia="方正黑体_GBK" w:cs="Times New Roman"/>
                <w:b w:val="0"/>
                <w:bCs/>
                <w:color w:val="000000"/>
                <w:kern w:val="0"/>
                <w:sz w:val="28"/>
                <w:szCs w:val="28"/>
              </w:rPr>
              <w:t>序号</w:t>
            </w:r>
          </w:p>
        </w:tc>
        <w:tc>
          <w:tcPr>
            <w:tcW w:w="850" w:type="dxa"/>
            <w:tcBorders>
              <w:top w:val="single" w:color="auto" w:sz="4" w:space="0"/>
              <w:left w:val="nil"/>
              <w:bottom w:val="single" w:color="auto" w:sz="4" w:space="0"/>
              <w:right w:val="single" w:color="auto" w:sz="4" w:space="0"/>
            </w:tcBorders>
            <w:shd w:val="clear" w:color="auto" w:fill="auto"/>
            <w:vAlign w:val="center"/>
          </w:tcPr>
          <w:p>
            <w:pPr>
              <w:keepNext/>
              <w:spacing w:line="480" w:lineRule="exact"/>
              <w:jc w:val="center"/>
              <w:rPr>
                <w:rFonts w:hint="default" w:ascii="Times New Roman" w:hAnsi="Times New Roman" w:eastAsia="方正黑体_GBK" w:cs="Times New Roman"/>
                <w:b w:val="0"/>
                <w:bCs/>
                <w:color w:val="000000"/>
                <w:kern w:val="0"/>
                <w:sz w:val="28"/>
                <w:szCs w:val="28"/>
              </w:rPr>
            </w:pPr>
            <w:r>
              <w:rPr>
                <w:rFonts w:hint="default" w:ascii="Times New Roman" w:hAnsi="Times New Roman" w:eastAsia="方正黑体_GBK" w:cs="Times New Roman"/>
                <w:b w:val="0"/>
                <w:bCs/>
                <w:color w:val="000000"/>
                <w:kern w:val="0"/>
                <w:sz w:val="28"/>
                <w:szCs w:val="28"/>
              </w:rPr>
              <w:t>避难场所类别</w:t>
            </w:r>
          </w:p>
        </w:tc>
        <w:tc>
          <w:tcPr>
            <w:tcW w:w="1276" w:type="dxa"/>
            <w:tcBorders>
              <w:top w:val="single" w:color="auto" w:sz="4" w:space="0"/>
              <w:left w:val="nil"/>
              <w:bottom w:val="single" w:color="auto" w:sz="4" w:space="0"/>
              <w:right w:val="single" w:color="auto" w:sz="4" w:space="0"/>
            </w:tcBorders>
            <w:shd w:val="clear" w:color="auto" w:fill="auto"/>
            <w:vAlign w:val="center"/>
          </w:tcPr>
          <w:p>
            <w:pPr>
              <w:keepNext/>
              <w:spacing w:line="480" w:lineRule="exact"/>
              <w:jc w:val="center"/>
              <w:rPr>
                <w:rFonts w:hint="default" w:ascii="Times New Roman" w:hAnsi="Times New Roman" w:eastAsia="方正黑体_GBK" w:cs="Times New Roman"/>
                <w:b w:val="0"/>
                <w:bCs/>
                <w:color w:val="000000"/>
                <w:kern w:val="0"/>
                <w:sz w:val="28"/>
                <w:szCs w:val="28"/>
              </w:rPr>
            </w:pPr>
            <w:r>
              <w:rPr>
                <w:rFonts w:hint="default" w:ascii="Times New Roman" w:hAnsi="Times New Roman" w:eastAsia="方正黑体_GBK" w:cs="Times New Roman"/>
                <w:b w:val="0"/>
                <w:bCs/>
                <w:color w:val="000000"/>
                <w:kern w:val="0"/>
                <w:sz w:val="28"/>
                <w:szCs w:val="28"/>
              </w:rPr>
              <w:t>避难场所名称</w:t>
            </w:r>
          </w:p>
        </w:tc>
        <w:tc>
          <w:tcPr>
            <w:tcW w:w="1134" w:type="dxa"/>
            <w:tcBorders>
              <w:top w:val="single" w:color="auto" w:sz="4" w:space="0"/>
              <w:left w:val="nil"/>
              <w:bottom w:val="single" w:color="auto" w:sz="4" w:space="0"/>
              <w:right w:val="single" w:color="auto" w:sz="4" w:space="0"/>
            </w:tcBorders>
            <w:shd w:val="clear" w:color="auto" w:fill="auto"/>
            <w:vAlign w:val="center"/>
          </w:tcPr>
          <w:p>
            <w:pPr>
              <w:keepNext/>
              <w:spacing w:line="480" w:lineRule="exact"/>
              <w:jc w:val="center"/>
              <w:rPr>
                <w:rFonts w:hint="default" w:ascii="Times New Roman" w:hAnsi="Times New Roman" w:eastAsia="方正黑体_GBK" w:cs="Times New Roman"/>
                <w:b w:val="0"/>
                <w:bCs/>
                <w:color w:val="000000"/>
                <w:kern w:val="0"/>
                <w:sz w:val="28"/>
                <w:szCs w:val="28"/>
              </w:rPr>
            </w:pPr>
            <w:r>
              <w:rPr>
                <w:rFonts w:hint="default" w:ascii="Times New Roman" w:hAnsi="Times New Roman" w:eastAsia="方正黑体_GBK" w:cs="Times New Roman"/>
                <w:b w:val="0"/>
                <w:bCs/>
                <w:color w:val="000000"/>
                <w:kern w:val="0"/>
                <w:sz w:val="28"/>
                <w:szCs w:val="28"/>
              </w:rPr>
              <w:t>用地面积（ha）</w:t>
            </w:r>
          </w:p>
        </w:tc>
        <w:tc>
          <w:tcPr>
            <w:tcW w:w="1276" w:type="dxa"/>
            <w:tcBorders>
              <w:top w:val="single" w:color="auto" w:sz="4" w:space="0"/>
              <w:left w:val="nil"/>
              <w:bottom w:val="single" w:color="auto" w:sz="4" w:space="0"/>
              <w:right w:val="single" w:color="auto" w:sz="4" w:space="0"/>
            </w:tcBorders>
            <w:shd w:val="clear" w:color="auto" w:fill="auto"/>
            <w:vAlign w:val="center"/>
          </w:tcPr>
          <w:p>
            <w:pPr>
              <w:keepNext/>
              <w:spacing w:line="480" w:lineRule="exact"/>
              <w:jc w:val="center"/>
              <w:rPr>
                <w:rFonts w:hint="default" w:ascii="Times New Roman" w:hAnsi="Times New Roman" w:eastAsia="方正黑体_GBK" w:cs="Times New Roman"/>
                <w:b w:val="0"/>
                <w:bCs/>
                <w:color w:val="000000"/>
                <w:kern w:val="0"/>
                <w:sz w:val="28"/>
                <w:szCs w:val="28"/>
              </w:rPr>
            </w:pPr>
            <w:r>
              <w:rPr>
                <w:rFonts w:hint="default" w:ascii="Times New Roman" w:hAnsi="Times New Roman" w:eastAsia="方正黑体_GBK" w:cs="Times New Roman"/>
                <w:b w:val="0"/>
                <w:bCs/>
                <w:color w:val="000000"/>
                <w:kern w:val="0"/>
                <w:sz w:val="28"/>
                <w:szCs w:val="28"/>
              </w:rPr>
              <w:t>有效用地面积（ha）</w:t>
            </w:r>
          </w:p>
        </w:tc>
        <w:tc>
          <w:tcPr>
            <w:tcW w:w="1417" w:type="dxa"/>
            <w:tcBorders>
              <w:top w:val="single" w:color="auto" w:sz="4" w:space="0"/>
              <w:left w:val="nil"/>
              <w:bottom w:val="single" w:color="auto" w:sz="4" w:space="0"/>
              <w:right w:val="single" w:color="auto" w:sz="4" w:space="0"/>
            </w:tcBorders>
            <w:shd w:val="clear" w:color="auto" w:fill="auto"/>
            <w:vAlign w:val="center"/>
          </w:tcPr>
          <w:p>
            <w:pPr>
              <w:keepNext/>
              <w:spacing w:line="480" w:lineRule="exact"/>
              <w:jc w:val="center"/>
              <w:rPr>
                <w:rFonts w:hint="default" w:ascii="Times New Roman" w:hAnsi="Times New Roman" w:eastAsia="方正黑体_GBK" w:cs="Times New Roman"/>
                <w:b w:val="0"/>
                <w:bCs/>
                <w:color w:val="000000"/>
                <w:kern w:val="0"/>
                <w:sz w:val="28"/>
                <w:szCs w:val="28"/>
              </w:rPr>
            </w:pPr>
            <w:r>
              <w:rPr>
                <w:rFonts w:hint="default" w:ascii="Times New Roman" w:hAnsi="Times New Roman" w:eastAsia="方正黑体_GBK" w:cs="Times New Roman"/>
                <w:b w:val="0"/>
                <w:bCs/>
                <w:color w:val="000000"/>
                <w:kern w:val="0"/>
                <w:sz w:val="28"/>
                <w:szCs w:val="28"/>
              </w:rPr>
              <w:t>容纳中长期可宿住人口（万人）</w:t>
            </w:r>
          </w:p>
        </w:tc>
        <w:tc>
          <w:tcPr>
            <w:tcW w:w="1134" w:type="dxa"/>
            <w:tcBorders>
              <w:top w:val="single" w:color="auto" w:sz="4" w:space="0"/>
              <w:left w:val="nil"/>
              <w:bottom w:val="single" w:color="auto" w:sz="4" w:space="0"/>
              <w:right w:val="single" w:color="auto" w:sz="4" w:space="0"/>
            </w:tcBorders>
            <w:shd w:val="clear" w:color="auto" w:fill="auto"/>
            <w:vAlign w:val="center"/>
          </w:tcPr>
          <w:p>
            <w:pPr>
              <w:keepNext/>
              <w:spacing w:line="480" w:lineRule="exact"/>
              <w:jc w:val="center"/>
              <w:rPr>
                <w:rFonts w:hint="default" w:ascii="Times New Roman" w:hAnsi="Times New Roman" w:eastAsia="方正黑体_GBK" w:cs="Times New Roman"/>
                <w:b w:val="0"/>
                <w:bCs/>
                <w:color w:val="000000"/>
                <w:kern w:val="0"/>
                <w:sz w:val="28"/>
                <w:szCs w:val="28"/>
              </w:rPr>
            </w:pPr>
            <w:r>
              <w:rPr>
                <w:rFonts w:hint="default" w:ascii="Times New Roman" w:hAnsi="Times New Roman" w:eastAsia="方正黑体_GBK" w:cs="Times New Roman"/>
                <w:b w:val="0"/>
                <w:bCs/>
                <w:color w:val="000000"/>
                <w:kern w:val="0"/>
                <w:sz w:val="28"/>
                <w:szCs w:val="28"/>
              </w:rPr>
              <w:t>疏散服务分区</w:t>
            </w:r>
          </w:p>
        </w:tc>
        <w:tc>
          <w:tcPr>
            <w:tcW w:w="1337" w:type="dxa"/>
            <w:tcBorders>
              <w:top w:val="single" w:color="auto" w:sz="4" w:space="0"/>
              <w:left w:val="nil"/>
              <w:bottom w:val="single" w:color="auto" w:sz="4" w:space="0"/>
              <w:right w:val="single" w:color="auto" w:sz="4" w:space="0"/>
            </w:tcBorders>
            <w:shd w:val="clear" w:color="auto" w:fill="auto"/>
            <w:vAlign w:val="center"/>
          </w:tcPr>
          <w:p>
            <w:pPr>
              <w:keepNext/>
              <w:spacing w:line="480" w:lineRule="exact"/>
              <w:jc w:val="center"/>
              <w:rPr>
                <w:rFonts w:hint="default" w:ascii="Times New Roman" w:hAnsi="Times New Roman" w:eastAsia="方正黑体_GBK" w:cs="Times New Roman"/>
                <w:b w:val="0"/>
                <w:bCs/>
                <w:color w:val="000000"/>
                <w:kern w:val="0"/>
                <w:sz w:val="28"/>
                <w:szCs w:val="28"/>
              </w:rPr>
            </w:pPr>
            <w:r>
              <w:rPr>
                <w:rFonts w:hint="default" w:ascii="Times New Roman" w:hAnsi="Times New Roman" w:eastAsia="方正黑体_GBK" w:cs="Times New Roman"/>
                <w:b w:val="0"/>
                <w:bCs/>
                <w:color w:val="000000"/>
                <w:kern w:val="0"/>
                <w:sz w:val="28"/>
                <w:szCs w:val="28"/>
              </w:rPr>
              <w:t>所在控规编号</w:t>
            </w:r>
          </w:p>
        </w:tc>
      </w:tr>
      <w:tr>
        <w:tblPrEx>
          <w:tblLayout w:type="fixed"/>
          <w:tblCellMar>
            <w:top w:w="0" w:type="dxa"/>
            <w:left w:w="0" w:type="dxa"/>
            <w:bottom w:w="0" w:type="dxa"/>
            <w:right w:w="0" w:type="dxa"/>
          </w:tblCellMar>
        </w:tblPrEx>
        <w:trPr>
          <w:trHeight w:val="1246" w:hRule="atLeast"/>
        </w:trPr>
        <w:tc>
          <w:tcPr>
            <w:tcW w:w="431"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1</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中长期</w:t>
            </w:r>
          </w:p>
        </w:tc>
        <w:tc>
          <w:tcPr>
            <w:tcW w:w="1276"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外语外事学院</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61.61 </w:t>
            </w:r>
          </w:p>
        </w:tc>
        <w:tc>
          <w:tcPr>
            <w:tcW w:w="1276"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24.64 </w:t>
            </w:r>
          </w:p>
        </w:tc>
        <w:tc>
          <w:tcPr>
            <w:tcW w:w="141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4.93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东部新城片区</w:t>
            </w:r>
          </w:p>
        </w:tc>
        <w:tc>
          <w:tcPr>
            <w:tcW w:w="133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N01-2/02、N01-4/02</w:t>
            </w:r>
          </w:p>
        </w:tc>
      </w:tr>
      <w:tr>
        <w:tblPrEx>
          <w:tblLayout w:type="fixed"/>
          <w:tblCellMar>
            <w:top w:w="0" w:type="dxa"/>
            <w:left w:w="0" w:type="dxa"/>
            <w:bottom w:w="0" w:type="dxa"/>
            <w:right w:w="0" w:type="dxa"/>
          </w:tblCellMar>
        </w:tblPrEx>
        <w:trPr>
          <w:trHeight w:val="1699" w:hRule="atLeast"/>
        </w:trPr>
        <w:tc>
          <w:tcPr>
            <w:tcW w:w="431"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2</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中长期</w:t>
            </w:r>
          </w:p>
        </w:tc>
        <w:tc>
          <w:tcPr>
            <w:tcW w:w="1276"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规划健康工程职业学院</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25.10 </w:t>
            </w:r>
          </w:p>
        </w:tc>
        <w:tc>
          <w:tcPr>
            <w:tcW w:w="1276"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10.04 </w:t>
            </w:r>
          </w:p>
        </w:tc>
        <w:tc>
          <w:tcPr>
            <w:tcW w:w="141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2.01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枣园至桥河片区</w:t>
            </w:r>
          </w:p>
        </w:tc>
        <w:tc>
          <w:tcPr>
            <w:tcW w:w="133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E1-02/02</w:t>
            </w:r>
          </w:p>
        </w:tc>
      </w:tr>
      <w:tr>
        <w:tblPrEx>
          <w:tblLayout w:type="fixed"/>
          <w:tblCellMar>
            <w:top w:w="0" w:type="dxa"/>
            <w:left w:w="0" w:type="dxa"/>
            <w:bottom w:w="0" w:type="dxa"/>
            <w:right w:w="0" w:type="dxa"/>
          </w:tblCellMar>
        </w:tblPrEx>
        <w:trPr>
          <w:trHeight w:val="570" w:hRule="atLeast"/>
        </w:trPr>
        <w:tc>
          <w:tcPr>
            <w:tcW w:w="255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80" w:lineRule="exact"/>
              <w:jc w:val="center"/>
              <w:rPr>
                <w:b w:val="0"/>
                <w:bCs/>
                <w:color w:val="000000"/>
                <w:kern w:val="0"/>
                <w:sz w:val="28"/>
                <w:szCs w:val="28"/>
              </w:rPr>
            </w:pPr>
            <w:r>
              <w:rPr>
                <w:b w:val="0"/>
                <w:bCs/>
                <w:color w:val="000000"/>
                <w:kern w:val="0"/>
                <w:sz w:val="28"/>
                <w:szCs w:val="28"/>
              </w:rPr>
              <w:t>合</w:t>
            </w:r>
            <w:r>
              <w:rPr>
                <w:rFonts w:hint="eastAsia"/>
                <w:b w:val="0"/>
                <w:bCs/>
                <w:color w:val="000000"/>
                <w:kern w:val="0"/>
                <w:sz w:val="28"/>
                <w:szCs w:val="28"/>
                <w:lang w:val="en-US" w:eastAsia="zh-CN"/>
              </w:rPr>
              <w:t xml:space="preserve">  </w:t>
            </w:r>
            <w:r>
              <w:rPr>
                <w:b w:val="0"/>
                <w:bCs/>
                <w:color w:val="000000"/>
                <w:kern w:val="0"/>
                <w:sz w:val="28"/>
                <w:szCs w:val="28"/>
              </w:rPr>
              <w:t>计</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center"/>
              <w:rPr>
                <w:b w:val="0"/>
                <w:bCs/>
                <w:color w:val="000000"/>
                <w:kern w:val="0"/>
                <w:sz w:val="28"/>
                <w:szCs w:val="28"/>
              </w:rPr>
            </w:pPr>
            <w:r>
              <w:rPr>
                <w:b w:val="0"/>
                <w:bCs/>
                <w:color w:val="000000"/>
                <w:kern w:val="0"/>
                <w:sz w:val="28"/>
                <w:szCs w:val="28"/>
              </w:rPr>
              <w:t>86.7</w:t>
            </w:r>
            <w:r>
              <w:rPr>
                <w:rFonts w:hint="eastAsia"/>
                <w:b w:val="0"/>
                <w:bCs/>
                <w:color w:val="000000"/>
                <w:kern w:val="0"/>
                <w:sz w:val="28"/>
                <w:szCs w:val="28"/>
                <w:lang w:val="en-US" w:eastAsia="zh"/>
              </w:rPr>
              <w:t>1</w:t>
            </w:r>
            <w:r>
              <w:rPr>
                <w:b w:val="0"/>
                <w:bCs/>
                <w:color w:val="000000"/>
                <w:kern w:val="0"/>
                <w:sz w:val="28"/>
                <w:szCs w:val="28"/>
              </w:rPr>
              <w:t xml:space="preserve"> </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center"/>
              <w:rPr>
                <w:b w:val="0"/>
                <w:bCs/>
                <w:color w:val="000000"/>
                <w:kern w:val="0"/>
                <w:sz w:val="28"/>
                <w:szCs w:val="28"/>
              </w:rPr>
            </w:pPr>
            <w:r>
              <w:rPr>
                <w:b w:val="0"/>
                <w:bCs/>
                <w:color w:val="000000"/>
                <w:kern w:val="0"/>
                <w:sz w:val="28"/>
                <w:szCs w:val="28"/>
              </w:rPr>
              <w:t xml:space="preserve">34.68 </w:t>
            </w: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center"/>
              <w:rPr>
                <w:b w:val="0"/>
                <w:bCs/>
                <w:color w:val="000000"/>
                <w:kern w:val="0"/>
                <w:sz w:val="28"/>
                <w:szCs w:val="28"/>
              </w:rPr>
            </w:pPr>
            <w:r>
              <w:rPr>
                <w:b w:val="0"/>
                <w:bCs/>
                <w:color w:val="000000"/>
                <w:kern w:val="0"/>
                <w:sz w:val="28"/>
                <w:szCs w:val="28"/>
              </w:rPr>
              <w:t xml:space="preserve">6.94 </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left"/>
              <w:rPr>
                <w:color w:val="000000"/>
                <w:kern w:val="0"/>
                <w:sz w:val="28"/>
                <w:szCs w:val="28"/>
              </w:rPr>
            </w:pPr>
          </w:p>
        </w:tc>
        <w:tc>
          <w:tcPr>
            <w:tcW w:w="1337"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left"/>
              <w:rPr>
                <w:color w:val="000000"/>
                <w:kern w:val="0"/>
                <w:sz w:val="28"/>
                <w:szCs w:val="28"/>
              </w:rPr>
            </w:pPr>
          </w:p>
        </w:tc>
      </w:tr>
    </w:tbl>
    <w:p>
      <w:pPr>
        <w:spacing w:line="576" w:lineRule="exact"/>
        <w:rPr>
          <w:rFonts w:eastAsia="仿宋"/>
        </w:rPr>
      </w:pPr>
    </w:p>
    <w:p>
      <w:pPr>
        <w:pStyle w:val="2"/>
        <w:rPr>
          <w:rFonts w:eastAsia="仿宋"/>
        </w:rPr>
      </w:pPr>
    </w:p>
    <w:p>
      <w:pPr>
        <w:pStyle w:val="2"/>
        <w:rPr>
          <w:rFonts w:eastAsia="仿宋"/>
        </w:rPr>
      </w:pPr>
    </w:p>
    <w:p>
      <w:pPr>
        <w:pStyle w:val="2"/>
        <w:rPr>
          <w:rFonts w:eastAsia="仿宋"/>
        </w:rPr>
      </w:pPr>
    </w:p>
    <w:p>
      <w:pPr>
        <w:pStyle w:val="2"/>
        <w:rPr>
          <w:rFonts w:eastAsia="仿宋"/>
        </w:rPr>
      </w:pPr>
    </w:p>
    <w:p>
      <w:pPr>
        <w:pStyle w:val="2"/>
        <w:rPr>
          <w:rFonts w:eastAsia="仿宋"/>
        </w:rPr>
      </w:pPr>
    </w:p>
    <w:p>
      <w:pPr>
        <w:pStyle w:val="2"/>
        <w:rPr>
          <w:rFonts w:eastAsia="仿宋"/>
        </w:rPr>
      </w:pPr>
    </w:p>
    <w:p>
      <w:pPr>
        <w:pStyle w:val="2"/>
        <w:rPr>
          <w:rFonts w:eastAsia="仿宋"/>
        </w:rPr>
      </w:pPr>
    </w:p>
    <w:p>
      <w:pPr>
        <w:pStyle w:val="2"/>
        <w:rPr>
          <w:rFonts w:eastAsia="仿宋"/>
        </w:rPr>
      </w:pPr>
    </w:p>
    <w:p>
      <w:pPr>
        <w:pStyle w:val="2"/>
        <w:rPr>
          <w:rFonts w:eastAsia="仿宋"/>
        </w:rPr>
      </w:pPr>
    </w:p>
    <w:p>
      <w:pPr>
        <w:pStyle w:val="7"/>
        <w:keepNext/>
        <w:spacing w:line="576" w:lineRule="exact"/>
        <w:rPr>
          <w:rFonts w:hint="eastAsia" w:ascii="Times New Roman" w:hAnsi="Times New Roman" w:eastAsia="方正黑体_GBK" w:cs="Times New Roman"/>
          <w:sz w:val="32"/>
          <w:szCs w:val="32"/>
          <w:lang w:val="en-US" w:eastAsia="zh-CN" w:bidi="ar"/>
        </w:rPr>
      </w:pPr>
      <w:bookmarkStart w:id="365" w:name="_Ref156315303"/>
      <w:bookmarkStart w:id="366" w:name="_Toc156308081"/>
      <w:bookmarkStart w:id="367" w:name="_Toc158043562"/>
      <w:r>
        <w:rPr>
          <w:rFonts w:hint="default" w:ascii="Times New Roman" w:hAnsi="Times New Roman" w:eastAsia="方正黑体_GBK" w:cs="Times New Roman"/>
          <w:sz w:val="32"/>
          <w:szCs w:val="32"/>
          <w:lang w:bidi="ar"/>
        </w:rPr>
        <w:t>附表</w:t>
      </w:r>
      <w:bookmarkEnd w:id="365"/>
      <w:r>
        <w:rPr>
          <w:rFonts w:hint="eastAsia" w:ascii="Times New Roman" w:hAnsi="Times New Roman" w:eastAsia="方正黑体_GBK" w:cs="Times New Roman"/>
          <w:sz w:val="32"/>
          <w:szCs w:val="32"/>
          <w:lang w:val="en-US" w:eastAsia="zh-CN" w:bidi="ar"/>
        </w:rPr>
        <w:t xml:space="preserve">5 </w:t>
      </w:r>
    </w:p>
    <w:p>
      <w:pPr>
        <w:pStyle w:val="7"/>
        <w:keepNext/>
        <w:spacing w:line="576" w:lineRule="exact"/>
        <w:jc w:val="center"/>
        <w:rPr>
          <w:rFonts w:hint="default" w:ascii="Times New Roman" w:hAnsi="Times New Roman" w:eastAsia="方正黑体_GBK" w:cs="Times New Roman"/>
          <w:sz w:val="32"/>
          <w:szCs w:val="32"/>
          <w:lang w:bidi="ar"/>
        </w:rPr>
      </w:pPr>
      <w:r>
        <w:rPr>
          <w:rFonts w:hint="default" w:ascii="Times New Roman" w:hAnsi="Times New Roman" w:eastAsia="方正黑体_GBK" w:cs="Times New Roman"/>
          <w:sz w:val="32"/>
          <w:szCs w:val="32"/>
          <w:lang w:bidi="ar"/>
        </w:rPr>
        <w:t>綦江中心城区短期应急避难场所规划一览表</w:t>
      </w:r>
      <w:bookmarkEnd w:id="366"/>
      <w:bookmarkEnd w:id="367"/>
    </w:p>
    <w:p>
      <w:pPr>
        <w:rPr>
          <w:rFonts w:hint="default"/>
        </w:rPr>
      </w:pPr>
    </w:p>
    <w:tbl>
      <w:tblPr>
        <w:tblStyle w:val="18"/>
        <w:tblW w:w="8900" w:type="dxa"/>
        <w:tblInd w:w="0" w:type="dxa"/>
        <w:tblLayout w:type="fixed"/>
        <w:tblCellMar>
          <w:top w:w="0" w:type="dxa"/>
          <w:left w:w="28" w:type="dxa"/>
          <w:bottom w:w="0" w:type="dxa"/>
          <w:right w:w="28" w:type="dxa"/>
        </w:tblCellMar>
      </w:tblPr>
      <w:tblGrid>
        <w:gridCol w:w="619"/>
        <w:gridCol w:w="680"/>
        <w:gridCol w:w="1743"/>
        <w:gridCol w:w="914"/>
        <w:gridCol w:w="1141"/>
        <w:gridCol w:w="1211"/>
        <w:gridCol w:w="1176"/>
        <w:gridCol w:w="1416"/>
      </w:tblGrid>
      <w:tr>
        <w:tblPrEx>
          <w:tblLayout w:type="fixed"/>
          <w:tblCellMar>
            <w:top w:w="0" w:type="dxa"/>
            <w:left w:w="28" w:type="dxa"/>
            <w:bottom w:w="0" w:type="dxa"/>
            <w:right w:w="28" w:type="dxa"/>
          </w:tblCellMar>
        </w:tblPrEx>
        <w:trPr>
          <w:trHeight w:val="825" w:hRule="atLeast"/>
          <w:tblHeader/>
        </w:trPr>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80" w:lineRule="exact"/>
              <w:jc w:val="center"/>
              <w:rPr>
                <w:rFonts w:hint="default" w:ascii="Times New Roman" w:hAnsi="Times New Roman" w:eastAsia="方正黑体_GBK" w:cs="Times New Roman"/>
                <w:b w:val="0"/>
                <w:bCs w:val="0"/>
                <w:color w:val="000000"/>
                <w:kern w:val="0"/>
                <w:sz w:val="28"/>
                <w:szCs w:val="28"/>
              </w:rPr>
            </w:pPr>
            <w:r>
              <w:rPr>
                <w:rFonts w:hint="default" w:ascii="Times New Roman" w:hAnsi="Times New Roman" w:eastAsia="方正黑体_GBK" w:cs="Times New Roman"/>
                <w:b w:val="0"/>
                <w:bCs w:val="0"/>
                <w:color w:val="000000"/>
                <w:kern w:val="0"/>
                <w:sz w:val="28"/>
                <w:szCs w:val="28"/>
              </w:rPr>
              <w:t>序号</w:t>
            </w:r>
          </w:p>
        </w:tc>
        <w:tc>
          <w:tcPr>
            <w:tcW w:w="680"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center"/>
              <w:rPr>
                <w:rFonts w:hint="default" w:ascii="Times New Roman" w:hAnsi="Times New Roman" w:eastAsia="方正黑体_GBK" w:cs="Times New Roman"/>
                <w:b w:val="0"/>
                <w:bCs w:val="0"/>
                <w:color w:val="000000"/>
                <w:kern w:val="0"/>
                <w:sz w:val="28"/>
                <w:szCs w:val="28"/>
              </w:rPr>
            </w:pPr>
            <w:r>
              <w:rPr>
                <w:rFonts w:hint="default" w:ascii="Times New Roman" w:hAnsi="Times New Roman" w:eastAsia="方正黑体_GBK" w:cs="Times New Roman"/>
                <w:b w:val="0"/>
                <w:bCs w:val="0"/>
                <w:color w:val="000000"/>
                <w:kern w:val="0"/>
                <w:sz w:val="28"/>
                <w:szCs w:val="28"/>
              </w:rPr>
              <w:t>避难场所类别</w:t>
            </w:r>
          </w:p>
        </w:tc>
        <w:tc>
          <w:tcPr>
            <w:tcW w:w="1743"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center"/>
              <w:rPr>
                <w:rFonts w:hint="default" w:ascii="Times New Roman" w:hAnsi="Times New Roman" w:eastAsia="方正黑体_GBK" w:cs="Times New Roman"/>
                <w:b w:val="0"/>
                <w:bCs w:val="0"/>
                <w:color w:val="000000"/>
                <w:kern w:val="0"/>
                <w:sz w:val="28"/>
                <w:szCs w:val="28"/>
              </w:rPr>
            </w:pPr>
            <w:r>
              <w:rPr>
                <w:rFonts w:hint="default" w:ascii="Times New Roman" w:hAnsi="Times New Roman" w:eastAsia="方正黑体_GBK" w:cs="Times New Roman"/>
                <w:b w:val="0"/>
                <w:bCs w:val="0"/>
                <w:color w:val="000000"/>
                <w:kern w:val="0"/>
                <w:sz w:val="28"/>
                <w:szCs w:val="28"/>
              </w:rPr>
              <w:t>避难场所名称</w:t>
            </w:r>
          </w:p>
        </w:tc>
        <w:tc>
          <w:tcPr>
            <w:tcW w:w="914"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center"/>
              <w:rPr>
                <w:rFonts w:hint="default" w:ascii="Times New Roman" w:hAnsi="Times New Roman" w:eastAsia="方正黑体_GBK" w:cs="Times New Roman"/>
                <w:b w:val="0"/>
                <w:bCs w:val="0"/>
                <w:color w:val="000000"/>
                <w:kern w:val="0"/>
                <w:sz w:val="28"/>
                <w:szCs w:val="28"/>
              </w:rPr>
            </w:pPr>
            <w:r>
              <w:rPr>
                <w:rFonts w:hint="default" w:ascii="Times New Roman" w:hAnsi="Times New Roman" w:eastAsia="方正黑体_GBK" w:cs="Times New Roman"/>
                <w:b w:val="0"/>
                <w:bCs w:val="0"/>
                <w:color w:val="000000"/>
                <w:kern w:val="0"/>
                <w:sz w:val="28"/>
                <w:szCs w:val="28"/>
              </w:rPr>
              <w:t>用地面积（ha）</w:t>
            </w:r>
          </w:p>
        </w:tc>
        <w:tc>
          <w:tcPr>
            <w:tcW w:w="1141"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center"/>
              <w:rPr>
                <w:rFonts w:hint="default" w:ascii="Times New Roman" w:hAnsi="Times New Roman" w:eastAsia="方正黑体_GBK" w:cs="Times New Roman"/>
                <w:b w:val="0"/>
                <w:bCs w:val="0"/>
                <w:color w:val="000000"/>
                <w:kern w:val="0"/>
                <w:sz w:val="28"/>
                <w:szCs w:val="28"/>
              </w:rPr>
            </w:pPr>
            <w:r>
              <w:rPr>
                <w:rFonts w:hint="default" w:ascii="Times New Roman" w:hAnsi="Times New Roman" w:eastAsia="方正黑体_GBK" w:cs="Times New Roman"/>
                <w:b w:val="0"/>
                <w:bCs w:val="0"/>
                <w:color w:val="000000"/>
                <w:kern w:val="0"/>
                <w:sz w:val="28"/>
                <w:szCs w:val="28"/>
              </w:rPr>
              <w:t>有效用地面积（ha）</w:t>
            </w:r>
          </w:p>
        </w:tc>
        <w:tc>
          <w:tcPr>
            <w:tcW w:w="1211"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center"/>
              <w:rPr>
                <w:rFonts w:hint="default" w:ascii="Times New Roman" w:hAnsi="Times New Roman" w:eastAsia="方正黑体_GBK" w:cs="Times New Roman"/>
                <w:b w:val="0"/>
                <w:bCs w:val="0"/>
                <w:color w:val="000000"/>
                <w:kern w:val="0"/>
                <w:sz w:val="28"/>
                <w:szCs w:val="28"/>
              </w:rPr>
            </w:pPr>
            <w:r>
              <w:rPr>
                <w:rFonts w:hint="default" w:ascii="Times New Roman" w:hAnsi="Times New Roman" w:eastAsia="方正黑体_GBK" w:cs="Times New Roman"/>
                <w:b w:val="0"/>
                <w:bCs w:val="0"/>
                <w:color w:val="000000"/>
                <w:kern w:val="0"/>
                <w:sz w:val="28"/>
                <w:szCs w:val="28"/>
              </w:rPr>
              <w:t>容纳短期可宿住人口（万人）</w:t>
            </w:r>
          </w:p>
        </w:tc>
        <w:tc>
          <w:tcPr>
            <w:tcW w:w="1176"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center"/>
              <w:rPr>
                <w:rFonts w:hint="default" w:ascii="Times New Roman" w:hAnsi="Times New Roman" w:eastAsia="方正黑体_GBK" w:cs="Times New Roman"/>
                <w:b w:val="0"/>
                <w:bCs w:val="0"/>
                <w:color w:val="000000"/>
                <w:kern w:val="0"/>
                <w:sz w:val="28"/>
                <w:szCs w:val="28"/>
              </w:rPr>
            </w:pPr>
            <w:r>
              <w:rPr>
                <w:rFonts w:hint="default" w:ascii="Times New Roman" w:hAnsi="Times New Roman" w:eastAsia="方正黑体_GBK" w:cs="Times New Roman"/>
                <w:b w:val="0"/>
                <w:bCs w:val="0"/>
                <w:color w:val="000000"/>
                <w:kern w:val="0"/>
                <w:sz w:val="28"/>
                <w:szCs w:val="28"/>
              </w:rPr>
              <w:t>疏散服务分区</w:t>
            </w:r>
          </w:p>
        </w:tc>
        <w:tc>
          <w:tcPr>
            <w:tcW w:w="1416"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center"/>
              <w:rPr>
                <w:rFonts w:hint="default" w:ascii="Times New Roman" w:hAnsi="Times New Roman" w:eastAsia="方正黑体_GBK" w:cs="Times New Roman"/>
                <w:b w:val="0"/>
                <w:bCs w:val="0"/>
                <w:color w:val="000000"/>
                <w:kern w:val="0"/>
                <w:sz w:val="28"/>
                <w:szCs w:val="28"/>
              </w:rPr>
            </w:pPr>
            <w:r>
              <w:rPr>
                <w:rFonts w:hint="default" w:ascii="Times New Roman" w:hAnsi="Times New Roman" w:eastAsia="方正黑体_GBK" w:cs="Times New Roman"/>
                <w:b w:val="0"/>
                <w:bCs w:val="0"/>
                <w:color w:val="000000"/>
                <w:kern w:val="0"/>
                <w:sz w:val="28"/>
                <w:szCs w:val="28"/>
              </w:rPr>
              <w:t>所在控规编号</w:t>
            </w:r>
          </w:p>
        </w:tc>
      </w:tr>
      <w:tr>
        <w:tblPrEx>
          <w:tblLayout w:type="fixed"/>
          <w:tblCellMar>
            <w:top w:w="0" w:type="dxa"/>
            <w:left w:w="28" w:type="dxa"/>
            <w:bottom w:w="0" w:type="dxa"/>
            <w:right w:w="28" w:type="dxa"/>
          </w:tblCellMar>
        </w:tblPrEx>
        <w:trPr>
          <w:trHeight w:val="585" w:hRule="atLeast"/>
        </w:trPr>
        <w:tc>
          <w:tcPr>
            <w:tcW w:w="619"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1</w:t>
            </w:r>
          </w:p>
        </w:tc>
        <w:tc>
          <w:tcPr>
            <w:tcW w:w="68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短期</w:t>
            </w:r>
          </w:p>
        </w:tc>
        <w:tc>
          <w:tcPr>
            <w:tcW w:w="1743"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綦江体育中心</w:t>
            </w:r>
          </w:p>
        </w:tc>
        <w:tc>
          <w:tcPr>
            <w:tcW w:w="91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10.47 </w:t>
            </w:r>
          </w:p>
        </w:tc>
        <w:tc>
          <w:tcPr>
            <w:tcW w:w="114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6.28 </w:t>
            </w:r>
          </w:p>
        </w:tc>
        <w:tc>
          <w:tcPr>
            <w:tcW w:w="121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2.09 </w:t>
            </w:r>
          </w:p>
        </w:tc>
        <w:tc>
          <w:tcPr>
            <w:tcW w:w="1176"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东部新城片区</w:t>
            </w:r>
          </w:p>
        </w:tc>
        <w:tc>
          <w:tcPr>
            <w:tcW w:w="1416"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B03-1/03</w:t>
            </w:r>
          </w:p>
        </w:tc>
      </w:tr>
      <w:tr>
        <w:tblPrEx>
          <w:tblLayout w:type="fixed"/>
          <w:tblCellMar>
            <w:top w:w="0" w:type="dxa"/>
            <w:left w:w="28" w:type="dxa"/>
            <w:bottom w:w="0" w:type="dxa"/>
            <w:right w:w="28" w:type="dxa"/>
          </w:tblCellMar>
        </w:tblPrEx>
        <w:trPr>
          <w:trHeight w:val="630" w:hRule="atLeast"/>
        </w:trPr>
        <w:tc>
          <w:tcPr>
            <w:tcW w:w="619"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2</w:t>
            </w:r>
          </w:p>
        </w:tc>
        <w:tc>
          <w:tcPr>
            <w:tcW w:w="68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短期</w:t>
            </w:r>
          </w:p>
        </w:tc>
        <w:tc>
          <w:tcPr>
            <w:tcW w:w="1743"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南州中学</w:t>
            </w:r>
          </w:p>
        </w:tc>
        <w:tc>
          <w:tcPr>
            <w:tcW w:w="91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9.83 </w:t>
            </w:r>
          </w:p>
        </w:tc>
        <w:tc>
          <w:tcPr>
            <w:tcW w:w="114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3.93 </w:t>
            </w:r>
          </w:p>
        </w:tc>
        <w:tc>
          <w:tcPr>
            <w:tcW w:w="121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1.31 </w:t>
            </w:r>
          </w:p>
        </w:tc>
        <w:tc>
          <w:tcPr>
            <w:tcW w:w="1176"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九龙片区</w:t>
            </w:r>
          </w:p>
        </w:tc>
        <w:tc>
          <w:tcPr>
            <w:tcW w:w="1416"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B03-01/02</w:t>
            </w:r>
          </w:p>
        </w:tc>
      </w:tr>
      <w:tr>
        <w:tblPrEx>
          <w:tblLayout w:type="fixed"/>
          <w:tblCellMar>
            <w:top w:w="0" w:type="dxa"/>
            <w:left w:w="28" w:type="dxa"/>
            <w:bottom w:w="0" w:type="dxa"/>
            <w:right w:w="28" w:type="dxa"/>
          </w:tblCellMar>
        </w:tblPrEx>
        <w:trPr>
          <w:trHeight w:val="630" w:hRule="atLeast"/>
        </w:trPr>
        <w:tc>
          <w:tcPr>
            <w:tcW w:w="619"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3</w:t>
            </w:r>
          </w:p>
        </w:tc>
        <w:tc>
          <w:tcPr>
            <w:tcW w:w="68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短期</w:t>
            </w:r>
          </w:p>
        </w:tc>
        <w:tc>
          <w:tcPr>
            <w:tcW w:w="1743"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营盘山公园</w:t>
            </w:r>
          </w:p>
        </w:tc>
        <w:tc>
          <w:tcPr>
            <w:tcW w:w="91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35.30 </w:t>
            </w:r>
          </w:p>
        </w:tc>
        <w:tc>
          <w:tcPr>
            <w:tcW w:w="114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7.06 </w:t>
            </w:r>
          </w:p>
        </w:tc>
        <w:tc>
          <w:tcPr>
            <w:tcW w:w="121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2.35 </w:t>
            </w:r>
          </w:p>
        </w:tc>
        <w:tc>
          <w:tcPr>
            <w:tcW w:w="1176"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沙溪片区</w:t>
            </w:r>
          </w:p>
        </w:tc>
        <w:tc>
          <w:tcPr>
            <w:tcW w:w="1416"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w:t>
            </w:r>
          </w:p>
        </w:tc>
      </w:tr>
      <w:tr>
        <w:tblPrEx>
          <w:tblLayout w:type="fixed"/>
          <w:tblCellMar>
            <w:top w:w="0" w:type="dxa"/>
            <w:left w:w="28" w:type="dxa"/>
            <w:bottom w:w="0" w:type="dxa"/>
            <w:right w:w="28" w:type="dxa"/>
          </w:tblCellMar>
        </w:tblPrEx>
        <w:trPr>
          <w:trHeight w:val="630" w:hRule="atLeast"/>
        </w:trPr>
        <w:tc>
          <w:tcPr>
            <w:tcW w:w="619"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4</w:t>
            </w:r>
          </w:p>
        </w:tc>
        <w:tc>
          <w:tcPr>
            <w:tcW w:w="68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短期</w:t>
            </w:r>
          </w:p>
        </w:tc>
        <w:tc>
          <w:tcPr>
            <w:tcW w:w="1743"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綦江实验中学</w:t>
            </w:r>
          </w:p>
        </w:tc>
        <w:tc>
          <w:tcPr>
            <w:tcW w:w="91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6.46 </w:t>
            </w:r>
          </w:p>
        </w:tc>
        <w:tc>
          <w:tcPr>
            <w:tcW w:w="114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2.58 </w:t>
            </w:r>
          </w:p>
        </w:tc>
        <w:tc>
          <w:tcPr>
            <w:tcW w:w="121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0.86 </w:t>
            </w:r>
          </w:p>
        </w:tc>
        <w:tc>
          <w:tcPr>
            <w:tcW w:w="1176"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龙脊山片区</w:t>
            </w:r>
          </w:p>
        </w:tc>
        <w:tc>
          <w:tcPr>
            <w:tcW w:w="1416"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B3-02/02</w:t>
            </w:r>
          </w:p>
        </w:tc>
      </w:tr>
      <w:tr>
        <w:tblPrEx>
          <w:tblLayout w:type="fixed"/>
          <w:tblCellMar>
            <w:top w:w="0" w:type="dxa"/>
            <w:left w:w="28" w:type="dxa"/>
            <w:bottom w:w="0" w:type="dxa"/>
            <w:right w:w="28" w:type="dxa"/>
          </w:tblCellMar>
        </w:tblPrEx>
        <w:trPr>
          <w:trHeight w:val="630" w:hRule="atLeast"/>
        </w:trPr>
        <w:tc>
          <w:tcPr>
            <w:tcW w:w="619"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5</w:t>
            </w:r>
          </w:p>
        </w:tc>
        <w:tc>
          <w:tcPr>
            <w:tcW w:w="68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短期</w:t>
            </w:r>
          </w:p>
        </w:tc>
        <w:tc>
          <w:tcPr>
            <w:tcW w:w="1743"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规划渝南科技学校</w:t>
            </w:r>
          </w:p>
        </w:tc>
        <w:tc>
          <w:tcPr>
            <w:tcW w:w="91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4.16 </w:t>
            </w:r>
          </w:p>
        </w:tc>
        <w:tc>
          <w:tcPr>
            <w:tcW w:w="114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1.67 </w:t>
            </w:r>
          </w:p>
        </w:tc>
        <w:tc>
          <w:tcPr>
            <w:tcW w:w="121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0.56 </w:t>
            </w:r>
          </w:p>
        </w:tc>
        <w:tc>
          <w:tcPr>
            <w:tcW w:w="1176"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桥河片区</w:t>
            </w:r>
          </w:p>
        </w:tc>
        <w:tc>
          <w:tcPr>
            <w:tcW w:w="1416"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B17-10/03</w:t>
            </w:r>
          </w:p>
        </w:tc>
      </w:tr>
      <w:tr>
        <w:tblPrEx>
          <w:tblLayout w:type="fixed"/>
          <w:tblCellMar>
            <w:top w:w="0" w:type="dxa"/>
            <w:left w:w="28" w:type="dxa"/>
            <w:bottom w:w="0" w:type="dxa"/>
            <w:right w:w="28" w:type="dxa"/>
          </w:tblCellMar>
        </w:tblPrEx>
        <w:trPr>
          <w:trHeight w:val="585" w:hRule="atLeast"/>
        </w:trPr>
        <w:tc>
          <w:tcPr>
            <w:tcW w:w="619"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6</w:t>
            </w:r>
          </w:p>
        </w:tc>
        <w:tc>
          <w:tcPr>
            <w:tcW w:w="68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短期</w:t>
            </w:r>
          </w:p>
        </w:tc>
        <w:tc>
          <w:tcPr>
            <w:tcW w:w="1743"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三江中学</w:t>
            </w:r>
          </w:p>
        </w:tc>
        <w:tc>
          <w:tcPr>
            <w:tcW w:w="91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3.89 </w:t>
            </w:r>
          </w:p>
        </w:tc>
        <w:tc>
          <w:tcPr>
            <w:tcW w:w="114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1.56 </w:t>
            </w:r>
          </w:p>
        </w:tc>
        <w:tc>
          <w:tcPr>
            <w:tcW w:w="121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0.52 </w:t>
            </w:r>
          </w:p>
        </w:tc>
        <w:tc>
          <w:tcPr>
            <w:tcW w:w="1176"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三江片区</w:t>
            </w:r>
          </w:p>
        </w:tc>
        <w:tc>
          <w:tcPr>
            <w:tcW w:w="1416"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C9-02/01、C11-01/01</w:t>
            </w:r>
          </w:p>
        </w:tc>
      </w:tr>
      <w:tr>
        <w:tblPrEx>
          <w:tblLayout w:type="fixed"/>
          <w:tblCellMar>
            <w:top w:w="0" w:type="dxa"/>
            <w:left w:w="28" w:type="dxa"/>
            <w:bottom w:w="0" w:type="dxa"/>
            <w:right w:w="28" w:type="dxa"/>
          </w:tblCellMar>
        </w:tblPrEx>
        <w:trPr>
          <w:trHeight w:val="285" w:hRule="atLeast"/>
        </w:trPr>
        <w:tc>
          <w:tcPr>
            <w:tcW w:w="619"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7</w:t>
            </w:r>
          </w:p>
        </w:tc>
        <w:tc>
          <w:tcPr>
            <w:tcW w:w="68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短期</w:t>
            </w:r>
          </w:p>
        </w:tc>
        <w:tc>
          <w:tcPr>
            <w:tcW w:w="1743"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规划中职院校</w:t>
            </w:r>
          </w:p>
        </w:tc>
        <w:tc>
          <w:tcPr>
            <w:tcW w:w="91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13.88 </w:t>
            </w:r>
          </w:p>
        </w:tc>
        <w:tc>
          <w:tcPr>
            <w:tcW w:w="114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5.55 </w:t>
            </w:r>
          </w:p>
        </w:tc>
        <w:tc>
          <w:tcPr>
            <w:tcW w:w="121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1.85 </w:t>
            </w:r>
          </w:p>
        </w:tc>
        <w:tc>
          <w:tcPr>
            <w:tcW w:w="1176"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永桐新城</w:t>
            </w:r>
          </w:p>
        </w:tc>
        <w:tc>
          <w:tcPr>
            <w:tcW w:w="1416"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ZH-A5-01</w:t>
            </w:r>
          </w:p>
        </w:tc>
      </w:tr>
      <w:tr>
        <w:tblPrEx>
          <w:tblLayout w:type="fixed"/>
          <w:tblCellMar>
            <w:top w:w="0" w:type="dxa"/>
            <w:left w:w="28" w:type="dxa"/>
            <w:bottom w:w="0" w:type="dxa"/>
            <w:right w:w="28" w:type="dxa"/>
          </w:tblCellMar>
        </w:tblPrEx>
        <w:trPr>
          <w:trHeight w:val="285" w:hRule="atLeast"/>
        </w:trPr>
        <w:tc>
          <w:tcPr>
            <w:tcW w:w="619"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8</w:t>
            </w:r>
          </w:p>
        </w:tc>
        <w:tc>
          <w:tcPr>
            <w:tcW w:w="68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短期</w:t>
            </w:r>
          </w:p>
        </w:tc>
        <w:tc>
          <w:tcPr>
            <w:tcW w:w="1743"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永城中学</w:t>
            </w:r>
          </w:p>
        </w:tc>
        <w:tc>
          <w:tcPr>
            <w:tcW w:w="91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3.65 </w:t>
            </w:r>
          </w:p>
        </w:tc>
        <w:tc>
          <w:tcPr>
            <w:tcW w:w="114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1.46 </w:t>
            </w:r>
          </w:p>
        </w:tc>
        <w:tc>
          <w:tcPr>
            <w:tcW w:w="121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0.49 </w:t>
            </w:r>
          </w:p>
        </w:tc>
        <w:tc>
          <w:tcPr>
            <w:tcW w:w="1176"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永桐新城</w:t>
            </w:r>
          </w:p>
        </w:tc>
        <w:tc>
          <w:tcPr>
            <w:tcW w:w="1416"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ZH-C5-10</w:t>
            </w:r>
          </w:p>
        </w:tc>
      </w:tr>
      <w:tr>
        <w:tblPrEx>
          <w:tblLayout w:type="fixed"/>
          <w:tblCellMar>
            <w:top w:w="0" w:type="dxa"/>
            <w:left w:w="28" w:type="dxa"/>
            <w:bottom w:w="0" w:type="dxa"/>
            <w:right w:w="28" w:type="dxa"/>
          </w:tblCellMar>
        </w:tblPrEx>
        <w:trPr>
          <w:trHeight w:val="540" w:hRule="atLeast"/>
        </w:trPr>
        <w:tc>
          <w:tcPr>
            <w:tcW w:w="619"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9</w:t>
            </w:r>
          </w:p>
        </w:tc>
        <w:tc>
          <w:tcPr>
            <w:tcW w:w="68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短期</w:t>
            </w:r>
          </w:p>
        </w:tc>
        <w:tc>
          <w:tcPr>
            <w:tcW w:w="1743"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规划中学</w:t>
            </w:r>
          </w:p>
        </w:tc>
        <w:tc>
          <w:tcPr>
            <w:tcW w:w="91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4.44 </w:t>
            </w:r>
          </w:p>
        </w:tc>
        <w:tc>
          <w:tcPr>
            <w:tcW w:w="114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1.77 </w:t>
            </w:r>
          </w:p>
        </w:tc>
        <w:tc>
          <w:tcPr>
            <w:tcW w:w="121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0.59 </w:t>
            </w:r>
          </w:p>
        </w:tc>
        <w:tc>
          <w:tcPr>
            <w:tcW w:w="1176"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北部新城片区</w:t>
            </w:r>
          </w:p>
        </w:tc>
        <w:tc>
          <w:tcPr>
            <w:tcW w:w="1416"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A13-1/01</w:t>
            </w:r>
          </w:p>
        </w:tc>
      </w:tr>
      <w:tr>
        <w:tblPrEx>
          <w:tblLayout w:type="fixed"/>
          <w:tblCellMar>
            <w:top w:w="0" w:type="dxa"/>
            <w:left w:w="28" w:type="dxa"/>
            <w:bottom w:w="0" w:type="dxa"/>
            <w:right w:w="28" w:type="dxa"/>
          </w:tblCellMar>
        </w:tblPrEx>
        <w:trPr>
          <w:trHeight w:val="285" w:hRule="atLeast"/>
        </w:trPr>
        <w:tc>
          <w:tcPr>
            <w:tcW w:w="3042"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spacing w:line="480" w:lineRule="exact"/>
              <w:jc w:val="center"/>
              <w:rPr>
                <w:b w:val="0"/>
                <w:bCs w:val="0"/>
                <w:kern w:val="0"/>
                <w:sz w:val="28"/>
                <w:szCs w:val="28"/>
              </w:rPr>
            </w:pPr>
            <w:r>
              <w:rPr>
                <w:b w:val="0"/>
                <w:bCs w:val="0"/>
                <w:kern w:val="0"/>
                <w:sz w:val="28"/>
                <w:szCs w:val="28"/>
              </w:rPr>
              <w:t>合</w:t>
            </w:r>
            <w:r>
              <w:rPr>
                <w:rFonts w:hint="eastAsia"/>
                <w:b w:val="0"/>
                <w:bCs w:val="0"/>
                <w:kern w:val="0"/>
                <w:sz w:val="28"/>
                <w:szCs w:val="28"/>
                <w:lang w:val="en-US" w:eastAsia="zh-CN"/>
              </w:rPr>
              <w:t xml:space="preserve">  </w:t>
            </w:r>
            <w:r>
              <w:rPr>
                <w:b w:val="0"/>
                <w:bCs w:val="0"/>
                <w:kern w:val="0"/>
                <w:sz w:val="28"/>
                <w:szCs w:val="28"/>
              </w:rPr>
              <w:t>计</w:t>
            </w:r>
          </w:p>
        </w:tc>
        <w:tc>
          <w:tcPr>
            <w:tcW w:w="91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b w:val="0"/>
                <w:bCs w:val="0"/>
                <w:color w:val="000000"/>
                <w:kern w:val="0"/>
                <w:sz w:val="28"/>
                <w:szCs w:val="28"/>
              </w:rPr>
            </w:pPr>
            <w:r>
              <w:rPr>
                <w:b w:val="0"/>
                <w:bCs w:val="0"/>
                <w:color w:val="000000"/>
                <w:kern w:val="0"/>
                <w:sz w:val="28"/>
                <w:szCs w:val="28"/>
              </w:rPr>
              <w:t>92.0</w:t>
            </w:r>
            <w:r>
              <w:rPr>
                <w:rFonts w:hint="eastAsia"/>
                <w:b w:val="0"/>
                <w:bCs w:val="0"/>
                <w:color w:val="000000"/>
                <w:kern w:val="0"/>
                <w:sz w:val="28"/>
                <w:szCs w:val="28"/>
                <w:lang w:val="en-US" w:eastAsia="zh"/>
              </w:rPr>
              <w:t>8</w:t>
            </w:r>
            <w:r>
              <w:rPr>
                <w:b w:val="0"/>
                <w:bCs w:val="0"/>
                <w:color w:val="000000"/>
                <w:kern w:val="0"/>
                <w:sz w:val="28"/>
                <w:szCs w:val="28"/>
              </w:rPr>
              <w:t xml:space="preserve"> </w:t>
            </w:r>
          </w:p>
        </w:tc>
        <w:tc>
          <w:tcPr>
            <w:tcW w:w="114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b w:val="0"/>
                <w:bCs w:val="0"/>
                <w:color w:val="000000"/>
                <w:kern w:val="0"/>
                <w:sz w:val="28"/>
                <w:szCs w:val="28"/>
              </w:rPr>
            </w:pPr>
            <w:r>
              <w:rPr>
                <w:b w:val="0"/>
                <w:bCs w:val="0"/>
                <w:color w:val="000000"/>
                <w:kern w:val="0"/>
                <w:sz w:val="28"/>
                <w:szCs w:val="28"/>
              </w:rPr>
              <w:t>31.8</w:t>
            </w:r>
            <w:r>
              <w:rPr>
                <w:rFonts w:hint="eastAsia"/>
                <w:b w:val="0"/>
                <w:bCs w:val="0"/>
                <w:color w:val="000000"/>
                <w:kern w:val="0"/>
                <w:sz w:val="28"/>
                <w:szCs w:val="28"/>
                <w:lang w:val="en-US" w:eastAsia="zh"/>
              </w:rPr>
              <w:t>6</w:t>
            </w:r>
            <w:r>
              <w:rPr>
                <w:b w:val="0"/>
                <w:bCs w:val="0"/>
                <w:color w:val="000000"/>
                <w:kern w:val="0"/>
                <w:sz w:val="28"/>
                <w:szCs w:val="28"/>
              </w:rPr>
              <w:t xml:space="preserve"> </w:t>
            </w:r>
          </w:p>
        </w:tc>
        <w:tc>
          <w:tcPr>
            <w:tcW w:w="121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b w:val="0"/>
                <w:bCs w:val="0"/>
                <w:color w:val="000000"/>
                <w:kern w:val="0"/>
                <w:sz w:val="28"/>
                <w:szCs w:val="28"/>
              </w:rPr>
            </w:pPr>
            <w:r>
              <w:rPr>
                <w:b w:val="0"/>
                <w:bCs w:val="0"/>
                <w:color w:val="000000"/>
                <w:kern w:val="0"/>
                <w:sz w:val="28"/>
                <w:szCs w:val="28"/>
              </w:rPr>
              <w:t xml:space="preserve">10.62 </w:t>
            </w:r>
          </w:p>
        </w:tc>
        <w:tc>
          <w:tcPr>
            <w:tcW w:w="1176"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b/>
                <w:bCs/>
                <w:color w:val="FF0000"/>
                <w:kern w:val="0"/>
                <w:sz w:val="28"/>
                <w:szCs w:val="28"/>
              </w:rPr>
            </w:pPr>
            <w:r>
              <w:rPr>
                <w:b/>
                <w:bCs/>
                <w:color w:val="FF0000"/>
                <w:kern w:val="0"/>
                <w:sz w:val="28"/>
                <w:szCs w:val="28"/>
              </w:rPr>
              <w:t>　</w:t>
            </w:r>
          </w:p>
        </w:tc>
        <w:tc>
          <w:tcPr>
            <w:tcW w:w="1416"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b/>
                <w:bCs/>
                <w:color w:val="FF0000"/>
                <w:kern w:val="0"/>
                <w:sz w:val="28"/>
                <w:szCs w:val="28"/>
              </w:rPr>
            </w:pPr>
            <w:r>
              <w:rPr>
                <w:b/>
                <w:bCs/>
                <w:color w:val="FF0000"/>
                <w:kern w:val="0"/>
                <w:sz w:val="28"/>
                <w:szCs w:val="28"/>
              </w:rPr>
              <w:t>　</w:t>
            </w:r>
          </w:p>
        </w:tc>
      </w:tr>
    </w:tbl>
    <w:p>
      <w:pPr>
        <w:spacing w:line="576" w:lineRule="exact"/>
        <w:rPr>
          <w:rFonts w:eastAsia="仿宋"/>
        </w:rPr>
      </w:pPr>
    </w:p>
    <w:p>
      <w:pPr>
        <w:pStyle w:val="7"/>
        <w:keepNext/>
        <w:spacing w:line="576" w:lineRule="exact"/>
        <w:rPr>
          <w:rFonts w:hint="eastAsia" w:ascii="方正黑体_GBK" w:hAnsi="方正黑体_GBK" w:eastAsia="方正黑体_GBK" w:cs="方正黑体_GBK"/>
          <w:sz w:val="32"/>
          <w:szCs w:val="32"/>
          <w:lang w:bidi="ar"/>
        </w:rPr>
      </w:pPr>
      <w:bookmarkStart w:id="368" w:name="_Ref156315281"/>
      <w:bookmarkStart w:id="369" w:name="_Toc158043563"/>
      <w:bookmarkStart w:id="370" w:name="_Toc156308082"/>
    </w:p>
    <w:p>
      <w:pPr>
        <w:rPr>
          <w:rFonts w:hint="eastAsia" w:ascii="方正黑体_GBK" w:hAnsi="方正黑体_GBK" w:eastAsia="方正黑体_GBK" w:cs="方正黑体_GBK"/>
          <w:sz w:val="32"/>
          <w:szCs w:val="32"/>
          <w:lang w:bidi="ar"/>
        </w:rPr>
      </w:pPr>
    </w:p>
    <w:p>
      <w:pPr>
        <w:pStyle w:val="7"/>
        <w:keepNext/>
        <w:spacing w:line="576" w:lineRule="exact"/>
        <w:rPr>
          <w:rFonts w:hint="default" w:ascii="Times New Roman" w:hAnsi="Times New Roman" w:eastAsia="方正黑体_GBK" w:cs="Times New Roman"/>
          <w:sz w:val="32"/>
          <w:szCs w:val="32"/>
          <w:lang w:val="en-US" w:eastAsia="zh-CN" w:bidi="ar"/>
        </w:rPr>
      </w:pPr>
      <w:r>
        <w:rPr>
          <w:rFonts w:hint="eastAsia" w:ascii="方正黑体_GBK" w:hAnsi="方正黑体_GBK" w:eastAsia="方正黑体_GBK" w:cs="方正黑体_GBK"/>
          <w:sz w:val="32"/>
          <w:szCs w:val="32"/>
          <w:lang w:bidi="ar"/>
        </w:rPr>
        <w:t>附表</w:t>
      </w:r>
      <w:bookmarkEnd w:id="368"/>
      <w:r>
        <w:rPr>
          <w:rFonts w:hint="default" w:ascii="Times New Roman" w:hAnsi="Times New Roman" w:eastAsia="方正黑体_GBK" w:cs="Times New Roman"/>
          <w:sz w:val="32"/>
          <w:szCs w:val="32"/>
          <w:lang w:val="en-US" w:eastAsia="zh-CN" w:bidi="ar"/>
        </w:rPr>
        <w:t>6</w:t>
      </w:r>
    </w:p>
    <w:p>
      <w:pPr>
        <w:pStyle w:val="7"/>
        <w:keepNext/>
        <w:spacing w:line="576" w:lineRule="exact"/>
        <w:jc w:val="center"/>
        <w:rPr>
          <w:rFonts w:hint="eastAsia" w:ascii="方正黑体_GBK" w:hAnsi="方正黑体_GBK" w:eastAsia="方正黑体_GBK" w:cs="方正黑体_GBK"/>
          <w:sz w:val="32"/>
          <w:szCs w:val="32"/>
          <w:lang w:bidi="ar"/>
        </w:rPr>
      </w:pPr>
      <w:r>
        <w:rPr>
          <w:rFonts w:hint="eastAsia" w:ascii="方正黑体_GBK" w:hAnsi="方正黑体_GBK" w:eastAsia="方正黑体_GBK" w:cs="方正黑体_GBK"/>
          <w:sz w:val="32"/>
          <w:szCs w:val="32"/>
          <w:lang w:bidi="ar"/>
        </w:rPr>
        <w:t>綦江中心城区暂时应急避难场所规划一览表</w:t>
      </w:r>
      <w:bookmarkEnd w:id="369"/>
      <w:bookmarkEnd w:id="370"/>
    </w:p>
    <w:p>
      <w:pPr>
        <w:rPr>
          <w:rFonts w:hint="eastAsia"/>
        </w:rPr>
      </w:pPr>
    </w:p>
    <w:tbl>
      <w:tblPr>
        <w:tblStyle w:val="18"/>
        <w:tblW w:w="8901" w:type="dxa"/>
        <w:tblInd w:w="0" w:type="dxa"/>
        <w:tblLayout w:type="fixed"/>
        <w:tblCellMar>
          <w:top w:w="0" w:type="dxa"/>
          <w:left w:w="0" w:type="dxa"/>
          <w:bottom w:w="0" w:type="dxa"/>
          <w:right w:w="0" w:type="dxa"/>
        </w:tblCellMar>
      </w:tblPr>
      <w:tblGrid>
        <w:gridCol w:w="454"/>
        <w:gridCol w:w="850"/>
        <w:gridCol w:w="1701"/>
        <w:gridCol w:w="959"/>
        <w:gridCol w:w="1134"/>
        <w:gridCol w:w="1167"/>
        <w:gridCol w:w="1134"/>
        <w:gridCol w:w="1502"/>
      </w:tblGrid>
      <w:tr>
        <w:tblPrEx>
          <w:tblLayout w:type="fixed"/>
          <w:tblCellMar>
            <w:top w:w="0" w:type="dxa"/>
            <w:left w:w="0" w:type="dxa"/>
            <w:bottom w:w="0" w:type="dxa"/>
            <w:right w:w="0" w:type="dxa"/>
          </w:tblCellMar>
        </w:tblPrEx>
        <w:trPr>
          <w:trHeight w:val="20" w:hRule="atLeast"/>
          <w:tblHeader/>
        </w:trPr>
        <w:tc>
          <w:tcPr>
            <w:tcW w:w="454" w:type="dxa"/>
            <w:tcBorders>
              <w:top w:val="single" w:color="auto" w:sz="4" w:space="0"/>
              <w:left w:val="single" w:color="auto" w:sz="4" w:space="0"/>
              <w:bottom w:val="single" w:color="auto" w:sz="4" w:space="0"/>
              <w:right w:val="single" w:color="auto" w:sz="4" w:space="0"/>
            </w:tcBorders>
            <w:shd w:val="clear" w:color="auto" w:fill="auto"/>
            <w:vAlign w:val="center"/>
          </w:tcPr>
          <w:p>
            <w:pPr>
              <w:keepNext/>
              <w:widowControl/>
              <w:spacing w:line="480" w:lineRule="exact"/>
              <w:jc w:val="center"/>
              <w:rPr>
                <w:rFonts w:hint="default" w:ascii="Times New Roman" w:hAnsi="Times New Roman" w:eastAsia="方正黑体_GBK" w:cs="Times New Roman"/>
                <w:b w:val="0"/>
                <w:bCs/>
                <w:color w:val="000000"/>
                <w:kern w:val="0"/>
                <w:sz w:val="28"/>
                <w:szCs w:val="28"/>
              </w:rPr>
            </w:pPr>
            <w:r>
              <w:rPr>
                <w:rFonts w:hint="default" w:ascii="Times New Roman" w:hAnsi="Times New Roman" w:eastAsia="方正黑体_GBK" w:cs="Times New Roman"/>
                <w:b w:val="0"/>
                <w:bCs/>
                <w:color w:val="000000"/>
                <w:kern w:val="0"/>
                <w:sz w:val="28"/>
                <w:szCs w:val="28"/>
              </w:rPr>
              <w:t>序号</w:t>
            </w:r>
          </w:p>
        </w:tc>
        <w:tc>
          <w:tcPr>
            <w:tcW w:w="850" w:type="dxa"/>
            <w:tcBorders>
              <w:top w:val="single" w:color="auto" w:sz="4" w:space="0"/>
              <w:left w:val="nil"/>
              <w:bottom w:val="single" w:color="auto" w:sz="4" w:space="0"/>
              <w:right w:val="single" w:color="auto" w:sz="4" w:space="0"/>
            </w:tcBorders>
            <w:shd w:val="clear" w:color="auto" w:fill="auto"/>
            <w:vAlign w:val="center"/>
          </w:tcPr>
          <w:p>
            <w:pPr>
              <w:keepNext/>
              <w:widowControl/>
              <w:spacing w:line="480" w:lineRule="exact"/>
              <w:jc w:val="center"/>
              <w:rPr>
                <w:rFonts w:hint="default" w:ascii="Times New Roman" w:hAnsi="Times New Roman" w:eastAsia="方正黑体_GBK" w:cs="Times New Roman"/>
                <w:b w:val="0"/>
                <w:bCs/>
                <w:color w:val="000000"/>
                <w:kern w:val="0"/>
                <w:sz w:val="28"/>
                <w:szCs w:val="28"/>
              </w:rPr>
            </w:pPr>
            <w:r>
              <w:rPr>
                <w:rFonts w:hint="default" w:ascii="Times New Roman" w:hAnsi="Times New Roman" w:eastAsia="方正黑体_GBK" w:cs="Times New Roman"/>
                <w:b w:val="0"/>
                <w:bCs/>
                <w:color w:val="000000"/>
                <w:kern w:val="0"/>
                <w:sz w:val="28"/>
                <w:szCs w:val="28"/>
              </w:rPr>
              <w:t>避难场所类别</w:t>
            </w:r>
          </w:p>
        </w:tc>
        <w:tc>
          <w:tcPr>
            <w:tcW w:w="1701" w:type="dxa"/>
            <w:tcBorders>
              <w:top w:val="single" w:color="auto" w:sz="4" w:space="0"/>
              <w:left w:val="nil"/>
              <w:bottom w:val="single" w:color="auto" w:sz="4" w:space="0"/>
              <w:right w:val="single" w:color="auto" w:sz="4" w:space="0"/>
            </w:tcBorders>
            <w:shd w:val="clear" w:color="auto" w:fill="auto"/>
            <w:vAlign w:val="center"/>
          </w:tcPr>
          <w:p>
            <w:pPr>
              <w:keepNext/>
              <w:widowControl/>
              <w:spacing w:line="480" w:lineRule="exact"/>
              <w:jc w:val="center"/>
              <w:rPr>
                <w:rFonts w:hint="default" w:ascii="Times New Roman" w:hAnsi="Times New Roman" w:eastAsia="方正黑体_GBK" w:cs="Times New Roman"/>
                <w:b w:val="0"/>
                <w:bCs/>
                <w:color w:val="000000"/>
                <w:kern w:val="0"/>
                <w:sz w:val="28"/>
                <w:szCs w:val="28"/>
              </w:rPr>
            </w:pPr>
            <w:r>
              <w:rPr>
                <w:rFonts w:hint="default" w:ascii="Times New Roman" w:hAnsi="Times New Roman" w:eastAsia="方正黑体_GBK" w:cs="Times New Roman"/>
                <w:b w:val="0"/>
                <w:bCs/>
                <w:color w:val="000000"/>
                <w:kern w:val="0"/>
                <w:sz w:val="28"/>
                <w:szCs w:val="28"/>
              </w:rPr>
              <w:t>避难场所名称</w:t>
            </w:r>
          </w:p>
        </w:tc>
        <w:tc>
          <w:tcPr>
            <w:tcW w:w="959" w:type="dxa"/>
            <w:tcBorders>
              <w:top w:val="single" w:color="auto" w:sz="4" w:space="0"/>
              <w:left w:val="nil"/>
              <w:bottom w:val="single" w:color="auto" w:sz="4" w:space="0"/>
              <w:right w:val="single" w:color="auto" w:sz="4" w:space="0"/>
            </w:tcBorders>
            <w:shd w:val="clear" w:color="auto" w:fill="auto"/>
            <w:vAlign w:val="center"/>
          </w:tcPr>
          <w:p>
            <w:pPr>
              <w:keepNext/>
              <w:widowControl/>
              <w:spacing w:line="480" w:lineRule="exact"/>
              <w:jc w:val="center"/>
              <w:rPr>
                <w:rFonts w:hint="default" w:ascii="Times New Roman" w:hAnsi="Times New Roman" w:eastAsia="方正黑体_GBK" w:cs="Times New Roman"/>
                <w:b w:val="0"/>
                <w:bCs/>
                <w:color w:val="000000"/>
                <w:kern w:val="0"/>
                <w:sz w:val="28"/>
                <w:szCs w:val="28"/>
              </w:rPr>
            </w:pPr>
            <w:r>
              <w:rPr>
                <w:rFonts w:hint="default" w:ascii="Times New Roman" w:hAnsi="Times New Roman" w:eastAsia="方正黑体_GBK" w:cs="Times New Roman"/>
                <w:b w:val="0"/>
                <w:bCs/>
                <w:color w:val="000000"/>
                <w:kern w:val="0"/>
                <w:sz w:val="28"/>
                <w:szCs w:val="28"/>
              </w:rPr>
              <w:t>用地面积（ha）</w:t>
            </w:r>
          </w:p>
        </w:tc>
        <w:tc>
          <w:tcPr>
            <w:tcW w:w="1134" w:type="dxa"/>
            <w:tcBorders>
              <w:top w:val="single" w:color="auto" w:sz="4" w:space="0"/>
              <w:left w:val="nil"/>
              <w:bottom w:val="single" w:color="auto" w:sz="4" w:space="0"/>
              <w:right w:val="single" w:color="auto" w:sz="4" w:space="0"/>
            </w:tcBorders>
            <w:shd w:val="clear" w:color="auto" w:fill="auto"/>
            <w:vAlign w:val="center"/>
          </w:tcPr>
          <w:p>
            <w:pPr>
              <w:keepNext/>
              <w:widowControl/>
              <w:spacing w:line="480" w:lineRule="exact"/>
              <w:jc w:val="center"/>
              <w:rPr>
                <w:rFonts w:hint="default" w:ascii="Times New Roman" w:hAnsi="Times New Roman" w:eastAsia="方正黑体_GBK" w:cs="Times New Roman"/>
                <w:b w:val="0"/>
                <w:bCs/>
                <w:color w:val="000000"/>
                <w:kern w:val="0"/>
                <w:sz w:val="28"/>
                <w:szCs w:val="28"/>
              </w:rPr>
            </w:pPr>
            <w:r>
              <w:rPr>
                <w:rFonts w:hint="default" w:ascii="Times New Roman" w:hAnsi="Times New Roman" w:eastAsia="方正黑体_GBK" w:cs="Times New Roman"/>
                <w:b w:val="0"/>
                <w:bCs/>
                <w:color w:val="000000"/>
                <w:kern w:val="0"/>
                <w:sz w:val="28"/>
                <w:szCs w:val="28"/>
              </w:rPr>
              <w:t>有效用地面积（ha）</w:t>
            </w:r>
          </w:p>
        </w:tc>
        <w:tc>
          <w:tcPr>
            <w:tcW w:w="1167" w:type="dxa"/>
            <w:tcBorders>
              <w:top w:val="single" w:color="auto" w:sz="4" w:space="0"/>
              <w:left w:val="nil"/>
              <w:bottom w:val="single" w:color="auto" w:sz="4" w:space="0"/>
              <w:right w:val="single" w:color="auto" w:sz="4" w:space="0"/>
            </w:tcBorders>
            <w:shd w:val="clear" w:color="auto" w:fill="auto"/>
            <w:vAlign w:val="center"/>
          </w:tcPr>
          <w:p>
            <w:pPr>
              <w:keepNext/>
              <w:widowControl/>
              <w:spacing w:line="480" w:lineRule="exact"/>
              <w:jc w:val="center"/>
              <w:rPr>
                <w:rFonts w:hint="default" w:ascii="Times New Roman" w:hAnsi="Times New Roman" w:eastAsia="方正黑体_GBK" w:cs="Times New Roman"/>
                <w:b w:val="0"/>
                <w:bCs/>
                <w:color w:val="000000"/>
                <w:kern w:val="0"/>
                <w:sz w:val="28"/>
                <w:szCs w:val="28"/>
              </w:rPr>
            </w:pPr>
            <w:r>
              <w:rPr>
                <w:rFonts w:hint="default" w:ascii="Times New Roman" w:hAnsi="Times New Roman" w:eastAsia="方正黑体_GBK" w:cs="Times New Roman"/>
                <w:b w:val="0"/>
                <w:bCs/>
                <w:color w:val="000000"/>
                <w:kern w:val="0"/>
                <w:sz w:val="28"/>
                <w:szCs w:val="28"/>
              </w:rPr>
              <w:t>容纳暂时避难人口（万人）</w:t>
            </w:r>
          </w:p>
        </w:tc>
        <w:tc>
          <w:tcPr>
            <w:tcW w:w="1134" w:type="dxa"/>
            <w:tcBorders>
              <w:top w:val="single" w:color="auto" w:sz="4" w:space="0"/>
              <w:left w:val="nil"/>
              <w:bottom w:val="single" w:color="auto" w:sz="4" w:space="0"/>
              <w:right w:val="single" w:color="auto" w:sz="4" w:space="0"/>
            </w:tcBorders>
            <w:shd w:val="clear" w:color="auto" w:fill="auto"/>
            <w:vAlign w:val="center"/>
          </w:tcPr>
          <w:p>
            <w:pPr>
              <w:keepNext/>
              <w:widowControl/>
              <w:spacing w:line="480" w:lineRule="exact"/>
              <w:jc w:val="center"/>
              <w:rPr>
                <w:rFonts w:hint="default" w:ascii="Times New Roman" w:hAnsi="Times New Roman" w:eastAsia="方正黑体_GBK" w:cs="Times New Roman"/>
                <w:b w:val="0"/>
                <w:bCs/>
                <w:color w:val="000000"/>
                <w:kern w:val="0"/>
                <w:sz w:val="28"/>
                <w:szCs w:val="28"/>
              </w:rPr>
            </w:pPr>
            <w:r>
              <w:rPr>
                <w:rFonts w:hint="default" w:ascii="Times New Roman" w:hAnsi="Times New Roman" w:eastAsia="方正黑体_GBK" w:cs="Times New Roman"/>
                <w:b w:val="0"/>
                <w:bCs/>
                <w:color w:val="000000"/>
                <w:kern w:val="0"/>
                <w:sz w:val="28"/>
                <w:szCs w:val="28"/>
              </w:rPr>
              <w:t>疏散服务分区</w:t>
            </w:r>
          </w:p>
        </w:tc>
        <w:tc>
          <w:tcPr>
            <w:tcW w:w="1502" w:type="dxa"/>
            <w:tcBorders>
              <w:top w:val="single" w:color="auto" w:sz="4" w:space="0"/>
              <w:left w:val="nil"/>
              <w:bottom w:val="single" w:color="auto" w:sz="4" w:space="0"/>
              <w:right w:val="single" w:color="auto" w:sz="4" w:space="0"/>
            </w:tcBorders>
            <w:shd w:val="clear" w:color="auto" w:fill="auto"/>
            <w:vAlign w:val="center"/>
          </w:tcPr>
          <w:p>
            <w:pPr>
              <w:keepNext/>
              <w:widowControl/>
              <w:spacing w:line="480" w:lineRule="exact"/>
              <w:jc w:val="center"/>
              <w:rPr>
                <w:rFonts w:hint="default" w:ascii="Times New Roman" w:hAnsi="Times New Roman" w:eastAsia="方正黑体_GBK" w:cs="Times New Roman"/>
                <w:b w:val="0"/>
                <w:bCs/>
                <w:color w:val="000000"/>
                <w:kern w:val="0"/>
                <w:sz w:val="28"/>
                <w:szCs w:val="28"/>
              </w:rPr>
            </w:pPr>
            <w:r>
              <w:rPr>
                <w:rFonts w:hint="default" w:ascii="Times New Roman" w:hAnsi="Times New Roman" w:eastAsia="方正黑体_GBK" w:cs="Times New Roman"/>
                <w:b w:val="0"/>
                <w:bCs/>
                <w:color w:val="000000"/>
                <w:kern w:val="0"/>
                <w:sz w:val="28"/>
                <w:szCs w:val="28"/>
              </w:rPr>
              <w:t>所在控规</w:t>
            </w:r>
          </w:p>
          <w:p>
            <w:pPr>
              <w:keepNext/>
              <w:widowControl/>
              <w:spacing w:line="480" w:lineRule="exact"/>
              <w:jc w:val="center"/>
              <w:rPr>
                <w:rFonts w:hint="default" w:ascii="Times New Roman" w:hAnsi="Times New Roman" w:eastAsia="方正黑体_GBK" w:cs="Times New Roman"/>
                <w:b w:val="0"/>
                <w:bCs/>
                <w:color w:val="000000"/>
                <w:kern w:val="0"/>
                <w:sz w:val="28"/>
                <w:szCs w:val="28"/>
              </w:rPr>
            </w:pPr>
            <w:r>
              <w:rPr>
                <w:rFonts w:hint="default" w:ascii="Times New Roman" w:hAnsi="Times New Roman" w:eastAsia="方正黑体_GBK" w:cs="Times New Roman"/>
                <w:b w:val="0"/>
                <w:bCs/>
                <w:color w:val="000000"/>
                <w:kern w:val="0"/>
                <w:sz w:val="28"/>
                <w:szCs w:val="28"/>
              </w:rPr>
              <w:t>编号</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keepNext/>
              <w:widowControl/>
              <w:spacing w:line="480" w:lineRule="exact"/>
              <w:jc w:val="center"/>
              <w:rPr>
                <w:color w:val="000000"/>
                <w:kern w:val="0"/>
                <w:sz w:val="28"/>
                <w:szCs w:val="28"/>
              </w:rPr>
            </w:pPr>
            <w:r>
              <w:rPr>
                <w:color w:val="000000"/>
                <w:kern w:val="0"/>
                <w:sz w:val="28"/>
                <w:szCs w:val="28"/>
              </w:rPr>
              <w:t>1</w:t>
            </w:r>
          </w:p>
        </w:tc>
        <w:tc>
          <w:tcPr>
            <w:tcW w:w="850" w:type="dxa"/>
            <w:tcBorders>
              <w:top w:val="nil"/>
              <w:left w:val="nil"/>
              <w:bottom w:val="single" w:color="auto" w:sz="4" w:space="0"/>
              <w:right w:val="single" w:color="auto" w:sz="4" w:space="0"/>
            </w:tcBorders>
            <w:shd w:val="clear" w:color="auto" w:fill="auto"/>
            <w:vAlign w:val="center"/>
          </w:tcPr>
          <w:p>
            <w:pPr>
              <w:keepNext/>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keepNext/>
              <w:widowControl/>
              <w:spacing w:line="480" w:lineRule="exact"/>
              <w:jc w:val="center"/>
              <w:rPr>
                <w:kern w:val="0"/>
                <w:sz w:val="28"/>
                <w:szCs w:val="28"/>
              </w:rPr>
            </w:pPr>
            <w:r>
              <w:rPr>
                <w:kern w:val="0"/>
                <w:sz w:val="28"/>
                <w:szCs w:val="28"/>
              </w:rPr>
              <w:t>规划小学</w:t>
            </w:r>
          </w:p>
        </w:tc>
        <w:tc>
          <w:tcPr>
            <w:tcW w:w="959" w:type="dxa"/>
            <w:tcBorders>
              <w:top w:val="nil"/>
              <w:left w:val="nil"/>
              <w:bottom w:val="single" w:color="auto" w:sz="4" w:space="0"/>
              <w:right w:val="single" w:color="auto" w:sz="4" w:space="0"/>
            </w:tcBorders>
            <w:shd w:val="clear" w:color="auto" w:fill="auto"/>
            <w:vAlign w:val="center"/>
          </w:tcPr>
          <w:p>
            <w:pPr>
              <w:keepNext/>
              <w:widowControl/>
              <w:spacing w:line="480" w:lineRule="exact"/>
              <w:jc w:val="center"/>
              <w:rPr>
                <w:kern w:val="0"/>
                <w:sz w:val="28"/>
                <w:szCs w:val="28"/>
              </w:rPr>
            </w:pPr>
            <w:r>
              <w:rPr>
                <w:kern w:val="0"/>
                <w:sz w:val="28"/>
                <w:szCs w:val="28"/>
              </w:rPr>
              <w:t xml:space="preserve">3.17 </w:t>
            </w:r>
          </w:p>
        </w:tc>
        <w:tc>
          <w:tcPr>
            <w:tcW w:w="1134" w:type="dxa"/>
            <w:tcBorders>
              <w:top w:val="nil"/>
              <w:left w:val="nil"/>
              <w:bottom w:val="single" w:color="auto" w:sz="4" w:space="0"/>
              <w:right w:val="single" w:color="auto" w:sz="4" w:space="0"/>
            </w:tcBorders>
            <w:shd w:val="clear" w:color="auto" w:fill="auto"/>
            <w:vAlign w:val="center"/>
          </w:tcPr>
          <w:p>
            <w:pPr>
              <w:keepNext/>
              <w:widowControl/>
              <w:spacing w:line="480" w:lineRule="exact"/>
              <w:jc w:val="center"/>
              <w:rPr>
                <w:kern w:val="0"/>
                <w:sz w:val="28"/>
                <w:szCs w:val="28"/>
              </w:rPr>
            </w:pPr>
            <w:r>
              <w:rPr>
                <w:kern w:val="0"/>
                <w:sz w:val="28"/>
                <w:szCs w:val="28"/>
              </w:rPr>
              <w:t xml:space="preserve">1.27 </w:t>
            </w:r>
          </w:p>
        </w:tc>
        <w:tc>
          <w:tcPr>
            <w:tcW w:w="1167" w:type="dxa"/>
            <w:tcBorders>
              <w:top w:val="nil"/>
              <w:left w:val="nil"/>
              <w:bottom w:val="single" w:color="auto" w:sz="4" w:space="0"/>
              <w:right w:val="single" w:color="auto" w:sz="4" w:space="0"/>
            </w:tcBorders>
            <w:shd w:val="clear" w:color="auto" w:fill="auto"/>
            <w:vAlign w:val="center"/>
          </w:tcPr>
          <w:p>
            <w:pPr>
              <w:keepNext/>
              <w:widowControl/>
              <w:spacing w:line="480" w:lineRule="exact"/>
              <w:jc w:val="center"/>
              <w:rPr>
                <w:kern w:val="0"/>
                <w:sz w:val="28"/>
                <w:szCs w:val="28"/>
              </w:rPr>
            </w:pPr>
            <w:r>
              <w:rPr>
                <w:kern w:val="0"/>
                <w:sz w:val="28"/>
                <w:szCs w:val="28"/>
              </w:rPr>
              <w:t xml:space="preserve">0.85 </w:t>
            </w:r>
          </w:p>
        </w:tc>
        <w:tc>
          <w:tcPr>
            <w:tcW w:w="1134" w:type="dxa"/>
            <w:tcBorders>
              <w:top w:val="nil"/>
              <w:left w:val="nil"/>
              <w:bottom w:val="single" w:color="auto" w:sz="4" w:space="0"/>
              <w:right w:val="single" w:color="auto" w:sz="4" w:space="0"/>
            </w:tcBorders>
            <w:shd w:val="clear" w:color="auto" w:fill="auto"/>
            <w:vAlign w:val="center"/>
          </w:tcPr>
          <w:p>
            <w:pPr>
              <w:keepNext/>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kern w:val="0"/>
                <w:sz w:val="28"/>
                <w:szCs w:val="28"/>
              </w:rPr>
            </w:pPr>
            <w:r>
              <w:rPr>
                <w:kern w:val="0"/>
                <w:sz w:val="28"/>
                <w:szCs w:val="28"/>
              </w:rPr>
              <w:t>东部新城片区</w:t>
            </w:r>
          </w:p>
        </w:tc>
        <w:tc>
          <w:tcPr>
            <w:tcW w:w="1502" w:type="dxa"/>
            <w:tcBorders>
              <w:top w:val="nil"/>
              <w:left w:val="nil"/>
              <w:bottom w:val="single" w:color="auto" w:sz="4" w:space="0"/>
              <w:right w:val="single" w:color="auto" w:sz="4" w:space="0"/>
            </w:tcBorders>
            <w:shd w:val="clear" w:color="auto" w:fill="auto"/>
            <w:vAlign w:val="center"/>
          </w:tcPr>
          <w:p>
            <w:pPr>
              <w:keepNext/>
              <w:widowControl/>
              <w:spacing w:line="480" w:lineRule="exact"/>
              <w:jc w:val="center"/>
              <w:rPr>
                <w:kern w:val="0"/>
                <w:sz w:val="28"/>
                <w:szCs w:val="28"/>
              </w:rPr>
            </w:pPr>
            <w:r>
              <w:rPr>
                <w:kern w:val="0"/>
                <w:sz w:val="28"/>
                <w:szCs w:val="28"/>
              </w:rPr>
              <w:t>V07-3/02</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keepNext/>
              <w:widowControl/>
              <w:spacing w:line="480" w:lineRule="exact"/>
              <w:jc w:val="center"/>
              <w:rPr>
                <w:color w:val="000000"/>
                <w:kern w:val="0"/>
                <w:sz w:val="28"/>
                <w:szCs w:val="28"/>
              </w:rPr>
            </w:pPr>
            <w:r>
              <w:rPr>
                <w:color w:val="000000"/>
                <w:kern w:val="0"/>
                <w:sz w:val="28"/>
                <w:szCs w:val="28"/>
              </w:rPr>
              <w:t>2</w:t>
            </w:r>
          </w:p>
        </w:tc>
        <w:tc>
          <w:tcPr>
            <w:tcW w:w="850" w:type="dxa"/>
            <w:tcBorders>
              <w:top w:val="nil"/>
              <w:left w:val="nil"/>
              <w:bottom w:val="single" w:color="auto" w:sz="4" w:space="0"/>
              <w:right w:val="single" w:color="auto" w:sz="4" w:space="0"/>
            </w:tcBorders>
            <w:shd w:val="clear" w:color="auto" w:fill="auto"/>
            <w:vAlign w:val="center"/>
          </w:tcPr>
          <w:p>
            <w:pPr>
              <w:keepNext/>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keepNext/>
              <w:widowControl/>
              <w:spacing w:line="480" w:lineRule="exact"/>
              <w:jc w:val="center"/>
              <w:rPr>
                <w:kern w:val="0"/>
                <w:sz w:val="28"/>
                <w:szCs w:val="28"/>
              </w:rPr>
            </w:pPr>
            <w:r>
              <w:rPr>
                <w:kern w:val="0"/>
                <w:sz w:val="28"/>
                <w:szCs w:val="28"/>
              </w:rPr>
              <w:t>规划滨河公园</w:t>
            </w:r>
          </w:p>
        </w:tc>
        <w:tc>
          <w:tcPr>
            <w:tcW w:w="959" w:type="dxa"/>
            <w:tcBorders>
              <w:top w:val="nil"/>
              <w:left w:val="nil"/>
              <w:bottom w:val="single" w:color="auto" w:sz="4" w:space="0"/>
              <w:right w:val="single" w:color="auto" w:sz="4" w:space="0"/>
            </w:tcBorders>
            <w:shd w:val="clear" w:color="auto" w:fill="auto"/>
            <w:vAlign w:val="center"/>
          </w:tcPr>
          <w:p>
            <w:pPr>
              <w:keepNext/>
              <w:widowControl/>
              <w:spacing w:line="480" w:lineRule="exact"/>
              <w:jc w:val="center"/>
              <w:rPr>
                <w:kern w:val="0"/>
                <w:sz w:val="28"/>
                <w:szCs w:val="28"/>
              </w:rPr>
            </w:pPr>
            <w:r>
              <w:rPr>
                <w:kern w:val="0"/>
                <w:sz w:val="28"/>
                <w:szCs w:val="28"/>
              </w:rPr>
              <w:t xml:space="preserve">27.91 </w:t>
            </w:r>
          </w:p>
        </w:tc>
        <w:tc>
          <w:tcPr>
            <w:tcW w:w="1134" w:type="dxa"/>
            <w:tcBorders>
              <w:top w:val="nil"/>
              <w:left w:val="nil"/>
              <w:bottom w:val="single" w:color="auto" w:sz="4" w:space="0"/>
              <w:right w:val="single" w:color="auto" w:sz="4" w:space="0"/>
            </w:tcBorders>
            <w:shd w:val="clear" w:color="auto" w:fill="auto"/>
            <w:vAlign w:val="center"/>
          </w:tcPr>
          <w:p>
            <w:pPr>
              <w:keepNext/>
              <w:widowControl/>
              <w:spacing w:line="480" w:lineRule="exact"/>
              <w:jc w:val="center"/>
              <w:rPr>
                <w:kern w:val="0"/>
                <w:sz w:val="28"/>
                <w:szCs w:val="28"/>
              </w:rPr>
            </w:pPr>
            <w:r>
              <w:rPr>
                <w:kern w:val="0"/>
                <w:sz w:val="28"/>
                <w:szCs w:val="28"/>
              </w:rPr>
              <w:t xml:space="preserve">5.58 </w:t>
            </w:r>
          </w:p>
        </w:tc>
        <w:tc>
          <w:tcPr>
            <w:tcW w:w="1167" w:type="dxa"/>
            <w:tcBorders>
              <w:top w:val="nil"/>
              <w:left w:val="nil"/>
              <w:bottom w:val="single" w:color="auto" w:sz="4" w:space="0"/>
              <w:right w:val="single" w:color="auto" w:sz="4" w:space="0"/>
            </w:tcBorders>
            <w:shd w:val="clear" w:color="auto" w:fill="auto"/>
            <w:vAlign w:val="center"/>
          </w:tcPr>
          <w:p>
            <w:pPr>
              <w:keepNext/>
              <w:widowControl/>
              <w:spacing w:line="480" w:lineRule="exact"/>
              <w:jc w:val="center"/>
              <w:rPr>
                <w:kern w:val="0"/>
                <w:sz w:val="28"/>
                <w:szCs w:val="28"/>
              </w:rPr>
            </w:pPr>
            <w:r>
              <w:rPr>
                <w:kern w:val="0"/>
                <w:sz w:val="28"/>
                <w:szCs w:val="28"/>
              </w:rPr>
              <w:t xml:space="preserve">3.72 </w:t>
            </w:r>
          </w:p>
        </w:tc>
        <w:tc>
          <w:tcPr>
            <w:tcW w:w="1134" w:type="dxa"/>
            <w:tcBorders>
              <w:top w:val="nil"/>
              <w:left w:val="nil"/>
              <w:bottom w:val="single" w:color="auto" w:sz="4" w:space="0"/>
              <w:right w:val="single" w:color="auto" w:sz="4" w:space="0"/>
            </w:tcBorders>
            <w:shd w:val="clear" w:color="auto" w:fill="auto"/>
            <w:vAlign w:val="center"/>
          </w:tcPr>
          <w:p>
            <w:pPr>
              <w:keepNext/>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kern w:val="0"/>
                <w:sz w:val="28"/>
                <w:szCs w:val="28"/>
              </w:rPr>
            </w:pPr>
            <w:r>
              <w:rPr>
                <w:kern w:val="0"/>
                <w:sz w:val="28"/>
                <w:szCs w:val="28"/>
              </w:rPr>
              <w:t>东部新城片区</w:t>
            </w:r>
          </w:p>
        </w:tc>
        <w:tc>
          <w:tcPr>
            <w:tcW w:w="1502" w:type="dxa"/>
            <w:tcBorders>
              <w:top w:val="nil"/>
              <w:left w:val="nil"/>
              <w:bottom w:val="single" w:color="auto" w:sz="4" w:space="0"/>
              <w:right w:val="single" w:color="auto" w:sz="4" w:space="0"/>
            </w:tcBorders>
            <w:shd w:val="clear" w:color="auto" w:fill="auto"/>
            <w:vAlign w:val="center"/>
          </w:tcPr>
          <w:p>
            <w:pPr>
              <w:keepNext/>
              <w:widowControl/>
              <w:spacing w:line="480" w:lineRule="exact"/>
              <w:jc w:val="center"/>
              <w:rPr>
                <w:kern w:val="0"/>
                <w:sz w:val="28"/>
                <w:szCs w:val="28"/>
              </w:rPr>
            </w:pPr>
            <w:r>
              <w:rPr>
                <w:kern w:val="0"/>
                <w:sz w:val="28"/>
                <w:szCs w:val="28"/>
              </w:rPr>
              <w:t>W01-1/02、W01-2/01</w:t>
            </w:r>
          </w:p>
        </w:tc>
      </w:tr>
      <w:tr>
        <w:tblPrEx>
          <w:tblLayout w:type="fixed"/>
          <w:tblCellMar>
            <w:top w:w="0" w:type="dxa"/>
            <w:left w:w="0" w:type="dxa"/>
            <w:bottom w:w="0" w:type="dxa"/>
            <w:right w:w="0" w:type="dxa"/>
          </w:tblCellMar>
        </w:tblPrEx>
        <w:trPr>
          <w:trHeight w:val="878"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3</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规划广场用地</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2.85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1.71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1.14 </w:t>
            </w:r>
          </w:p>
        </w:tc>
        <w:tc>
          <w:tcPr>
            <w:tcW w:w="1134" w:type="dxa"/>
            <w:tcBorders>
              <w:top w:val="nil"/>
              <w:left w:val="nil"/>
              <w:bottom w:val="single" w:color="auto" w:sz="4" w:space="0"/>
              <w:right w:val="single" w:color="auto" w:sz="4" w:space="0"/>
            </w:tcBorders>
            <w:shd w:val="clear" w:color="auto" w:fill="auto"/>
            <w:vAlign w:val="center"/>
          </w:tcPr>
          <w:p>
            <w:pPr>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kern w:val="0"/>
                <w:sz w:val="28"/>
                <w:szCs w:val="28"/>
              </w:rPr>
            </w:pPr>
            <w:r>
              <w:rPr>
                <w:kern w:val="0"/>
                <w:sz w:val="28"/>
                <w:szCs w:val="28"/>
              </w:rPr>
              <w:t>东部新城片区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R02-3/01</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4</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通惠河滨河绿地</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15.22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3.04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2.03 </w:t>
            </w:r>
          </w:p>
        </w:tc>
        <w:tc>
          <w:tcPr>
            <w:tcW w:w="1134" w:type="dxa"/>
            <w:tcBorders>
              <w:top w:val="nil"/>
              <w:left w:val="nil"/>
              <w:bottom w:val="single" w:color="auto" w:sz="4" w:space="0"/>
              <w:right w:val="single" w:color="auto" w:sz="4" w:space="0"/>
            </w:tcBorders>
            <w:shd w:val="clear" w:color="auto" w:fill="auto"/>
            <w:vAlign w:val="center"/>
          </w:tcPr>
          <w:p>
            <w:pPr>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kern w:val="0"/>
                <w:sz w:val="28"/>
                <w:szCs w:val="28"/>
              </w:rPr>
            </w:pPr>
            <w:r>
              <w:rPr>
                <w:kern w:val="0"/>
                <w:sz w:val="28"/>
                <w:szCs w:val="28"/>
              </w:rPr>
              <w:t>东部新城片区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D03-3/03、I03-4/03、I03-3/03</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5</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规划公园绿地</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13.13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2.63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1.75 </w:t>
            </w:r>
          </w:p>
        </w:tc>
        <w:tc>
          <w:tcPr>
            <w:tcW w:w="1134" w:type="dxa"/>
            <w:tcBorders>
              <w:top w:val="nil"/>
              <w:left w:val="nil"/>
              <w:bottom w:val="single" w:color="auto" w:sz="4" w:space="0"/>
              <w:right w:val="single" w:color="auto" w:sz="4" w:space="0"/>
            </w:tcBorders>
            <w:shd w:val="clear" w:color="auto" w:fill="auto"/>
            <w:vAlign w:val="center"/>
          </w:tcPr>
          <w:p>
            <w:pPr>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kern w:val="0"/>
                <w:sz w:val="28"/>
                <w:szCs w:val="28"/>
              </w:rPr>
            </w:pPr>
            <w:r>
              <w:rPr>
                <w:kern w:val="0"/>
                <w:sz w:val="28"/>
                <w:szCs w:val="28"/>
              </w:rPr>
              <w:t>东部新城片区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P06-1/02</w:t>
            </w:r>
          </w:p>
        </w:tc>
      </w:tr>
      <w:tr>
        <w:tblPrEx>
          <w:tblLayout w:type="fixed"/>
          <w:tblCellMar>
            <w:top w:w="0" w:type="dxa"/>
            <w:left w:w="0" w:type="dxa"/>
            <w:bottom w:w="0" w:type="dxa"/>
            <w:right w:w="0" w:type="dxa"/>
          </w:tblCellMar>
        </w:tblPrEx>
        <w:trPr>
          <w:trHeight w:val="1055"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6</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陵园小学（通惠校区）</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2.20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0.88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0.59 </w:t>
            </w:r>
          </w:p>
        </w:tc>
        <w:tc>
          <w:tcPr>
            <w:tcW w:w="1134" w:type="dxa"/>
            <w:tcBorders>
              <w:top w:val="nil"/>
              <w:left w:val="nil"/>
              <w:bottom w:val="single" w:color="auto" w:sz="4" w:space="0"/>
              <w:right w:val="single" w:color="auto" w:sz="4" w:space="0"/>
            </w:tcBorders>
            <w:shd w:val="clear" w:color="auto" w:fill="auto"/>
            <w:vAlign w:val="center"/>
          </w:tcPr>
          <w:p>
            <w:pPr>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kern w:val="0"/>
                <w:sz w:val="28"/>
                <w:szCs w:val="28"/>
              </w:rPr>
            </w:pPr>
            <w:r>
              <w:rPr>
                <w:kern w:val="0"/>
                <w:sz w:val="28"/>
                <w:szCs w:val="28"/>
              </w:rPr>
              <w:t>东部新城片区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L01-07/03</w:t>
            </w:r>
          </w:p>
        </w:tc>
      </w:tr>
      <w:tr>
        <w:tblPrEx>
          <w:tblLayout w:type="fixed"/>
          <w:tblCellMar>
            <w:top w:w="0" w:type="dxa"/>
            <w:left w:w="0" w:type="dxa"/>
            <w:bottom w:w="0" w:type="dxa"/>
            <w:right w:w="0" w:type="dxa"/>
          </w:tblCellMar>
        </w:tblPrEx>
        <w:trPr>
          <w:trHeight w:val="962"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7</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通惠小学</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3.02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1.21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0.81 </w:t>
            </w:r>
          </w:p>
        </w:tc>
        <w:tc>
          <w:tcPr>
            <w:tcW w:w="1134" w:type="dxa"/>
            <w:tcBorders>
              <w:top w:val="nil"/>
              <w:left w:val="nil"/>
              <w:bottom w:val="single" w:color="auto" w:sz="4" w:space="0"/>
              <w:right w:val="single" w:color="auto" w:sz="4" w:space="0"/>
            </w:tcBorders>
            <w:shd w:val="clear" w:color="auto" w:fill="auto"/>
            <w:vAlign w:val="center"/>
          </w:tcPr>
          <w:p>
            <w:pPr>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kern w:val="0"/>
                <w:sz w:val="28"/>
                <w:szCs w:val="28"/>
              </w:rPr>
            </w:pPr>
            <w:r>
              <w:rPr>
                <w:kern w:val="0"/>
                <w:sz w:val="28"/>
                <w:szCs w:val="28"/>
              </w:rPr>
              <w:t>东部新城片区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C01-2/03</w:t>
            </w:r>
          </w:p>
        </w:tc>
      </w:tr>
      <w:tr>
        <w:tblPrEx>
          <w:tblLayout w:type="fixed"/>
          <w:tblCellMar>
            <w:top w:w="0" w:type="dxa"/>
            <w:left w:w="0" w:type="dxa"/>
            <w:bottom w:w="0" w:type="dxa"/>
            <w:right w:w="0" w:type="dxa"/>
          </w:tblCellMar>
        </w:tblPrEx>
        <w:trPr>
          <w:trHeight w:val="1179"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8</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通惠高中</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2.38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0.95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0.63 </w:t>
            </w:r>
          </w:p>
        </w:tc>
        <w:tc>
          <w:tcPr>
            <w:tcW w:w="1134" w:type="dxa"/>
            <w:tcBorders>
              <w:top w:val="nil"/>
              <w:left w:val="nil"/>
              <w:bottom w:val="single" w:color="auto" w:sz="4" w:space="0"/>
              <w:right w:val="single" w:color="auto" w:sz="4" w:space="0"/>
            </w:tcBorders>
            <w:shd w:val="clear" w:color="auto" w:fill="auto"/>
            <w:vAlign w:val="center"/>
          </w:tcPr>
          <w:p>
            <w:pPr>
              <w:keepLines w:val="0"/>
              <w:pageBreakBefore w:val="0"/>
              <w:widowControl/>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kern w:val="0"/>
                <w:sz w:val="28"/>
                <w:szCs w:val="28"/>
              </w:rPr>
            </w:pPr>
            <w:r>
              <w:rPr>
                <w:kern w:val="0"/>
                <w:sz w:val="28"/>
                <w:szCs w:val="28"/>
              </w:rPr>
              <w:t>东部新城片区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B03-2/03</w:t>
            </w:r>
          </w:p>
        </w:tc>
      </w:tr>
      <w:tr>
        <w:tblPrEx>
          <w:tblLayout w:type="fixed"/>
          <w:tblCellMar>
            <w:top w:w="0" w:type="dxa"/>
            <w:left w:w="0" w:type="dxa"/>
            <w:bottom w:w="0" w:type="dxa"/>
            <w:right w:w="0" w:type="dxa"/>
          </w:tblCellMar>
        </w:tblPrEx>
        <w:trPr>
          <w:trHeight w:val="67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9</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文龙小学</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1.53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0.61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0.41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东部新城片区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D02-4/03</w:t>
            </w:r>
          </w:p>
        </w:tc>
      </w:tr>
      <w:tr>
        <w:tblPrEx>
          <w:tblLayout w:type="fixed"/>
          <w:tblCellMar>
            <w:top w:w="0" w:type="dxa"/>
            <w:left w:w="0" w:type="dxa"/>
            <w:bottom w:w="0" w:type="dxa"/>
            <w:right w:w="0" w:type="dxa"/>
          </w:tblCellMar>
        </w:tblPrEx>
        <w:trPr>
          <w:trHeight w:val="2175"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10</w:t>
            </w:r>
          </w:p>
        </w:tc>
        <w:tc>
          <w:tcPr>
            <w:tcW w:w="850"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kern w:val="0"/>
                <w:sz w:val="28"/>
                <w:szCs w:val="28"/>
              </w:rPr>
            </w:pPr>
            <w:r>
              <w:rPr>
                <w:kern w:val="0"/>
                <w:sz w:val="28"/>
                <w:szCs w:val="28"/>
              </w:rPr>
              <w:t>规划滨河公园绿地</w:t>
            </w:r>
          </w:p>
        </w:tc>
        <w:tc>
          <w:tcPr>
            <w:tcW w:w="959"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kern w:val="0"/>
                <w:sz w:val="28"/>
                <w:szCs w:val="28"/>
              </w:rPr>
            </w:pPr>
            <w:r>
              <w:rPr>
                <w:kern w:val="0"/>
                <w:sz w:val="28"/>
                <w:szCs w:val="28"/>
              </w:rPr>
              <w:t xml:space="preserve">13.64 </w:t>
            </w:r>
          </w:p>
        </w:tc>
        <w:tc>
          <w:tcPr>
            <w:tcW w:w="11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kern w:val="0"/>
                <w:sz w:val="28"/>
                <w:szCs w:val="28"/>
              </w:rPr>
            </w:pPr>
            <w:r>
              <w:rPr>
                <w:kern w:val="0"/>
                <w:sz w:val="28"/>
                <w:szCs w:val="28"/>
              </w:rPr>
              <w:t xml:space="preserve">2.73 </w:t>
            </w:r>
          </w:p>
        </w:tc>
        <w:tc>
          <w:tcPr>
            <w:tcW w:w="116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kern w:val="0"/>
                <w:sz w:val="28"/>
                <w:szCs w:val="28"/>
              </w:rPr>
            </w:pPr>
            <w:r>
              <w:rPr>
                <w:kern w:val="0"/>
                <w:sz w:val="28"/>
                <w:szCs w:val="28"/>
              </w:rPr>
              <w:t xml:space="preserve">1.82 </w:t>
            </w:r>
          </w:p>
        </w:tc>
        <w:tc>
          <w:tcPr>
            <w:tcW w:w="1134"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kern w:val="0"/>
                <w:sz w:val="28"/>
                <w:szCs w:val="28"/>
              </w:rPr>
            </w:pPr>
            <w:r>
              <w:rPr>
                <w:kern w:val="0"/>
                <w:sz w:val="28"/>
                <w:szCs w:val="28"/>
              </w:rPr>
              <w:t>食品园区</w:t>
            </w:r>
          </w:p>
        </w:tc>
        <w:tc>
          <w:tcPr>
            <w:tcW w:w="1502"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eastAsia"/>
                <w:lang w:val="en-US" w:eastAsia="zh-CN"/>
              </w:rPr>
            </w:pPr>
            <w:r>
              <w:t>A1-2/02、A3-1/02、A12-1/02</w:t>
            </w:r>
            <w:r>
              <w:rPr>
                <w:rFonts w:hint="eastAsia"/>
                <w:lang w:val="en-US" w:eastAsia="zh-CN"/>
              </w:rPr>
              <w:t>、</w:t>
            </w:r>
          </w:p>
          <w:p>
            <w:pPr>
              <w:pStyle w:val="2"/>
              <w:spacing w:line="400" w:lineRule="exact"/>
              <w:ind w:firstLine="0" w:firstLineChars="0"/>
              <w:rPr>
                <w:rFonts w:hint="eastAsia"/>
                <w:kern w:val="0"/>
                <w:sz w:val="28"/>
                <w:szCs w:val="28"/>
                <w:lang w:eastAsia="zh-CN"/>
              </w:rPr>
            </w:pPr>
            <w:r>
              <w:rPr>
                <w:kern w:val="0"/>
                <w:sz w:val="28"/>
                <w:szCs w:val="28"/>
              </w:rPr>
              <w:t>A1</w:t>
            </w:r>
            <w:r>
              <w:rPr>
                <w:rFonts w:hint="eastAsia"/>
                <w:kern w:val="0"/>
                <w:sz w:val="28"/>
                <w:szCs w:val="28"/>
                <w:lang w:val="en-US" w:eastAsia="zh-CN"/>
              </w:rPr>
              <w:t>0</w:t>
            </w:r>
            <w:r>
              <w:rPr>
                <w:kern w:val="0"/>
                <w:sz w:val="28"/>
                <w:szCs w:val="28"/>
              </w:rPr>
              <w:t>-</w:t>
            </w:r>
            <w:r>
              <w:rPr>
                <w:rFonts w:hint="eastAsia"/>
                <w:kern w:val="0"/>
                <w:sz w:val="28"/>
                <w:szCs w:val="28"/>
                <w:lang w:val="en-US" w:eastAsia="zh-CN"/>
              </w:rPr>
              <w:t>3</w:t>
            </w:r>
            <w:r>
              <w:rPr>
                <w:kern w:val="0"/>
                <w:sz w:val="28"/>
                <w:szCs w:val="28"/>
              </w:rPr>
              <w:t>/02</w:t>
            </w:r>
            <w:r>
              <w:rPr>
                <w:rFonts w:hint="eastAsia"/>
                <w:kern w:val="0"/>
                <w:sz w:val="28"/>
                <w:szCs w:val="28"/>
                <w:lang w:eastAsia="zh-CN"/>
              </w:rPr>
              <w:t>、</w:t>
            </w:r>
          </w:p>
          <w:p>
            <w:pPr>
              <w:pStyle w:val="2"/>
              <w:spacing w:line="400" w:lineRule="exact"/>
              <w:ind w:firstLine="0" w:firstLineChars="0"/>
              <w:rPr>
                <w:rFonts w:hint="eastAsia"/>
                <w:kern w:val="0"/>
                <w:sz w:val="28"/>
                <w:szCs w:val="28"/>
                <w:lang w:val="en-US" w:eastAsia="zh-CN"/>
              </w:rPr>
            </w:pPr>
            <w:r>
              <w:rPr>
                <w:kern w:val="0"/>
                <w:sz w:val="28"/>
                <w:szCs w:val="28"/>
              </w:rPr>
              <w:t>A1</w:t>
            </w:r>
            <w:r>
              <w:rPr>
                <w:rFonts w:hint="eastAsia"/>
                <w:kern w:val="0"/>
                <w:sz w:val="28"/>
                <w:szCs w:val="28"/>
                <w:lang w:val="en-US" w:eastAsia="zh-CN"/>
              </w:rPr>
              <w:t>0</w:t>
            </w:r>
            <w:r>
              <w:rPr>
                <w:kern w:val="0"/>
                <w:sz w:val="28"/>
                <w:szCs w:val="28"/>
              </w:rPr>
              <w:t>-</w:t>
            </w:r>
            <w:r>
              <w:rPr>
                <w:rFonts w:hint="eastAsia"/>
                <w:kern w:val="0"/>
                <w:sz w:val="28"/>
                <w:szCs w:val="28"/>
                <w:lang w:val="en-US" w:eastAsia="zh-CN"/>
              </w:rPr>
              <w:t>4</w:t>
            </w:r>
            <w:r>
              <w:rPr>
                <w:kern w:val="0"/>
                <w:sz w:val="28"/>
                <w:szCs w:val="28"/>
              </w:rPr>
              <w:t>/02</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11</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spacing w:val="-23"/>
                <w:kern w:val="0"/>
                <w:sz w:val="28"/>
                <w:szCs w:val="28"/>
              </w:rPr>
            </w:pPr>
            <w:r>
              <w:rPr>
                <w:spacing w:val="-23"/>
                <w:kern w:val="0"/>
                <w:sz w:val="28"/>
                <w:szCs w:val="28"/>
              </w:rPr>
              <w:t>规划公园绿地1</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11.57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2.31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1.54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共同片区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B16-2/01</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12</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spacing w:val="-23"/>
                <w:kern w:val="0"/>
                <w:sz w:val="28"/>
                <w:szCs w:val="28"/>
              </w:rPr>
            </w:pPr>
            <w:r>
              <w:rPr>
                <w:spacing w:val="-23"/>
                <w:kern w:val="0"/>
                <w:sz w:val="28"/>
                <w:szCs w:val="28"/>
              </w:rPr>
              <w:t>规划公园绿地2</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3.38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0.68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0.45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共同片区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B16-5/01</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13</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spacing w:val="-23"/>
                <w:kern w:val="0"/>
                <w:sz w:val="28"/>
                <w:szCs w:val="28"/>
              </w:rPr>
            </w:pPr>
            <w:r>
              <w:rPr>
                <w:spacing w:val="-23"/>
                <w:kern w:val="0"/>
                <w:sz w:val="28"/>
                <w:szCs w:val="28"/>
              </w:rPr>
              <w:t>规划公园绿地3</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12.04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2.41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1.61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共同片区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B2-5/01</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14</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规划小学1</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3.53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1.41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0.94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共同片区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B1-2/01</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15</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规划中学</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4.20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1.68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1.12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共同片区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B1-3/01</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16</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规划小学2</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3.22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1.29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0.86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共同片区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B21-1/03</w:t>
            </w:r>
          </w:p>
        </w:tc>
      </w:tr>
      <w:tr>
        <w:tblPrEx>
          <w:tblLayout w:type="fixed"/>
          <w:tblCellMar>
            <w:top w:w="0" w:type="dxa"/>
            <w:left w:w="0" w:type="dxa"/>
            <w:bottom w:w="0" w:type="dxa"/>
            <w:right w:w="0" w:type="dxa"/>
          </w:tblCellMar>
        </w:tblPrEx>
        <w:trPr>
          <w:trHeight w:val="105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17</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九龙小学</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2.10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0.84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0.56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九龙片区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A04-07/02、A04-08/02</w:t>
            </w:r>
          </w:p>
        </w:tc>
      </w:tr>
      <w:tr>
        <w:tblPrEx>
          <w:tblLayout w:type="fixed"/>
          <w:tblCellMar>
            <w:top w:w="0" w:type="dxa"/>
            <w:left w:w="0" w:type="dxa"/>
            <w:bottom w:w="0" w:type="dxa"/>
            <w:right w:w="0" w:type="dxa"/>
          </w:tblCellMar>
        </w:tblPrEx>
        <w:trPr>
          <w:trHeight w:val="3975"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18</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沙溪河滨河防护绿地</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7.</w:t>
            </w:r>
            <w:r>
              <w:rPr>
                <w:rFonts w:hint="eastAsia"/>
                <w:kern w:val="0"/>
                <w:sz w:val="28"/>
                <w:szCs w:val="28"/>
                <w:lang w:val="en-US" w:eastAsia="zh-CN"/>
              </w:rPr>
              <w:t>66</w:t>
            </w:r>
            <w:r>
              <w:rPr>
                <w:kern w:val="0"/>
                <w:sz w:val="28"/>
                <w:szCs w:val="28"/>
              </w:rPr>
              <w:t xml:space="preserve">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1.</w:t>
            </w:r>
            <w:r>
              <w:rPr>
                <w:rFonts w:hint="eastAsia"/>
                <w:kern w:val="0"/>
                <w:sz w:val="28"/>
                <w:szCs w:val="28"/>
                <w:lang w:val="en-US" w:eastAsia="zh-CN"/>
              </w:rPr>
              <w:t>53</w:t>
            </w:r>
            <w:r>
              <w:rPr>
                <w:kern w:val="0"/>
                <w:sz w:val="28"/>
                <w:szCs w:val="28"/>
              </w:rPr>
              <w:t xml:space="preserve">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rFonts w:hint="eastAsia"/>
                <w:color w:val="000000"/>
                <w:kern w:val="0"/>
                <w:sz w:val="28"/>
                <w:szCs w:val="28"/>
                <w:lang w:val="en-US" w:eastAsia="zh-CN"/>
              </w:rPr>
              <w:t>1</w:t>
            </w:r>
            <w:r>
              <w:rPr>
                <w:color w:val="000000"/>
                <w:kern w:val="0"/>
                <w:sz w:val="28"/>
                <w:szCs w:val="28"/>
              </w:rPr>
              <w:t>.</w:t>
            </w:r>
            <w:r>
              <w:rPr>
                <w:rFonts w:hint="eastAsia"/>
                <w:color w:val="000000"/>
                <w:kern w:val="0"/>
                <w:sz w:val="28"/>
                <w:szCs w:val="28"/>
                <w:lang w:val="en-US" w:eastAsia="zh-CN"/>
              </w:rPr>
              <w:t>02</w:t>
            </w:r>
            <w:r>
              <w:rPr>
                <w:color w:val="000000"/>
                <w:kern w:val="0"/>
                <w:sz w:val="28"/>
                <w:szCs w:val="28"/>
              </w:rPr>
              <w:t xml:space="preserve">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九龙片区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B01-07/02、B01-09/02、C01-02/02、C01-03/02、B01-10/02、C01-04/02、C01-06/02、C01-07/03</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19</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公园绿地</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10.63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2.13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1.42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九龙片区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C01-09/03</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20</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规</w:t>
            </w:r>
            <w:r>
              <w:rPr>
                <w:spacing w:val="-17"/>
                <w:kern w:val="0"/>
                <w:sz w:val="28"/>
                <w:szCs w:val="28"/>
              </w:rPr>
              <w:t>划公园绿地1</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1.74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0.35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0.23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沙溪片区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A4-3/02</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21</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规划小学</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4.28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1.71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1.14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沙溪片区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A5-3/02</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22</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沙溪小学</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1.78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0.71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0.47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沙溪片区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B3-1/02</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23</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spacing w:val="-17"/>
                <w:kern w:val="0"/>
                <w:sz w:val="28"/>
                <w:szCs w:val="28"/>
              </w:rPr>
              <w:t>规划公园绿地2</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9.12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1.82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1.22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沙溪片区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B3-4/02</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24</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綦江体育馆</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0.88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0.53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0.35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高速路口至党校片区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A01-04/01</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25</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营盘山广场</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rFonts w:hint="default" w:eastAsia="方正仿宋_GBK"/>
                <w:color w:val="000000"/>
                <w:kern w:val="0"/>
                <w:sz w:val="28"/>
                <w:szCs w:val="28"/>
                <w:lang w:val="en-US" w:eastAsia="zh-CN"/>
              </w:rPr>
            </w:pPr>
            <w:r>
              <w:rPr>
                <w:rFonts w:hint="eastAsia"/>
                <w:color w:val="000000"/>
                <w:kern w:val="0"/>
                <w:sz w:val="28"/>
                <w:szCs w:val="28"/>
                <w:lang w:val="en-US" w:eastAsia="zh-CN"/>
              </w:rPr>
              <w:t>1.7</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rFonts w:hint="default" w:eastAsia="方正仿宋_GBK"/>
                <w:color w:val="000000"/>
                <w:kern w:val="0"/>
                <w:sz w:val="28"/>
                <w:szCs w:val="28"/>
                <w:lang w:val="en-US" w:eastAsia="zh-CN"/>
              </w:rPr>
            </w:pPr>
            <w:r>
              <w:rPr>
                <w:rFonts w:hint="eastAsia"/>
                <w:color w:val="000000"/>
                <w:kern w:val="0"/>
                <w:sz w:val="28"/>
                <w:szCs w:val="28"/>
                <w:lang w:val="en-US" w:eastAsia="zh-CN"/>
              </w:rPr>
              <w:t>1.02</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rFonts w:hint="default" w:eastAsia="方正仿宋_GBK"/>
                <w:color w:val="000000"/>
                <w:kern w:val="0"/>
                <w:sz w:val="28"/>
                <w:szCs w:val="28"/>
                <w:lang w:val="en-US" w:eastAsia="zh-CN"/>
              </w:rPr>
            </w:pPr>
            <w:r>
              <w:rPr>
                <w:rFonts w:hint="eastAsia"/>
                <w:color w:val="000000"/>
                <w:kern w:val="0"/>
                <w:sz w:val="28"/>
                <w:szCs w:val="28"/>
                <w:lang w:val="en-US" w:eastAsia="zh-CN"/>
              </w:rPr>
              <w:t>0.68</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高速路口至党校片区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A03-02/01</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26</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营盘山小学</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2.77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1.11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0.74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高速路口至党校片区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A03-04/01、A03-05/01</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27</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第一实验小学</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0.59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0.24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0.16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高速路口至党校片区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A05-05/01</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28</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巨龙广场</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0.46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0.28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0.18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高速路口至党校片区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C01-01/01</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29</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南州小学</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1.18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0.47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0.31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高速路口至党校片区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D04-08/01</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30</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南州公园</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5.86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1.17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0.78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spacing w:val="-28"/>
                <w:kern w:val="0"/>
                <w:sz w:val="28"/>
                <w:szCs w:val="28"/>
              </w:rPr>
            </w:pPr>
            <w:r>
              <w:rPr>
                <w:spacing w:val="-28"/>
                <w:kern w:val="0"/>
                <w:sz w:val="28"/>
                <w:szCs w:val="28"/>
              </w:rPr>
              <w:t>龙脊山片区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B2-05/02</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31</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工人体育馆</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0.76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0.45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0.30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spacing w:val="-28"/>
                <w:kern w:val="0"/>
                <w:sz w:val="28"/>
                <w:szCs w:val="28"/>
              </w:rPr>
            </w:pPr>
            <w:r>
              <w:rPr>
                <w:spacing w:val="-28"/>
                <w:kern w:val="0"/>
                <w:sz w:val="28"/>
                <w:szCs w:val="28"/>
              </w:rPr>
              <w:t>龙脊山片区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D1-01/02</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32</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陵园小学</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0.89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0.36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0.24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spacing w:val="-28"/>
                <w:kern w:val="0"/>
                <w:sz w:val="28"/>
                <w:szCs w:val="28"/>
              </w:rPr>
            </w:pPr>
            <w:r>
              <w:rPr>
                <w:spacing w:val="-28"/>
                <w:kern w:val="0"/>
                <w:sz w:val="28"/>
                <w:szCs w:val="28"/>
              </w:rPr>
              <w:t>龙脊山片区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E1-04/02</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33</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綦江职业教育中心新操场</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0.50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0.50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0.33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spacing w:val="-28"/>
                <w:kern w:val="0"/>
                <w:sz w:val="28"/>
                <w:szCs w:val="28"/>
              </w:rPr>
            </w:pPr>
            <w:r>
              <w:rPr>
                <w:spacing w:val="-28"/>
                <w:kern w:val="0"/>
                <w:sz w:val="28"/>
                <w:szCs w:val="28"/>
              </w:rPr>
              <w:t>龙脊山片区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E1-09/02</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34</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特殊学校（聋哑）</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1.61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0.64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0.43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spacing w:val="-28"/>
                <w:kern w:val="0"/>
                <w:sz w:val="28"/>
                <w:szCs w:val="28"/>
              </w:rPr>
            </w:pPr>
            <w:r>
              <w:rPr>
                <w:spacing w:val="-28"/>
                <w:kern w:val="0"/>
                <w:sz w:val="28"/>
                <w:szCs w:val="28"/>
              </w:rPr>
              <w:t>龙脊山片区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G3-02/02</w:t>
            </w:r>
          </w:p>
        </w:tc>
      </w:tr>
      <w:tr>
        <w:tblPrEx>
          <w:tblLayout w:type="fixed"/>
          <w:tblCellMar>
            <w:top w:w="0" w:type="dxa"/>
            <w:left w:w="0" w:type="dxa"/>
            <w:bottom w:w="0" w:type="dxa"/>
            <w:right w:w="0" w:type="dxa"/>
          </w:tblCellMar>
        </w:tblPrEx>
        <w:trPr>
          <w:trHeight w:val="585"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35</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康德城中学</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2.63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1.05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0.70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spacing w:val="-28"/>
                <w:kern w:val="0"/>
                <w:sz w:val="28"/>
                <w:szCs w:val="28"/>
              </w:rPr>
            </w:pPr>
            <w:r>
              <w:rPr>
                <w:spacing w:val="-28"/>
                <w:kern w:val="0"/>
                <w:sz w:val="28"/>
                <w:szCs w:val="28"/>
              </w:rPr>
              <w:t>龙脊山片区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G3-12/02</w:t>
            </w:r>
          </w:p>
        </w:tc>
      </w:tr>
      <w:tr>
        <w:tblPrEx>
          <w:tblLayout w:type="fixed"/>
          <w:tblCellMar>
            <w:top w:w="0" w:type="dxa"/>
            <w:left w:w="0" w:type="dxa"/>
            <w:bottom w:w="0" w:type="dxa"/>
            <w:right w:w="0" w:type="dxa"/>
          </w:tblCellMar>
        </w:tblPrEx>
        <w:trPr>
          <w:trHeight w:val="1069"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36</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綦江区康德城第一小学</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1.80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0.60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0.40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spacing w:val="-28"/>
                <w:kern w:val="0"/>
                <w:sz w:val="28"/>
                <w:szCs w:val="28"/>
              </w:rPr>
            </w:pPr>
            <w:r>
              <w:rPr>
                <w:spacing w:val="-28"/>
                <w:kern w:val="0"/>
                <w:sz w:val="28"/>
                <w:szCs w:val="28"/>
              </w:rPr>
              <w:t>龙脊山片区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G2-07/02</w:t>
            </w:r>
          </w:p>
        </w:tc>
      </w:tr>
      <w:tr>
        <w:tblPrEx>
          <w:tblLayout w:type="fixed"/>
          <w:tblCellMar>
            <w:top w:w="0" w:type="dxa"/>
            <w:left w:w="0" w:type="dxa"/>
            <w:bottom w:w="0" w:type="dxa"/>
            <w:right w:w="0" w:type="dxa"/>
          </w:tblCellMar>
        </w:tblPrEx>
        <w:trPr>
          <w:trHeight w:val="1096"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37</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规划广场</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0.48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0.29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0.19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枣园至桥河片区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A1-09/02</w:t>
            </w:r>
          </w:p>
        </w:tc>
      </w:tr>
      <w:tr>
        <w:tblPrEx>
          <w:tblLayout w:type="fixed"/>
          <w:tblCellMar>
            <w:top w:w="0" w:type="dxa"/>
            <w:left w:w="0" w:type="dxa"/>
            <w:bottom w:w="0" w:type="dxa"/>
            <w:right w:w="0" w:type="dxa"/>
          </w:tblCellMar>
        </w:tblPrEx>
        <w:trPr>
          <w:trHeight w:val="1154"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38</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规划医科学校</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6.67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2.67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1.78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枣园至桥河片区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A2-02/03</w:t>
            </w:r>
          </w:p>
        </w:tc>
      </w:tr>
      <w:tr>
        <w:tblPrEx>
          <w:tblLayout w:type="fixed"/>
          <w:tblCellMar>
            <w:top w:w="0" w:type="dxa"/>
            <w:left w:w="0" w:type="dxa"/>
            <w:bottom w:w="0" w:type="dxa"/>
            <w:right w:w="0" w:type="dxa"/>
          </w:tblCellMar>
        </w:tblPrEx>
        <w:trPr>
          <w:trHeight w:val="1125"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39</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规划枣园小学</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2.74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1.09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0.73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枣园至桥河片区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B2-02/03</w:t>
            </w:r>
          </w:p>
        </w:tc>
      </w:tr>
      <w:tr>
        <w:tblPrEx>
          <w:tblLayout w:type="fixed"/>
          <w:tblCellMar>
            <w:top w:w="0" w:type="dxa"/>
            <w:left w:w="0" w:type="dxa"/>
            <w:bottom w:w="0" w:type="dxa"/>
            <w:right w:w="0" w:type="dxa"/>
          </w:tblCellMar>
        </w:tblPrEx>
        <w:trPr>
          <w:trHeight w:val="1065"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40</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广场用地</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0.50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0.30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0.20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枣园至桥河片区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C4-01/02</w:t>
            </w:r>
          </w:p>
        </w:tc>
      </w:tr>
      <w:tr>
        <w:tblPrEx>
          <w:tblLayout w:type="fixed"/>
          <w:tblCellMar>
            <w:top w:w="0" w:type="dxa"/>
            <w:left w:w="0" w:type="dxa"/>
            <w:bottom w:w="0" w:type="dxa"/>
            <w:right w:w="0" w:type="dxa"/>
          </w:tblCellMar>
        </w:tblPrEx>
        <w:trPr>
          <w:trHeight w:val="1035"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41</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规划公园绿地</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4.35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0.87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0.58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枣园至桥河片区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E1-03/01</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42</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rFonts w:hint="eastAsia" w:eastAsia="方正仿宋_GBK"/>
                <w:kern w:val="0"/>
                <w:sz w:val="28"/>
                <w:szCs w:val="28"/>
                <w:lang w:eastAsia="zh-CN"/>
              </w:rPr>
            </w:pPr>
            <w:r>
              <w:rPr>
                <w:rFonts w:hint="eastAsia"/>
                <w:kern w:val="0"/>
                <w:sz w:val="28"/>
                <w:szCs w:val="28"/>
                <w:lang w:eastAsia="zh-CN"/>
              </w:rPr>
              <w:t>城南中学</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1.72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0.65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0.43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枣园至桥河片区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C7-</w:t>
            </w:r>
            <w:r>
              <w:rPr>
                <w:rFonts w:hint="eastAsia"/>
                <w:kern w:val="0"/>
                <w:sz w:val="28"/>
                <w:szCs w:val="28"/>
                <w:lang w:val="en-US" w:eastAsia="zh-CN"/>
              </w:rPr>
              <w:t>12</w:t>
            </w:r>
            <w:r>
              <w:rPr>
                <w:kern w:val="0"/>
                <w:sz w:val="28"/>
                <w:szCs w:val="28"/>
              </w:rPr>
              <w:t>/02</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43</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规划小学</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2.74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1.10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0.73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枣园至桥河片区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D6-02/02</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44</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广场用地</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0.61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0.37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0.25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桥河片区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B17-5/03</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45</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公园绿地</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rFonts w:hint="default" w:eastAsia="方正仿宋_GBK"/>
                <w:kern w:val="0"/>
                <w:sz w:val="28"/>
                <w:szCs w:val="28"/>
                <w:lang w:val="en-US" w:eastAsia="zh-CN"/>
              </w:rPr>
            </w:pPr>
            <w:r>
              <w:rPr>
                <w:rFonts w:hint="eastAsia"/>
                <w:kern w:val="0"/>
                <w:sz w:val="28"/>
                <w:szCs w:val="28"/>
                <w:lang w:val="en-US" w:eastAsia="zh-CN"/>
              </w:rPr>
              <w:t>6.02</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rFonts w:hint="default" w:eastAsia="方正仿宋_GBK"/>
                <w:kern w:val="0"/>
                <w:sz w:val="28"/>
                <w:szCs w:val="28"/>
                <w:lang w:val="en-US" w:eastAsia="zh-CN"/>
              </w:rPr>
            </w:pPr>
            <w:r>
              <w:rPr>
                <w:rFonts w:hint="eastAsia"/>
                <w:kern w:val="0"/>
                <w:sz w:val="28"/>
                <w:szCs w:val="28"/>
                <w:lang w:val="en-US" w:eastAsia="zh-CN"/>
              </w:rPr>
              <w:t>1.20</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rFonts w:hint="eastAsia"/>
                <w:kern w:val="0"/>
                <w:sz w:val="28"/>
                <w:szCs w:val="28"/>
                <w:lang w:val="en-US" w:eastAsia="zh-CN"/>
              </w:rPr>
              <w:t>0.80</w:t>
            </w:r>
            <w:r>
              <w:rPr>
                <w:kern w:val="0"/>
                <w:sz w:val="28"/>
                <w:szCs w:val="28"/>
              </w:rPr>
              <w:t xml:space="preserve">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桥河片区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B17-3/02、B17-11/03</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46</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spacing w:val="0"/>
                <w:kern w:val="0"/>
                <w:sz w:val="28"/>
                <w:szCs w:val="28"/>
              </w:rPr>
            </w:pPr>
            <w:r>
              <w:rPr>
                <w:color w:val="000000"/>
                <w:spacing w:val="0"/>
                <w:kern w:val="0"/>
                <w:sz w:val="28"/>
                <w:szCs w:val="28"/>
              </w:rPr>
              <w:t>规划社会</w:t>
            </w:r>
          </w:p>
          <w:p>
            <w:pPr>
              <w:widowControl/>
              <w:spacing w:line="480" w:lineRule="exact"/>
              <w:jc w:val="center"/>
              <w:rPr>
                <w:color w:val="000000"/>
                <w:spacing w:val="-17"/>
                <w:kern w:val="0"/>
                <w:sz w:val="28"/>
                <w:szCs w:val="28"/>
              </w:rPr>
            </w:pPr>
            <w:r>
              <w:rPr>
                <w:color w:val="000000"/>
                <w:spacing w:val="0"/>
                <w:kern w:val="0"/>
                <w:sz w:val="28"/>
                <w:szCs w:val="28"/>
              </w:rPr>
              <w:t>停车场</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0.62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0.37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0.25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spacing w:val="-28"/>
                <w:kern w:val="0"/>
                <w:sz w:val="28"/>
                <w:szCs w:val="28"/>
              </w:rPr>
            </w:pPr>
            <w:r>
              <w:rPr>
                <w:color w:val="000000"/>
                <w:spacing w:val="-28"/>
                <w:kern w:val="0"/>
                <w:sz w:val="28"/>
                <w:szCs w:val="28"/>
              </w:rPr>
              <w:t>北渡铝片区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A05-10/03</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47</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spacing w:val="-17"/>
                <w:kern w:val="0"/>
                <w:sz w:val="28"/>
                <w:szCs w:val="28"/>
              </w:rPr>
            </w:pPr>
            <w:r>
              <w:rPr>
                <w:color w:val="000000"/>
                <w:spacing w:val="-17"/>
                <w:kern w:val="0"/>
                <w:sz w:val="28"/>
                <w:szCs w:val="28"/>
              </w:rPr>
              <w:t>规划防护绿地</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10.37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2.07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1.38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spacing w:val="-28"/>
                <w:kern w:val="0"/>
                <w:sz w:val="28"/>
                <w:szCs w:val="28"/>
              </w:rPr>
            </w:pPr>
            <w:r>
              <w:rPr>
                <w:color w:val="000000"/>
                <w:spacing w:val="-28"/>
                <w:kern w:val="0"/>
                <w:sz w:val="28"/>
                <w:szCs w:val="28"/>
              </w:rPr>
              <w:t>北渡铝片区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B08-05/02</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48</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规划广场用地</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0.84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0.50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0.34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spacing w:val="-28"/>
                <w:kern w:val="0"/>
                <w:sz w:val="28"/>
                <w:szCs w:val="28"/>
              </w:rPr>
            </w:pPr>
            <w:r>
              <w:rPr>
                <w:color w:val="000000"/>
                <w:spacing w:val="-28"/>
                <w:kern w:val="0"/>
                <w:sz w:val="28"/>
                <w:szCs w:val="28"/>
              </w:rPr>
              <w:t>北渡铝片区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B05-01/02</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49</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三江规划小学</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1.78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0.71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0.47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三江片区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A3-02/01</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50</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三江一小</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0.43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0.26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0.17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三江片区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A15-07/02</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51</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东源小学</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0.87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0.35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0.23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三江片区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B9-01/01</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52</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滨河公园绿地</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5.51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1.10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0.73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三江片区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B12-01/01、B13-01/01</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53</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三河街绿地</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1.25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0.25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0.17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三江片区</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C5-01/01</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54</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spacing w:val="-23"/>
                <w:kern w:val="0"/>
                <w:sz w:val="28"/>
                <w:szCs w:val="28"/>
              </w:rPr>
              <w:t>规划公园绿地1</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2.97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0.59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0.40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永桐新城</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DQ-B2-02</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55</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规</w:t>
            </w:r>
            <w:r>
              <w:rPr>
                <w:color w:val="000000"/>
                <w:spacing w:val="-23"/>
                <w:kern w:val="0"/>
                <w:sz w:val="28"/>
                <w:szCs w:val="28"/>
              </w:rPr>
              <w:t>划公园绿地2</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3.56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0.71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0.48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永桐新城</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DQ-B2-05</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56</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规划小学1</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3.37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1.35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0.90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永桐新城</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DQ-C2-01</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57</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rFonts w:hint="eastAsia" w:eastAsia="方正仿宋_GBK"/>
                <w:color w:val="000000"/>
                <w:kern w:val="0"/>
                <w:sz w:val="28"/>
                <w:szCs w:val="28"/>
                <w:lang w:eastAsia="zh-CN"/>
              </w:rPr>
            </w:pPr>
            <w:r>
              <w:rPr>
                <w:rFonts w:hint="eastAsia"/>
                <w:color w:val="000000"/>
                <w:kern w:val="0"/>
                <w:sz w:val="28"/>
                <w:szCs w:val="28"/>
                <w:lang w:eastAsia="zh-CN"/>
              </w:rPr>
              <w:t>规划完全中学</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9.24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3.70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2.46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永桐新城</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rFonts w:hint="eastAsia"/>
                <w:color w:val="000000"/>
                <w:kern w:val="0"/>
                <w:sz w:val="28"/>
                <w:szCs w:val="28"/>
                <w:lang w:val="en-US" w:eastAsia="zh-CN"/>
              </w:rPr>
              <w:t>DQ</w:t>
            </w:r>
            <w:r>
              <w:rPr>
                <w:color w:val="000000"/>
                <w:kern w:val="0"/>
                <w:sz w:val="28"/>
                <w:szCs w:val="28"/>
              </w:rPr>
              <w:t>-</w:t>
            </w:r>
            <w:r>
              <w:rPr>
                <w:rFonts w:hint="eastAsia"/>
                <w:color w:val="000000"/>
                <w:kern w:val="0"/>
                <w:sz w:val="28"/>
                <w:szCs w:val="28"/>
                <w:lang w:val="en-US" w:eastAsia="zh-CN"/>
              </w:rPr>
              <w:t>D1</w:t>
            </w:r>
            <w:r>
              <w:rPr>
                <w:color w:val="000000"/>
                <w:kern w:val="0"/>
                <w:sz w:val="28"/>
                <w:szCs w:val="28"/>
              </w:rPr>
              <w:t>-01</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58</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永城小学</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3.57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1.43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0.95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永桐新城</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ZH-B3-01</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59</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规划小学2</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2.96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1.19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0.79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永桐新城</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ZH-D3-13</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60</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规划小学3</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1.80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0.72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0.48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永桐新城</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FX-A2-11</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61</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电讯学院</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11.27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4.51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3.01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永桐新城</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FX-B2-01</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62</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规划中等职业教育用地</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7.73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3.09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 xml:space="preserve">2.06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永桐新城</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QJ-B3-03</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63</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规划小学1</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2.39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0.96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0.64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北部新城</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A48-1/01</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64</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spacing w:val="-17"/>
                <w:kern w:val="0"/>
                <w:sz w:val="28"/>
                <w:szCs w:val="28"/>
              </w:rPr>
            </w:pPr>
            <w:r>
              <w:rPr>
                <w:spacing w:val="-17"/>
                <w:kern w:val="0"/>
                <w:sz w:val="28"/>
                <w:szCs w:val="28"/>
              </w:rPr>
              <w:t>规划公园绿地1</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1.60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0.32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0.21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北部新城</w:t>
            </w:r>
          </w:p>
        </w:tc>
        <w:tc>
          <w:tcPr>
            <w:tcW w:w="1502"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color w:val="000000"/>
                <w:kern w:val="0"/>
                <w:sz w:val="28"/>
                <w:szCs w:val="28"/>
              </w:rPr>
            </w:pPr>
            <w:r>
              <w:rPr>
                <w:color w:val="000000"/>
                <w:kern w:val="0"/>
                <w:sz w:val="28"/>
                <w:szCs w:val="28"/>
              </w:rPr>
              <w:t>A31-</w:t>
            </w:r>
            <w:r>
              <w:rPr>
                <w:rFonts w:hint="eastAsia"/>
                <w:color w:val="000000"/>
                <w:kern w:val="0"/>
                <w:sz w:val="28"/>
                <w:szCs w:val="28"/>
                <w:lang w:val="en-US" w:eastAsia="zh-CN"/>
              </w:rPr>
              <w:t>1</w:t>
            </w:r>
            <w:r>
              <w:rPr>
                <w:color w:val="000000"/>
                <w:kern w:val="0"/>
                <w:sz w:val="28"/>
                <w:szCs w:val="28"/>
              </w:rPr>
              <w:t>/01</w:t>
            </w:r>
          </w:p>
          <w:p>
            <w:pPr>
              <w:pStyle w:val="2"/>
              <w:spacing w:line="400" w:lineRule="exact"/>
              <w:ind w:firstLine="0" w:firstLineChars="0"/>
              <w:jc w:val="center"/>
            </w:pPr>
            <w:r>
              <w:rPr>
                <w:color w:val="000000"/>
                <w:kern w:val="0"/>
                <w:sz w:val="28"/>
                <w:szCs w:val="28"/>
              </w:rPr>
              <w:t>A31-</w:t>
            </w:r>
            <w:r>
              <w:rPr>
                <w:rFonts w:hint="eastAsia"/>
                <w:color w:val="000000"/>
                <w:kern w:val="0"/>
                <w:sz w:val="28"/>
                <w:szCs w:val="28"/>
                <w:lang w:val="en-US" w:eastAsia="zh-CN"/>
              </w:rPr>
              <w:t>2</w:t>
            </w:r>
            <w:r>
              <w:rPr>
                <w:color w:val="000000"/>
                <w:kern w:val="0"/>
                <w:sz w:val="28"/>
                <w:szCs w:val="28"/>
              </w:rPr>
              <w:t>/01</w:t>
            </w:r>
          </w:p>
          <w:p>
            <w:pPr>
              <w:widowControl/>
              <w:spacing w:line="400" w:lineRule="exact"/>
              <w:jc w:val="center"/>
              <w:rPr>
                <w:color w:val="000000"/>
                <w:kern w:val="0"/>
                <w:sz w:val="28"/>
                <w:szCs w:val="28"/>
              </w:rPr>
            </w:pPr>
            <w:r>
              <w:rPr>
                <w:color w:val="000000"/>
                <w:kern w:val="0"/>
                <w:sz w:val="28"/>
                <w:szCs w:val="28"/>
              </w:rPr>
              <w:t>A31-3/01</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65</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spacing w:val="-17"/>
                <w:kern w:val="0"/>
                <w:sz w:val="28"/>
                <w:szCs w:val="28"/>
              </w:rPr>
            </w:pPr>
            <w:r>
              <w:rPr>
                <w:spacing w:val="-17"/>
                <w:kern w:val="0"/>
                <w:sz w:val="28"/>
                <w:szCs w:val="28"/>
              </w:rPr>
              <w:t>规划公园绿地2</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1.98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0.40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0.26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北部新城</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A24-1/01</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66</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spacing w:val="-17"/>
                <w:kern w:val="0"/>
                <w:sz w:val="28"/>
                <w:szCs w:val="28"/>
              </w:rPr>
            </w:pPr>
            <w:r>
              <w:rPr>
                <w:spacing w:val="-17"/>
                <w:kern w:val="0"/>
                <w:sz w:val="28"/>
                <w:szCs w:val="28"/>
              </w:rPr>
              <w:t>规划公园绿地3</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2.11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0.42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0.28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北部新城</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A22-1/01</w:t>
            </w:r>
          </w:p>
        </w:tc>
      </w:tr>
      <w:tr>
        <w:tblPrEx>
          <w:tblLayout w:type="fixed"/>
          <w:tblCellMar>
            <w:top w:w="0" w:type="dxa"/>
            <w:left w:w="0" w:type="dxa"/>
            <w:bottom w:w="0" w:type="dxa"/>
            <w:right w:w="0" w:type="dxa"/>
          </w:tblCellMar>
        </w:tblPrEx>
        <w:trPr>
          <w:trHeight w:val="685"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67</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规划小学2</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1.87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0.75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0.50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北部新城</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A18-1/01</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68</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spacing w:val="-17"/>
                <w:kern w:val="0"/>
                <w:sz w:val="28"/>
                <w:szCs w:val="28"/>
              </w:rPr>
            </w:pPr>
            <w:r>
              <w:rPr>
                <w:spacing w:val="-17"/>
                <w:kern w:val="0"/>
                <w:sz w:val="28"/>
                <w:szCs w:val="28"/>
              </w:rPr>
              <w:t>规划公园绿地4</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2.12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0.42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0.28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北部新城</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A12-2/01</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69</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spacing w:val="-17"/>
                <w:kern w:val="0"/>
                <w:sz w:val="28"/>
                <w:szCs w:val="28"/>
              </w:rPr>
            </w:pPr>
            <w:r>
              <w:rPr>
                <w:spacing w:val="-17"/>
                <w:kern w:val="0"/>
                <w:sz w:val="28"/>
                <w:szCs w:val="28"/>
              </w:rPr>
              <w:t>规划公园绿地5</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1.91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0.38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0.25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北部新城</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A04-2/01</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70</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spacing w:val="-17"/>
                <w:kern w:val="0"/>
                <w:sz w:val="28"/>
                <w:szCs w:val="28"/>
              </w:rPr>
            </w:pPr>
            <w:r>
              <w:rPr>
                <w:spacing w:val="-17"/>
                <w:kern w:val="0"/>
                <w:sz w:val="28"/>
                <w:szCs w:val="28"/>
              </w:rPr>
              <w:t>规划公园绿地6</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0.95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0.19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0.13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北部新城</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A01-2/01</w:t>
            </w:r>
          </w:p>
        </w:tc>
      </w:tr>
      <w:tr>
        <w:tblPrEx>
          <w:tblLayout w:type="fixed"/>
          <w:tblCellMar>
            <w:top w:w="0" w:type="dxa"/>
            <w:left w:w="0" w:type="dxa"/>
            <w:bottom w:w="0" w:type="dxa"/>
            <w:right w:w="0" w:type="dxa"/>
          </w:tblCellMar>
        </w:tblPrEx>
        <w:trPr>
          <w:trHeight w:val="20" w:hRule="atLeast"/>
        </w:trPr>
        <w:tc>
          <w:tcPr>
            <w:tcW w:w="454"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71</w:t>
            </w:r>
          </w:p>
        </w:tc>
        <w:tc>
          <w:tcPr>
            <w:tcW w:w="8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暂时</w:t>
            </w:r>
          </w:p>
        </w:tc>
        <w:tc>
          <w:tcPr>
            <w:tcW w:w="170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新盛小学</w:t>
            </w:r>
          </w:p>
        </w:tc>
        <w:tc>
          <w:tcPr>
            <w:tcW w:w="95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1.19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0.48 </w:t>
            </w:r>
          </w:p>
        </w:tc>
        <w:tc>
          <w:tcPr>
            <w:tcW w:w="116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 xml:space="preserve">0.32 </w:t>
            </w:r>
          </w:p>
        </w:tc>
        <w:tc>
          <w:tcPr>
            <w:tcW w:w="1134"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北部新城</w:t>
            </w:r>
          </w:p>
        </w:tc>
        <w:tc>
          <w:tcPr>
            <w:tcW w:w="150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A25-2/01</w:t>
            </w:r>
          </w:p>
        </w:tc>
      </w:tr>
      <w:tr>
        <w:tblPrEx>
          <w:tblLayout w:type="fixed"/>
          <w:tblCellMar>
            <w:top w:w="0" w:type="dxa"/>
            <w:left w:w="0" w:type="dxa"/>
            <w:bottom w:w="0" w:type="dxa"/>
            <w:right w:w="0" w:type="dxa"/>
          </w:tblCellMar>
        </w:tblPrEx>
        <w:trPr>
          <w:trHeight w:val="20" w:hRule="atLeast"/>
        </w:trPr>
        <w:tc>
          <w:tcPr>
            <w:tcW w:w="300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80" w:lineRule="exact"/>
              <w:jc w:val="center"/>
              <w:rPr>
                <w:b w:val="0"/>
                <w:bCs/>
                <w:kern w:val="0"/>
                <w:sz w:val="28"/>
                <w:szCs w:val="28"/>
              </w:rPr>
            </w:pPr>
            <w:r>
              <w:rPr>
                <w:b w:val="0"/>
                <w:bCs/>
                <w:kern w:val="0"/>
                <w:sz w:val="28"/>
                <w:szCs w:val="28"/>
              </w:rPr>
              <w:t>合</w:t>
            </w:r>
            <w:r>
              <w:rPr>
                <w:rFonts w:hint="eastAsia"/>
                <w:b w:val="0"/>
                <w:bCs/>
                <w:kern w:val="0"/>
                <w:sz w:val="28"/>
                <w:szCs w:val="28"/>
                <w:lang w:val="en-US" w:eastAsia="zh-CN"/>
              </w:rPr>
              <w:t xml:space="preserve">  </w:t>
            </w:r>
            <w:r>
              <w:rPr>
                <w:b w:val="0"/>
                <w:bCs/>
                <w:kern w:val="0"/>
                <w:sz w:val="28"/>
                <w:szCs w:val="28"/>
              </w:rPr>
              <w:t>计</w:t>
            </w:r>
          </w:p>
        </w:tc>
        <w:tc>
          <w:tcPr>
            <w:tcW w:w="959"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center"/>
              <w:rPr>
                <w:rFonts w:hint="default" w:eastAsia="方正仿宋_GBK"/>
                <w:b w:val="0"/>
                <w:bCs/>
                <w:kern w:val="0"/>
                <w:sz w:val="28"/>
                <w:szCs w:val="28"/>
                <w:lang w:val="en-US" w:eastAsia="zh-CN"/>
              </w:rPr>
            </w:pPr>
            <w:r>
              <w:rPr>
                <w:b w:val="0"/>
                <w:bCs/>
                <w:kern w:val="0"/>
                <w:sz w:val="28"/>
                <w:szCs w:val="28"/>
              </w:rPr>
              <w:t>292.</w:t>
            </w:r>
            <w:r>
              <w:rPr>
                <w:rFonts w:hint="eastAsia"/>
                <w:b w:val="0"/>
                <w:bCs/>
                <w:kern w:val="0"/>
                <w:sz w:val="28"/>
                <w:szCs w:val="28"/>
                <w:lang w:val="en-US" w:eastAsia="zh-CN"/>
              </w:rPr>
              <w:t>02</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center"/>
              <w:rPr>
                <w:rFonts w:hint="default" w:eastAsia="方正仿宋_GBK"/>
                <w:b w:val="0"/>
                <w:bCs/>
                <w:kern w:val="0"/>
                <w:sz w:val="28"/>
                <w:szCs w:val="28"/>
                <w:lang w:val="en-US" w:eastAsia="zh-CN"/>
              </w:rPr>
            </w:pPr>
            <w:r>
              <w:rPr>
                <w:b w:val="0"/>
                <w:bCs/>
                <w:kern w:val="0"/>
                <w:sz w:val="28"/>
                <w:szCs w:val="28"/>
              </w:rPr>
              <w:t>8</w:t>
            </w:r>
            <w:r>
              <w:rPr>
                <w:rFonts w:hint="eastAsia"/>
                <w:b w:val="0"/>
                <w:bCs/>
                <w:kern w:val="0"/>
                <w:sz w:val="28"/>
                <w:szCs w:val="28"/>
                <w:lang w:val="en-US" w:eastAsia="zh-CN"/>
              </w:rPr>
              <w:t>3</w:t>
            </w:r>
            <w:r>
              <w:rPr>
                <w:b w:val="0"/>
                <w:bCs/>
                <w:kern w:val="0"/>
                <w:sz w:val="28"/>
                <w:szCs w:val="28"/>
              </w:rPr>
              <w:t>.</w:t>
            </w:r>
            <w:r>
              <w:rPr>
                <w:rFonts w:hint="eastAsia"/>
                <w:b w:val="0"/>
                <w:bCs/>
                <w:kern w:val="0"/>
                <w:sz w:val="28"/>
                <w:szCs w:val="28"/>
                <w:lang w:val="en-US" w:eastAsia="zh-CN"/>
              </w:rPr>
              <w:t>66</w:t>
            </w:r>
          </w:p>
        </w:tc>
        <w:tc>
          <w:tcPr>
            <w:tcW w:w="1167"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center"/>
              <w:rPr>
                <w:rFonts w:hint="default" w:eastAsia="方正仿宋_GBK"/>
                <w:b w:val="0"/>
                <w:bCs/>
                <w:kern w:val="0"/>
                <w:sz w:val="28"/>
                <w:szCs w:val="28"/>
                <w:lang w:val="en-US" w:eastAsia="zh-CN"/>
              </w:rPr>
            </w:pPr>
            <w:r>
              <w:rPr>
                <w:b w:val="0"/>
                <w:bCs/>
                <w:kern w:val="0"/>
                <w:sz w:val="28"/>
                <w:szCs w:val="28"/>
              </w:rPr>
              <w:t>5</w:t>
            </w:r>
            <w:r>
              <w:rPr>
                <w:rFonts w:hint="eastAsia"/>
                <w:b w:val="0"/>
                <w:bCs/>
                <w:kern w:val="0"/>
                <w:sz w:val="28"/>
                <w:szCs w:val="28"/>
                <w:lang w:val="en-US" w:eastAsia="zh-CN"/>
              </w:rPr>
              <w:t>5</w:t>
            </w:r>
            <w:r>
              <w:rPr>
                <w:b w:val="0"/>
                <w:bCs/>
                <w:kern w:val="0"/>
                <w:sz w:val="28"/>
                <w:szCs w:val="28"/>
              </w:rPr>
              <w:t>.</w:t>
            </w:r>
            <w:r>
              <w:rPr>
                <w:rFonts w:hint="eastAsia"/>
                <w:b w:val="0"/>
                <w:bCs/>
                <w:kern w:val="0"/>
                <w:sz w:val="28"/>
                <w:szCs w:val="28"/>
                <w:lang w:val="en-US" w:eastAsia="zh-CN"/>
              </w:rPr>
              <w:t>76</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p>
        </w:tc>
        <w:tc>
          <w:tcPr>
            <w:tcW w:w="1502"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p>
        </w:tc>
      </w:tr>
    </w:tbl>
    <w:p>
      <w:pPr>
        <w:spacing w:line="576" w:lineRule="exact"/>
      </w:pPr>
    </w:p>
    <w:p>
      <w:pPr>
        <w:pStyle w:val="2"/>
      </w:pPr>
    </w:p>
    <w:p>
      <w:pPr>
        <w:pStyle w:val="2"/>
      </w:pPr>
    </w:p>
    <w:p>
      <w:pPr>
        <w:pStyle w:val="2"/>
      </w:pPr>
    </w:p>
    <w:p>
      <w:pPr>
        <w:pStyle w:val="7"/>
        <w:keepNext/>
        <w:spacing w:line="576" w:lineRule="exact"/>
        <w:rPr>
          <w:rFonts w:hint="eastAsia" w:ascii="Times New Roman" w:hAnsi="Times New Roman" w:eastAsia="方正黑体_GBK" w:cs="Times New Roman"/>
          <w:sz w:val="32"/>
          <w:szCs w:val="32"/>
          <w:lang w:val="en-US" w:eastAsia="zh-CN" w:bidi="ar"/>
        </w:rPr>
      </w:pPr>
      <w:bookmarkStart w:id="371" w:name="_Ref156315129"/>
      <w:bookmarkStart w:id="372" w:name="_Toc158043564"/>
      <w:bookmarkStart w:id="373" w:name="_Toc156308083"/>
      <w:r>
        <w:rPr>
          <w:rFonts w:hint="default" w:ascii="Times New Roman" w:hAnsi="Times New Roman" w:eastAsia="方正黑体_GBK" w:cs="Times New Roman"/>
          <w:sz w:val="32"/>
          <w:szCs w:val="32"/>
          <w:lang w:bidi="ar"/>
        </w:rPr>
        <w:t>附表</w:t>
      </w:r>
      <w:bookmarkEnd w:id="364"/>
      <w:bookmarkEnd w:id="371"/>
      <w:r>
        <w:rPr>
          <w:rFonts w:hint="eastAsia" w:ascii="Times New Roman" w:hAnsi="Times New Roman" w:eastAsia="方正黑体_GBK" w:cs="Times New Roman"/>
          <w:sz w:val="32"/>
          <w:szCs w:val="32"/>
          <w:lang w:val="en-US" w:eastAsia="zh-CN" w:bidi="ar"/>
        </w:rPr>
        <w:t xml:space="preserve">7 </w:t>
      </w:r>
    </w:p>
    <w:p>
      <w:pPr>
        <w:pStyle w:val="7"/>
        <w:keepNext/>
        <w:spacing w:line="576" w:lineRule="exact"/>
        <w:jc w:val="center"/>
        <w:rPr>
          <w:rFonts w:hint="default" w:ascii="Times New Roman" w:hAnsi="Times New Roman" w:eastAsia="方正黑体_GBK" w:cs="Times New Roman"/>
          <w:sz w:val="32"/>
          <w:szCs w:val="32"/>
          <w:lang w:bidi="ar"/>
        </w:rPr>
      </w:pPr>
      <w:r>
        <w:rPr>
          <w:rFonts w:hint="default" w:ascii="Times New Roman" w:hAnsi="Times New Roman" w:eastAsia="方正黑体_GBK" w:cs="Times New Roman"/>
          <w:sz w:val="32"/>
          <w:szCs w:val="32"/>
          <w:lang w:bidi="ar"/>
        </w:rPr>
        <w:t>綦江中心城区主要疏散通道一览表</w:t>
      </w:r>
      <w:bookmarkEnd w:id="372"/>
      <w:bookmarkEnd w:id="373"/>
    </w:p>
    <w:p>
      <w:pPr>
        <w:rPr>
          <w:rFonts w:hint="default"/>
        </w:rPr>
      </w:pPr>
    </w:p>
    <w:tbl>
      <w:tblPr>
        <w:tblStyle w:val="18"/>
        <w:tblW w:w="8854" w:type="dxa"/>
        <w:tblInd w:w="0" w:type="dxa"/>
        <w:tblLayout w:type="fixed"/>
        <w:tblCellMar>
          <w:top w:w="0" w:type="dxa"/>
          <w:left w:w="28" w:type="dxa"/>
          <w:bottom w:w="0" w:type="dxa"/>
          <w:right w:w="28" w:type="dxa"/>
        </w:tblCellMar>
      </w:tblPr>
      <w:tblGrid>
        <w:gridCol w:w="1706"/>
        <w:gridCol w:w="2551"/>
        <w:gridCol w:w="1983"/>
        <w:gridCol w:w="1702"/>
        <w:gridCol w:w="912"/>
      </w:tblGrid>
      <w:tr>
        <w:tblPrEx>
          <w:tblLayout w:type="fixed"/>
          <w:tblCellMar>
            <w:top w:w="0" w:type="dxa"/>
            <w:left w:w="28" w:type="dxa"/>
            <w:bottom w:w="0" w:type="dxa"/>
            <w:right w:w="28" w:type="dxa"/>
          </w:tblCellMar>
        </w:tblPrEx>
        <w:trPr>
          <w:trHeight w:val="605" w:hRule="atLeast"/>
          <w:tblHeader/>
        </w:trPr>
        <w:tc>
          <w:tcPr>
            <w:tcW w:w="1706"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pPr>
              <w:keepNext/>
              <w:widowControl/>
              <w:spacing w:line="480" w:lineRule="exact"/>
              <w:jc w:val="center"/>
              <w:rPr>
                <w:rFonts w:hint="default" w:ascii="Times New Roman" w:hAnsi="Times New Roman" w:eastAsia="方正黑体_GBK" w:cs="Times New Roman"/>
                <w:b w:val="0"/>
                <w:bCs/>
                <w:kern w:val="0"/>
                <w:sz w:val="28"/>
                <w:szCs w:val="28"/>
              </w:rPr>
            </w:pPr>
            <w:r>
              <w:rPr>
                <w:rFonts w:hint="default" w:ascii="Times New Roman" w:hAnsi="Times New Roman" w:eastAsia="方正黑体_GBK" w:cs="Times New Roman"/>
                <w:b w:val="0"/>
                <w:bCs/>
                <w:kern w:val="0"/>
                <w:sz w:val="28"/>
                <w:szCs w:val="28"/>
              </w:rPr>
              <w:t>疏散通道类型</w:t>
            </w:r>
          </w:p>
        </w:tc>
        <w:tc>
          <w:tcPr>
            <w:tcW w:w="2551" w:type="dxa"/>
            <w:tcBorders>
              <w:top w:val="single" w:color="auto" w:sz="4" w:space="0"/>
              <w:left w:val="nil"/>
              <w:bottom w:val="single" w:color="auto" w:sz="4" w:space="0"/>
              <w:right w:val="single" w:color="auto" w:sz="4" w:space="0"/>
            </w:tcBorders>
            <w:tcMar>
              <w:left w:w="0" w:type="dxa"/>
              <w:right w:w="0" w:type="dxa"/>
            </w:tcMar>
            <w:vAlign w:val="center"/>
          </w:tcPr>
          <w:p>
            <w:pPr>
              <w:keepNext/>
              <w:widowControl/>
              <w:spacing w:line="480" w:lineRule="exact"/>
              <w:jc w:val="center"/>
              <w:rPr>
                <w:rFonts w:hint="default" w:ascii="Times New Roman" w:hAnsi="Times New Roman" w:eastAsia="方正黑体_GBK" w:cs="Times New Roman"/>
                <w:b w:val="0"/>
                <w:bCs/>
                <w:kern w:val="0"/>
                <w:sz w:val="28"/>
                <w:szCs w:val="28"/>
              </w:rPr>
            </w:pPr>
            <w:r>
              <w:rPr>
                <w:rFonts w:hint="default" w:ascii="Times New Roman" w:hAnsi="Times New Roman" w:eastAsia="方正黑体_GBK" w:cs="Times New Roman"/>
                <w:b w:val="0"/>
                <w:bCs/>
                <w:kern w:val="0"/>
                <w:sz w:val="28"/>
                <w:szCs w:val="28"/>
              </w:rPr>
              <w:t>道路名称</w:t>
            </w:r>
          </w:p>
        </w:tc>
        <w:tc>
          <w:tcPr>
            <w:tcW w:w="1983" w:type="dxa"/>
            <w:tcBorders>
              <w:top w:val="single" w:color="auto" w:sz="4" w:space="0"/>
              <w:left w:val="nil"/>
              <w:bottom w:val="single" w:color="auto" w:sz="4" w:space="0"/>
              <w:right w:val="single" w:color="auto" w:sz="4" w:space="0"/>
            </w:tcBorders>
            <w:tcMar>
              <w:left w:w="0" w:type="dxa"/>
              <w:right w:w="0" w:type="dxa"/>
            </w:tcMar>
            <w:vAlign w:val="center"/>
          </w:tcPr>
          <w:p>
            <w:pPr>
              <w:keepNext/>
              <w:widowControl/>
              <w:spacing w:line="480" w:lineRule="exact"/>
              <w:jc w:val="center"/>
              <w:rPr>
                <w:rFonts w:hint="default" w:ascii="Times New Roman" w:hAnsi="Times New Roman" w:eastAsia="方正黑体_GBK" w:cs="Times New Roman"/>
                <w:b w:val="0"/>
                <w:bCs/>
                <w:kern w:val="0"/>
                <w:sz w:val="28"/>
                <w:szCs w:val="28"/>
              </w:rPr>
            </w:pPr>
            <w:r>
              <w:rPr>
                <w:rFonts w:hint="default" w:ascii="Times New Roman" w:hAnsi="Times New Roman" w:eastAsia="方正黑体_GBK" w:cs="Times New Roman"/>
                <w:b w:val="0"/>
                <w:bCs/>
                <w:kern w:val="0"/>
                <w:sz w:val="28"/>
                <w:szCs w:val="28"/>
              </w:rPr>
              <w:t>红线宽度（m）</w:t>
            </w:r>
          </w:p>
        </w:tc>
        <w:tc>
          <w:tcPr>
            <w:tcW w:w="1702" w:type="dxa"/>
            <w:tcBorders>
              <w:top w:val="single" w:color="auto" w:sz="4" w:space="0"/>
              <w:left w:val="nil"/>
              <w:bottom w:val="single" w:color="auto" w:sz="4" w:space="0"/>
              <w:right w:val="single" w:color="auto" w:sz="4" w:space="0"/>
            </w:tcBorders>
            <w:tcMar>
              <w:left w:w="0" w:type="dxa"/>
              <w:right w:w="0" w:type="dxa"/>
            </w:tcMar>
            <w:vAlign w:val="center"/>
          </w:tcPr>
          <w:p>
            <w:pPr>
              <w:keepNext/>
              <w:widowControl/>
              <w:spacing w:line="480" w:lineRule="exact"/>
              <w:jc w:val="center"/>
              <w:rPr>
                <w:rFonts w:hint="default" w:ascii="Times New Roman" w:hAnsi="Times New Roman" w:eastAsia="方正黑体_GBK" w:cs="Times New Roman"/>
                <w:b w:val="0"/>
                <w:bCs/>
                <w:kern w:val="0"/>
                <w:sz w:val="28"/>
                <w:szCs w:val="28"/>
              </w:rPr>
            </w:pPr>
            <w:r>
              <w:rPr>
                <w:rFonts w:hint="default" w:ascii="Times New Roman" w:hAnsi="Times New Roman" w:eastAsia="方正黑体_GBK" w:cs="Times New Roman"/>
                <w:b w:val="0"/>
                <w:bCs/>
                <w:kern w:val="0"/>
                <w:sz w:val="28"/>
                <w:szCs w:val="28"/>
              </w:rPr>
              <w:t>道路级别</w:t>
            </w:r>
          </w:p>
        </w:tc>
        <w:tc>
          <w:tcPr>
            <w:tcW w:w="912" w:type="dxa"/>
            <w:tcBorders>
              <w:top w:val="single" w:color="auto" w:sz="4" w:space="0"/>
              <w:left w:val="nil"/>
              <w:bottom w:val="single" w:color="auto" w:sz="4" w:space="0"/>
              <w:right w:val="single" w:color="auto" w:sz="4" w:space="0"/>
            </w:tcBorders>
            <w:tcMar>
              <w:left w:w="0" w:type="dxa"/>
              <w:right w:w="0" w:type="dxa"/>
            </w:tcMar>
            <w:vAlign w:val="center"/>
          </w:tcPr>
          <w:p>
            <w:pPr>
              <w:keepNext/>
              <w:widowControl/>
              <w:spacing w:line="480" w:lineRule="exact"/>
              <w:jc w:val="center"/>
              <w:rPr>
                <w:rFonts w:hint="default" w:ascii="Times New Roman" w:hAnsi="Times New Roman" w:eastAsia="方正黑体_GBK" w:cs="Times New Roman"/>
                <w:b w:val="0"/>
                <w:bCs/>
                <w:kern w:val="0"/>
                <w:sz w:val="28"/>
                <w:szCs w:val="28"/>
              </w:rPr>
            </w:pPr>
            <w:r>
              <w:rPr>
                <w:rFonts w:hint="default" w:ascii="Times New Roman" w:hAnsi="Times New Roman" w:eastAsia="方正黑体_GBK" w:cs="Times New Roman"/>
                <w:b w:val="0"/>
                <w:bCs/>
                <w:kern w:val="0"/>
                <w:sz w:val="28"/>
                <w:szCs w:val="28"/>
              </w:rPr>
              <w:t>备注</w:t>
            </w:r>
          </w:p>
        </w:tc>
      </w:tr>
      <w:tr>
        <w:tblPrEx>
          <w:tblLayout w:type="fixed"/>
          <w:tblCellMar>
            <w:top w:w="0" w:type="dxa"/>
            <w:left w:w="28" w:type="dxa"/>
            <w:bottom w:w="0" w:type="dxa"/>
            <w:right w:w="28" w:type="dxa"/>
          </w:tblCellMar>
        </w:tblPrEx>
        <w:trPr>
          <w:trHeight w:val="20" w:hRule="atLeast"/>
        </w:trPr>
        <w:tc>
          <w:tcPr>
            <w:tcW w:w="1706" w:type="dxa"/>
            <w:vMerge w:val="restart"/>
            <w:tcBorders>
              <w:top w:val="nil"/>
              <w:left w:val="single" w:color="auto" w:sz="4" w:space="0"/>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救灾干道</w:t>
            </w:r>
          </w:p>
        </w:tc>
        <w:tc>
          <w:tcPr>
            <w:tcW w:w="2551"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三环高速</w:t>
            </w:r>
          </w:p>
        </w:tc>
        <w:tc>
          <w:tcPr>
            <w:tcW w:w="1983"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24.5</w:t>
            </w:r>
          </w:p>
        </w:tc>
        <w:tc>
          <w:tcPr>
            <w:tcW w:w="170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高速公路</w:t>
            </w:r>
          </w:p>
        </w:tc>
        <w:tc>
          <w:tcPr>
            <w:tcW w:w="91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r>
      <w:tr>
        <w:tblPrEx>
          <w:tblLayout w:type="fixed"/>
          <w:tblCellMar>
            <w:top w:w="0" w:type="dxa"/>
            <w:left w:w="28" w:type="dxa"/>
            <w:bottom w:w="0" w:type="dxa"/>
            <w:right w:w="28" w:type="dxa"/>
          </w:tblCellMar>
        </w:tblPrEx>
        <w:trPr>
          <w:trHeight w:val="20" w:hRule="atLeast"/>
        </w:trPr>
        <w:tc>
          <w:tcPr>
            <w:tcW w:w="1706" w:type="dxa"/>
            <w:vMerge w:val="continue"/>
            <w:tcBorders>
              <w:top w:val="nil"/>
              <w:left w:val="single" w:color="auto" w:sz="4" w:space="0"/>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c>
          <w:tcPr>
            <w:tcW w:w="2551"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綦万高速</w:t>
            </w:r>
          </w:p>
        </w:tc>
        <w:tc>
          <w:tcPr>
            <w:tcW w:w="1983"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24</w:t>
            </w:r>
          </w:p>
        </w:tc>
        <w:tc>
          <w:tcPr>
            <w:tcW w:w="170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高速公路</w:t>
            </w:r>
          </w:p>
        </w:tc>
        <w:tc>
          <w:tcPr>
            <w:tcW w:w="91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r>
      <w:tr>
        <w:tblPrEx>
          <w:tblLayout w:type="fixed"/>
          <w:tblCellMar>
            <w:top w:w="0" w:type="dxa"/>
            <w:left w:w="28" w:type="dxa"/>
            <w:bottom w:w="0" w:type="dxa"/>
            <w:right w:w="28" w:type="dxa"/>
          </w:tblCellMar>
        </w:tblPrEx>
        <w:trPr>
          <w:trHeight w:val="20" w:hRule="atLeast"/>
        </w:trPr>
        <w:tc>
          <w:tcPr>
            <w:tcW w:w="1706" w:type="dxa"/>
            <w:vMerge w:val="continue"/>
            <w:tcBorders>
              <w:top w:val="nil"/>
              <w:left w:val="single" w:color="auto" w:sz="4" w:space="0"/>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c>
          <w:tcPr>
            <w:tcW w:w="2551"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渝黔高速</w:t>
            </w:r>
          </w:p>
        </w:tc>
        <w:tc>
          <w:tcPr>
            <w:tcW w:w="1983"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32</w:t>
            </w:r>
          </w:p>
        </w:tc>
        <w:tc>
          <w:tcPr>
            <w:tcW w:w="170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高速公路</w:t>
            </w:r>
          </w:p>
        </w:tc>
        <w:tc>
          <w:tcPr>
            <w:tcW w:w="91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r>
      <w:tr>
        <w:tblPrEx>
          <w:tblLayout w:type="fixed"/>
          <w:tblCellMar>
            <w:top w:w="0" w:type="dxa"/>
            <w:left w:w="28" w:type="dxa"/>
            <w:bottom w:w="0" w:type="dxa"/>
            <w:right w:w="28" w:type="dxa"/>
          </w:tblCellMar>
        </w:tblPrEx>
        <w:trPr>
          <w:trHeight w:val="20" w:hRule="atLeast"/>
        </w:trPr>
        <w:tc>
          <w:tcPr>
            <w:tcW w:w="1706" w:type="dxa"/>
            <w:vMerge w:val="continue"/>
            <w:tcBorders>
              <w:top w:val="nil"/>
              <w:left w:val="single" w:color="auto" w:sz="4" w:space="0"/>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c>
          <w:tcPr>
            <w:tcW w:w="2551"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渝筑高速</w:t>
            </w:r>
          </w:p>
        </w:tc>
        <w:tc>
          <w:tcPr>
            <w:tcW w:w="1983"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32</w:t>
            </w:r>
          </w:p>
        </w:tc>
        <w:tc>
          <w:tcPr>
            <w:tcW w:w="170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高速公路</w:t>
            </w:r>
          </w:p>
        </w:tc>
        <w:tc>
          <w:tcPr>
            <w:tcW w:w="91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r>
      <w:tr>
        <w:tblPrEx>
          <w:tblLayout w:type="fixed"/>
          <w:tblCellMar>
            <w:top w:w="0" w:type="dxa"/>
            <w:left w:w="28" w:type="dxa"/>
            <w:bottom w:w="0" w:type="dxa"/>
            <w:right w:w="28" w:type="dxa"/>
          </w:tblCellMar>
        </w:tblPrEx>
        <w:trPr>
          <w:trHeight w:val="20" w:hRule="atLeast"/>
        </w:trPr>
        <w:tc>
          <w:tcPr>
            <w:tcW w:w="1706" w:type="dxa"/>
            <w:vMerge w:val="continue"/>
            <w:tcBorders>
              <w:top w:val="nil"/>
              <w:left w:val="single" w:color="auto" w:sz="4" w:space="0"/>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c>
          <w:tcPr>
            <w:tcW w:w="2551"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綦江绕城路</w:t>
            </w:r>
          </w:p>
        </w:tc>
        <w:tc>
          <w:tcPr>
            <w:tcW w:w="1983"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32</w:t>
            </w:r>
          </w:p>
        </w:tc>
        <w:tc>
          <w:tcPr>
            <w:tcW w:w="170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快速路</w:t>
            </w:r>
          </w:p>
        </w:tc>
        <w:tc>
          <w:tcPr>
            <w:tcW w:w="91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规划</w:t>
            </w:r>
          </w:p>
        </w:tc>
      </w:tr>
      <w:tr>
        <w:tblPrEx>
          <w:tblLayout w:type="fixed"/>
          <w:tblCellMar>
            <w:top w:w="0" w:type="dxa"/>
            <w:left w:w="28" w:type="dxa"/>
            <w:bottom w:w="0" w:type="dxa"/>
            <w:right w:w="28" w:type="dxa"/>
          </w:tblCellMar>
        </w:tblPrEx>
        <w:trPr>
          <w:trHeight w:val="20" w:hRule="atLeast"/>
        </w:trPr>
        <w:tc>
          <w:tcPr>
            <w:tcW w:w="1706" w:type="dxa"/>
            <w:vMerge w:val="continue"/>
            <w:tcBorders>
              <w:top w:val="nil"/>
              <w:left w:val="single" w:color="auto" w:sz="4" w:space="0"/>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c>
          <w:tcPr>
            <w:tcW w:w="2551"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九龙大道</w:t>
            </w:r>
          </w:p>
        </w:tc>
        <w:tc>
          <w:tcPr>
            <w:tcW w:w="1983"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45</w:t>
            </w:r>
          </w:p>
        </w:tc>
        <w:tc>
          <w:tcPr>
            <w:tcW w:w="170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交通性主干道</w:t>
            </w:r>
          </w:p>
        </w:tc>
        <w:tc>
          <w:tcPr>
            <w:tcW w:w="91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r>
      <w:tr>
        <w:tblPrEx>
          <w:tblLayout w:type="fixed"/>
          <w:tblCellMar>
            <w:top w:w="0" w:type="dxa"/>
            <w:left w:w="28" w:type="dxa"/>
            <w:bottom w:w="0" w:type="dxa"/>
            <w:right w:w="28" w:type="dxa"/>
          </w:tblCellMar>
        </w:tblPrEx>
        <w:trPr>
          <w:trHeight w:val="20" w:hRule="atLeast"/>
        </w:trPr>
        <w:tc>
          <w:tcPr>
            <w:tcW w:w="1706" w:type="dxa"/>
            <w:vMerge w:val="continue"/>
            <w:tcBorders>
              <w:top w:val="nil"/>
              <w:left w:val="single" w:color="auto" w:sz="4" w:space="0"/>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c>
          <w:tcPr>
            <w:tcW w:w="2551"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綦登路</w:t>
            </w:r>
          </w:p>
        </w:tc>
        <w:tc>
          <w:tcPr>
            <w:tcW w:w="1983"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30</w:t>
            </w:r>
          </w:p>
        </w:tc>
        <w:tc>
          <w:tcPr>
            <w:tcW w:w="170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交通性主干道</w:t>
            </w:r>
          </w:p>
        </w:tc>
        <w:tc>
          <w:tcPr>
            <w:tcW w:w="91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r>
      <w:tr>
        <w:tblPrEx>
          <w:tblLayout w:type="fixed"/>
          <w:tblCellMar>
            <w:top w:w="0" w:type="dxa"/>
            <w:left w:w="28" w:type="dxa"/>
            <w:bottom w:w="0" w:type="dxa"/>
            <w:right w:w="28" w:type="dxa"/>
          </w:tblCellMar>
        </w:tblPrEx>
        <w:trPr>
          <w:trHeight w:val="20" w:hRule="atLeast"/>
        </w:trPr>
        <w:tc>
          <w:tcPr>
            <w:tcW w:w="1706" w:type="dxa"/>
            <w:vMerge w:val="continue"/>
            <w:tcBorders>
              <w:top w:val="nil"/>
              <w:left w:val="single" w:color="auto" w:sz="4" w:space="0"/>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c>
          <w:tcPr>
            <w:tcW w:w="2551"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通惠大道</w:t>
            </w:r>
          </w:p>
        </w:tc>
        <w:tc>
          <w:tcPr>
            <w:tcW w:w="1983"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36</w:t>
            </w:r>
          </w:p>
        </w:tc>
        <w:tc>
          <w:tcPr>
            <w:tcW w:w="170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交通性主干道</w:t>
            </w:r>
          </w:p>
        </w:tc>
        <w:tc>
          <w:tcPr>
            <w:tcW w:w="91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r>
      <w:tr>
        <w:tblPrEx>
          <w:tblLayout w:type="fixed"/>
          <w:tblCellMar>
            <w:top w:w="0" w:type="dxa"/>
            <w:left w:w="28" w:type="dxa"/>
            <w:bottom w:w="0" w:type="dxa"/>
            <w:right w:w="28" w:type="dxa"/>
          </w:tblCellMar>
        </w:tblPrEx>
        <w:trPr>
          <w:trHeight w:val="20" w:hRule="atLeast"/>
        </w:trPr>
        <w:tc>
          <w:tcPr>
            <w:tcW w:w="1706" w:type="dxa"/>
            <w:vMerge w:val="continue"/>
            <w:tcBorders>
              <w:top w:val="nil"/>
              <w:left w:val="single" w:color="auto" w:sz="4" w:space="0"/>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c>
          <w:tcPr>
            <w:tcW w:w="2551"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登瀛大道</w:t>
            </w:r>
          </w:p>
        </w:tc>
        <w:tc>
          <w:tcPr>
            <w:tcW w:w="1983"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43</w:t>
            </w:r>
          </w:p>
        </w:tc>
        <w:tc>
          <w:tcPr>
            <w:tcW w:w="170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交通性主干道</w:t>
            </w:r>
          </w:p>
        </w:tc>
        <w:tc>
          <w:tcPr>
            <w:tcW w:w="91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r>
      <w:tr>
        <w:tblPrEx>
          <w:tblLayout w:type="fixed"/>
          <w:tblCellMar>
            <w:top w:w="0" w:type="dxa"/>
            <w:left w:w="28" w:type="dxa"/>
            <w:bottom w:w="0" w:type="dxa"/>
            <w:right w:w="28" w:type="dxa"/>
          </w:tblCellMar>
        </w:tblPrEx>
        <w:trPr>
          <w:trHeight w:val="20" w:hRule="atLeast"/>
        </w:trPr>
        <w:tc>
          <w:tcPr>
            <w:tcW w:w="1706" w:type="dxa"/>
            <w:vMerge w:val="continue"/>
            <w:tcBorders>
              <w:top w:val="nil"/>
              <w:left w:val="single" w:color="auto" w:sz="4" w:space="0"/>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c>
          <w:tcPr>
            <w:tcW w:w="2551"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西齿大道</w:t>
            </w:r>
          </w:p>
        </w:tc>
        <w:tc>
          <w:tcPr>
            <w:tcW w:w="1983"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36</w:t>
            </w:r>
          </w:p>
        </w:tc>
        <w:tc>
          <w:tcPr>
            <w:tcW w:w="170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交通性主干道</w:t>
            </w:r>
          </w:p>
        </w:tc>
        <w:tc>
          <w:tcPr>
            <w:tcW w:w="91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r>
      <w:tr>
        <w:tblPrEx>
          <w:tblLayout w:type="fixed"/>
          <w:tblCellMar>
            <w:top w:w="0" w:type="dxa"/>
            <w:left w:w="28" w:type="dxa"/>
            <w:bottom w:w="0" w:type="dxa"/>
            <w:right w:w="28" w:type="dxa"/>
          </w:tblCellMar>
        </w:tblPrEx>
        <w:trPr>
          <w:trHeight w:val="20" w:hRule="atLeast"/>
        </w:trPr>
        <w:tc>
          <w:tcPr>
            <w:tcW w:w="1706" w:type="dxa"/>
            <w:vMerge w:val="continue"/>
            <w:tcBorders>
              <w:top w:val="nil"/>
              <w:left w:val="single" w:color="auto" w:sz="4" w:space="0"/>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c>
          <w:tcPr>
            <w:tcW w:w="2551"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新国道210段</w:t>
            </w:r>
          </w:p>
        </w:tc>
        <w:tc>
          <w:tcPr>
            <w:tcW w:w="1983"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30</w:t>
            </w:r>
          </w:p>
        </w:tc>
        <w:tc>
          <w:tcPr>
            <w:tcW w:w="170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交通性主干道</w:t>
            </w:r>
          </w:p>
        </w:tc>
        <w:tc>
          <w:tcPr>
            <w:tcW w:w="91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r>
      <w:tr>
        <w:tblPrEx>
          <w:tblLayout w:type="fixed"/>
          <w:tblCellMar>
            <w:top w:w="0" w:type="dxa"/>
            <w:left w:w="28" w:type="dxa"/>
            <w:bottom w:w="0" w:type="dxa"/>
            <w:right w:w="28" w:type="dxa"/>
          </w:tblCellMar>
        </w:tblPrEx>
        <w:trPr>
          <w:trHeight w:val="1215" w:hRule="atLeast"/>
        </w:trPr>
        <w:tc>
          <w:tcPr>
            <w:tcW w:w="1706" w:type="dxa"/>
            <w:vMerge w:val="continue"/>
            <w:tcBorders>
              <w:top w:val="nil"/>
              <w:left w:val="single" w:color="auto" w:sz="4" w:space="0"/>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c>
          <w:tcPr>
            <w:tcW w:w="2551"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省道312（城区至北渡段）</w:t>
            </w:r>
          </w:p>
        </w:tc>
        <w:tc>
          <w:tcPr>
            <w:tcW w:w="1983"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32</w:t>
            </w:r>
          </w:p>
        </w:tc>
        <w:tc>
          <w:tcPr>
            <w:tcW w:w="170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交通性主干道</w:t>
            </w:r>
          </w:p>
        </w:tc>
        <w:tc>
          <w:tcPr>
            <w:tcW w:w="91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r>
      <w:tr>
        <w:tblPrEx>
          <w:tblLayout w:type="fixed"/>
          <w:tblCellMar>
            <w:top w:w="0" w:type="dxa"/>
            <w:left w:w="28" w:type="dxa"/>
            <w:bottom w:w="0" w:type="dxa"/>
            <w:right w:w="28" w:type="dxa"/>
          </w:tblCellMar>
        </w:tblPrEx>
        <w:trPr>
          <w:trHeight w:val="20" w:hRule="atLeast"/>
        </w:trPr>
        <w:tc>
          <w:tcPr>
            <w:tcW w:w="1706" w:type="dxa"/>
            <w:vMerge w:val="continue"/>
            <w:tcBorders>
              <w:top w:val="nil"/>
              <w:left w:val="single" w:color="auto" w:sz="4" w:space="0"/>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c>
          <w:tcPr>
            <w:tcW w:w="2551"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雷园路</w:t>
            </w:r>
          </w:p>
        </w:tc>
        <w:tc>
          <w:tcPr>
            <w:tcW w:w="1983"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26</w:t>
            </w:r>
          </w:p>
        </w:tc>
        <w:tc>
          <w:tcPr>
            <w:tcW w:w="170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交通性主干道</w:t>
            </w:r>
          </w:p>
        </w:tc>
        <w:tc>
          <w:tcPr>
            <w:tcW w:w="91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r>
      <w:tr>
        <w:tblPrEx>
          <w:tblLayout w:type="fixed"/>
          <w:tblCellMar>
            <w:top w:w="0" w:type="dxa"/>
            <w:left w:w="28" w:type="dxa"/>
            <w:bottom w:w="0" w:type="dxa"/>
            <w:right w:w="28" w:type="dxa"/>
          </w:tblCellMar>
        </w:tblPrEx>
        <w:trPr>
          <w:trHeight w:val="1305" w:hRule="atLeast"/>
        </w:trPr>
        <w:tc>
          <w:tcPr>
            <w:tcW w:w="1706" w:type="dxa"/>
            <w:vMerge w:val="continue"/>
            <w:tcBorders>
              <w:top w:val="nil"/>
              <w:left w:val="single" w:color="auto" w:sz="4" w:space="0"/>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c>
          <w:tcPr>
            <w:tcW w:w="2551"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共同片区与北部新城连接道</w:t>
            </w:r>
          </w:p>
        </w:tc>
        <w:tc>
          <w:tcPr>
            <w:tcW w:w="1983"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36</w:t>
            </w:r>
          </w:p>
        </w:tc>
        <w:tc>
          <w:tcPr>
            <w:tcW w:w="170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交通性主干道</w:t>
            </w:r>
          </w:p>
        </w:tc>
        <w:tc>
          <w:tcPr>
            <w:tcW w:w="91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规划</w:t>
            </w:r>
          </w:p>
        </w:tc>
      </w:tr>
      <w:tr>
        <w:tblPrEx>
          <w:tblLayout w:type="fixed"/>
          <w:tblCellMar>
            <w:top w:w="0" w:type="dxa"/>
            <w:left w:w="28" w:type="dxa"/>
            <w:bottom w:w="0" w:type="dxa"/>
            <w:right w:w="28" w:type="dxa"/>
          </w:tblCellMar>
        </w:tblPrEx>
        <w:trPr>
          <w:trHeight w:val="20" w:hRule="atLeast"/>
        </w:trPr>
        <w:tc>
          <w:tcPr>
            <w:tcW w:w="1706" w:type="dxa"/>
            <w:vMerge w:val="continue"/>
            <w:tcBorders>
              <w:top w:val="nil"/>
              <w:left w:val="single" w:color="auto" w:sz="4" w:space="0"/>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c>
          <w:tcPr>
            <w:tcW w:w="2551"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桥</w:t>
            </w:r>
            <w:r>
              <w:rPr>
                <w:spacing w:val="-17"/>
                <w:kern w:val="0"/>
                <w:sz w:val="28"/>
                <w:szCs w:val="28"/>
              </w:rPr>
              <w:t>河园区蝴蝶谷主干道</w:t>
            </w:r>
          </w:p>
        </w:tc>
        <w:tc>
          <w:tcPr>
            <w:tcW w:w="1983"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45</w:t>
            </w:r>
          </w:p>
        </w:tc>
        <w:tc>
          <w:tcPr>
            <w:tcW w:w="170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交通性主干道</w:t>
            </w:r>
          </w:p>
        </w:tc>
        <w:tc>
          <w:tcPr>
            <w:tcW w:w="91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规划</w:t>
            </w:r>
          </w:p>
        </w:tc>
      </w:tr>
      <w:tr>
        <w:tblPrEx>
          <w:tblLayout w:type="fixed"/>
          <w:tblCellMar>
            <w:top w:w="0" w:type="dxa"/>
            <w:left w:w="28" w:type="dxa"/>
            <w:bottom w:w="0" w:type="dxa"/>
            <w:right w:w="28" w:type="dxa"/>
          </w:tblCellMar>
        </w:tblPrEx>
        <w:trPr>
          <w:trHeight w:val="20" w:hRule="atLeast"/>
        </w:trPr>
        <w:tc>
          <w:tcPr>
            <w:tcW w:w="1706" w:type="dxa"/>
            <w:vMerge w:val="continue"/>
            <w:tcBorders>
              <w:top w:val="nil"/>
              <w:left w:val="single" w:color="auto" w:sz="4" w:space="0"/>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c>
          <w:tcPr>
            <w:tcW w:w="2551"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北部新城环城路</w:t>
            </w:r>
          </w:p>
        </w:tc>
        <w:tc>
          <w:tcPr>
            <w:tcW w:w="1983"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30</w:t>
            </w:r>
          </w:p>
        </w:tc>
        <w:tc>
          <w:tcPr>
            <w:tcW w:w="170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交通性主干道</w:t>
            </w:r>
          </w:p>
        </w:tc>
        <w:tc>
          <w:tcPr>
            <w:tcW w:w="91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规划</w:t>
            </w:r>
          </w:p>
        </w:tc>
      </w:tr>
      <w:tr>
        <w:tblPrEx>
          <w:tblLayout w:type="fixed"/>
          <w:tblCellMar>
            <w:top w:w="0" w:type="dxa"/>
            <w:left w:w="28" w:type="dxa"/>
            <w:bottom w:w="0" w:type="dxa"/>
            <w:right w:w="28" w:type="dxa"/>
          </w:tblCellMar>
        </w:tblPrEx>
        <w:trPr>
          <w:trHeight w:val="20" w:hRule="atLeast"/>
        </w:trPr>
        <w:tc>
          <w:tcPr>
            <w:tcW w:w="1706" w:type="dxa"/>
            <w:vMerge w:val="continue"/>
            <w:tcBorders>
              <w:top w:val="nil"/>
              <w:left w:val="single" w:color="auto" w:sz="4" w:space="0"/>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c>
          <w:tcPr>
            <w:tcW w:w="2551"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永桐新城快速路</w:t>
            </w:r>
          </w:p>
        </w:tc>
        <w:tc>
          <w:tcPr>
            <w:tcW w:w="1983"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36</w:t>
            </w:r>
          </w:p>
        </w:tc>
        <w:tc>
          <w:tcPr>
            <w:tcW w:w="170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交通性主干道</w:t>
            </w:r>
          </w:p>
        </w:tc>
        <w:tc>
          <w:tcPr>
            <w:tcW w:w="91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规划</w:t>
            </w:r>
          </w:p>
        </w:tc>
      </w:tr>
      <w:tr>
        <w:tblPrEx>
          <w:tblLayout w:type="fixed"/>
          <w:tblCellMar>
            <w:top w:w="0" w:type="dxa"/>
            <w:left w:w="28" w:type="dxa"/>
            <w:bottom w:w="0" w:type="dxa"/>
            <w:right w:w="28" w:type="dxa"/>
          </w:tblCellMar>
        </w:tblPrEx>
        <w:trPr>
          <w:trHeight w:val="20" w:hRule="atLeast"/>
        </w:trPr>
        <w:tc>
          <w:tcPr>
            <w:tcW w:w="1706" w:type="dxa"/>
            <w:vMerge w:val="restart"/>
            <w:tcBorders>
              <w:top w:val="nil"/>
              <w:left w:val="single" w:color="auto" w:sz="4" w:space="0"/>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疏散主干道</w:t>
            </w:r>
          </w:p>
        </w:tc>
        <w:tc>
          <w:tcPr>
            <w:tcW w:w="2551"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沙溪路</w:t>
            </w:r>
          </w:p>
        </w:tc>
        <w:tc>
          <w:tcPr>
            <w:tcW w:w="1983"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28</w:t>
            </w:r>
          </w:p>
        </w:tc>
        <w:tc>
          <w:tcPr>
            <w:tcW w:w="170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生活性干道</w:t>
            </w:r>
          </w:p>
        </w:tc>
        <w:tc>
          <w:tcPr>
            <w:tcW w:w="91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r>
      <w:tr>
        <w:tblPrEx>
          <w:tblLayout w:type="fixed"/>
          <w:tblCellMar>
            <w:top w:w="0" w:type="dxa"/>
            <w:left w:w="28" w:type="dxa"/>
            <w:bottom w:w="0" w:type="dxa"/>
            <w:right w:w="28" w:type="dxa"/>
          </w:tblCellMar>
        </w:tblPrEx>
        <w:trPr>
          <w:trHeight w:val="20" w:hRule="atLeast"/>
        </w:trPr>
        <w:tc>
          <w:tcPr>
            <w:tcW w:w="1706" w:type="dxa"/>
            <w:vMerge w:val="continue"/>
            <w:tcBorders>
              <w:top w:val="nil"/>
              <w:left w:val="single" w:color="auto" w:sz="4" w:space="0"/>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c>
          <w:tcPr>
            <w:tcW w:w="2551"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滨河大道</w:t>
            </w:r>
          </w:p>
        </w:tc>
        <w:tc>
          <w:tcPr>
            <w:tcW w:w="1983"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32</w:t>
            </w:r>
          </w:p>
        </w:tc>
        <w:tc>
          <w:tcPr>
            <w:tcW w:w="170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生活性干道</w:t>
            </w:r>
          </w:p>
        </w:tc>
        <w:tc>
          <w:tcPr>
            <w:tcW w:w="91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r>
      <w:tr>
        <w:tblPrEx>
          <w:tblLayout w:type="fixed"/>
          <w:tblCellMar>
            <w:top w:w="0" w:type="dxa"/>
            <w:left w:w="28" w:type="dxa"/>
            <w:bottom w:w="0" w:type="dxa"/>
            <w:right w:w="28" w:type="dxa"/>
          </w:tblCellMar>
        </w:tblPrEx>
        <w:trPr>
          <w:trHeight w:val="20" w:hRule="atLeast"/>
        </w:trPr>
        <w:tc>
          <w:tcPr>
            <w:tcW w:w="1706" w:type="dxa"/>
            <w:vMerge w:val="continue"/>
            <w:tcBorders>
              <w:top w:val="nil"/>
              <w:left w:val="single" w:color="auto" w:sz="4" w:space="0"/>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c>
          <w:tcPr>
            <w:tcW w:w="2551"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南方翻译学院支路</w:t>
            </w:r>
          </w:p>
        </w:tc>
        <w:tc>
          <w:tcPr>
            <w:tcW w:w="1983"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24</w:t>
            </w:r>
          </w:p>
        </w:tc>
        <w:tc>
          <w:tcPr>
            <w:tcW w:w="170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生活性干道</w:t>
            </w:r>
          </w:p>
        </w:tc>
        <w:tc>
          <w:tcPr>
            <w:tcW w:w="91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r>
      <w:tr>
        <w:tblPrEx>
          <w:tblLayout w:type="fixed"/>
          <w:tblCellMar>
            <w:top w:w="0" w:type="dxa"/>
            <w:left w:w="28" w:type="dxa"/>
            <w:bottom w:w="0" w:type="dxa"/>
            <w:right w:w="28" w:type="dxa"/>
          </w:tblCellMar>
        </w:tblPrEx>
        <w:trPr>
          <w:trHeight w:val="20" w:hRule="atLeast"/>
        </w:trPr>
        <w:tc>
          <w:tcPr>
            <w:tcW w:w="1706" w:type="dxa"/>
            <w:vMerge w:val="continue"/>
            <w:tcBorders>
              <w:top w:val="nil"/>
              <w:left w:val="single" w:color="auto" w:sz="4" w:space="0"/>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c>
          <w:tcPr>
            <w:tcW w:w="2551"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龙角路</w:t>
            </w:r>
          </w:p>
        </w:tc>
        <w:tc>
          <w:tcPr>
            <w:tcW w:w="1983"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24</w:t>
            </w:r>
          </w:p>
        </w:tc>
        <w:tc>
          <w:tcPr>
            <w:tcW w:w="170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生活性干道</w:t>
            </w:r>
          </w:p>
        </w:tc>
        <w:tc>
          <w:tcPr>
            <w:tcW w:w="91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r>
      <w:tr>
        <w:tblPrEx>
          <w:tblLayout w:type="fixed"/>
          <w:tblCellMar>
            <w:top w:w="0" w:type="dxa"/>
            <w:left w:w="28" w:type="dxa"/>
            <w:bottom w:w="0" w:type="dxa"/>
            <w:right w:w="28" w:type="dxa"/>
          </w:tblCellMar>
        </w:tblPrEx>
        <w:trPr>
          <w:trHeight w:val="20" w:hRule="atLeast"/>
        </w:trPr>
        <w:tc>
          <w:tcPr>
            <w:tcW w:w="1706" w:type="dxa"/>
            <w:vMerge w:val="continue"/>
            <w:tcBorders>
              <w:top w:val="nil"/>
              <w:left w:val="single" w:color="auto" w:sz="4" w:space="0"/>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c>
          <w:tcPr>
            <w:tcW w:w="2551"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上升街</w:t>
            </w:r>
          </w:p>
        </w:tc>
        <w:tc>
          <w:tcPr>
            <w:tcW w:w="1983"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24</w:t>
            </w:r>
          </w:p>
        </w:tc>
        <w:tc>
          <w:tcPr>
            <w:tcW w:w="170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生活性干道</w:t>
            </w:r>
          </w:p>
        </w:tc>
        <w:tc>
          <w:tcPr>
            <w:tcW w:w="91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r>
      <w:tr>
        <w:tblPrEx>
          <w:tblLayout w:type="fixed"/>
          <w:tblCellMar>
            <w:top w:w="0" w:type="dxa"/>
            <w:left w:w="28" w:type="dxa"/>
            <w:bottom w:w="0" w:type="dxa"/>
            <w:right w:w="28" w:type="dxa"/>
          </w:tblCellMar>
        </w:tblPrEx>
        <w:trPr>
          <w:trHeight w:val="20" w:hRule="atLeast"/>
        </w:trPr>
        <w:tc>
          <w:tcPr>
            <w:tcW w:w="1706" w:type="dxa"/>
            <w:vMerge w:val="continue"/>
            <w:tcBorders>
              <w:top w:val="nil"/>
              <w:left w:val="single" w:color="auto" w:sz="4" w:space="0"/>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c>
          <w:tcPr>
            <w:tcW w:w="2551"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枣园大道</w:t>
            </w:r>
          </w:p>
        </w:tc>
        <w:tc>
          <w:tcPr>
            <w:tcW w:w="1983"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24</w:t>
            </w:r>
          </w:p>
        </w:tc>
        <w:tc>
          <w:tcPr>
            <w:tcW w:w="170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交通性干道</w:t>
            </w:r>
          </w:p>
        </w:tc>
        <w:tc>
          <w:tcPr>
            <w:tcW w:w="91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r>
      <w:tr>
        <w:tblPrEx>
          <w:tblLayout w:type="fixed"/>
          <w:tblCellMar>
            <w:top w:w="0" w:type="dxa"/>
            <w:left w:w="28" w:type="dxa"/>
            <w:bottom w:w="0" w:type="dxa"/>
            <w:right w:w="28" w:type="dxa"/>
          </w:tblCellMar>
        </w:tblPrEx>
        <w:trPr>
          <w:trHeight w:val="20" w:hRule="atLeast"/>
        </w:trPr>
        <w:tc>
          <w:tcPr>
            <w:tcW w:w="1706" w:type="dxa"/>
            <w:vMerge w:val="continue"/>
            <w:tcBorders>
              <w:top w:val="nil"/>
              <w:left w:val="single" w:color="auto" w:sz="4" w:space="0"/>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c>
          <w:tcPr>
            <w:tcW w:w="2551"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共同发展大道</w:t>
            </w:r>
          </w:p>
        </w:tc>
        <w:tc>
          <w:tcPr>
            <w:tcW w:w="1983"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32</w:t>
            </w:r>
          </w:p>
        </w:tc>
        <w:tc>
          <w:tcPr>
            <w:tcW w:w="170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交通性干道</w:t>
            </w:r>
          </w:p>
        </w:tc>
        <w:tc>
          <w:tcPr>
            <w:tcW w:w="91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规划</w:t>
            </w:r>
          </w:p>
        </w:tc>
      </w:tr>
      <w:tr>
        <w:tblPrEx>
          <w:tblLayout w:type="fixed"/>
          <w:tblCellMar>
            <w:top w:w="0" w:type="dxa"/>
            <w:left w:w="28" w:type="dxa"/>
            <w:bottom w:w="0" w:type="dxa"/>
            <w:right w:w="28" w:type="dxa"/>
          </w:tblCellMar>
        </w:tblPrEx>
        <w:trPr>
          <w:trHeight w:val="20" w:hRule="atLeast"/>
        </w:trPr>
        <w:tc>
          <w:tcPr>
            <w:tcW w:w="1706" w:type="dxa"/>
            <w:vMerge w:val="continue"/>
            <w:tcBorders>
              <w:top w:val="nil"/>
              <w:left w:val="single" w:color="auto" w:sz="4" w:space="0"/>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c>
          <w:tcPr>
            <w:tcW w:w="2551"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桥河金福大道</w:t>
            </w:r>
          </w:p>
        </w:tc>
        <w:tc>
          <w:tcPr>
            <w:tcW w:w="1983"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32</w:t>
            </w:r>
          </w:p>
        </w:tc>
        <w:tc>
          <w:tcPr>
            <w:tcW w:w="170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交通性干道</w:t>
            </w:r>
          </w:p>
        </w:tc>
        <w:tc>
          <w:tcPr>
            <w:tcW w:w="91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r>
      <w:tr>
        <w:tblPrEx>
          <w:tblLayout w:type="fixed"/>
          <w:tblCellMar>
            <w:top w:w="0" w:type="dxa"/>
            <w:left w:w="28" w:type="dxa"/>
            <w:bottom w:w="0" w:type="dxa"/>
            <w:right w:w="28" w:type="dxa"/>
          </w:tblCellMar>
        </w:tblPrEx>
        <w:trPr>
          <w:trHeight w:val="20" w:hRule="atLeast"/>
        </w:trPr>
        <w:tc>
          <w:tcPr>
            <w:tcW w:w="1706" w:type="dxa"/>
            <w:vMerge w:val="continue"/>
            <w:tcBorders>
              <w:top w:val="nil"/>
              <w:left w:val="single" w:color="auto" w:sz="4" w:space="0"/>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c>
          <w:tcPr>
            <w:tcW w:w="2551"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三江滨河路</w:t>
            </w:r>
          </w:p>
        </w:tc>
        <w:tc>
          <w:tcPr>
            <w:tcW w:w="1983"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14</w:t>
            </w:r>
          </w:p>
        </w:tc>
        <w:tc>
          <w:tcPr>
            <w:tcW w:w="170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交通性干道</w:t>
            </w:r>
          </w:p>
        </w:tc>
        <w:tc>
          <w:tcPr>
            <w:tcW w:w="91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r>
      <w:tr>
        <w:tblPrEx>
          <w:tblLayout w:type="fixed"/>
          <w:tblCellMar>
            <w:top w:w="0" w:type="dxa"/>
            <w:left w:w="28" w:type="dxa"/>
            <w:bottom w:w="0" w:type="dxa"/>
            <w:right w:w="28" w:type="dxa"/>
          </w:tblCellMar>
        </w:tblPrEx>
        <w:trPr>
          <w:trHeight w:val="20" w:hRule="atLeast"/>
        </w:trPr>
        <w:tc>
          <w:tcPr>
            <w:tcW w:w="1706" w:type="dxa"/>
            <w:vMerge w:val="continue"/>
            <w:tcBorders>
              <w:top w:val="nil"/>
              <w:left w:val="single" w:color="auto" w:sz="4" w:space="0"/>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c>
          <w:tcPr>
            <w:tcW w:w="2551"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永桐新城主干道</w:t>
            </w:r>
          </w:p>
        </w:tc>
        <w:tc>
          <w:tcPr>
            <w:tcW w:w="1983"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36</w:t>
            </w:r>
          </w:p>
        </w:tc>
        <w:tc>
          <w:tcPr>
            <w:tcW w:w="170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交通性干道</w:t>
            </w:r>
          </w:p>
        </w:tc>
        <w:tc>
          <w:tcPr>
            <w:tcW w:w="91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规划</w:t>
            </w:r>
          </w:p>
        </w:tc>
      </w:tr>
      <w:tr>
        <w:tblPrEx>
          <w:tblLayout w:type="fixed"/>
          <w:tblCellMar>
            <w:top w:w="0" w:type="dxa"/>
            <w:left w:w="28" w:type="dxa"/>
            <w:bottom w:w="0" w:type="dxa"/>
            <w:right w:w="28" w:type="dxa"/>
          </w:tblCellMar>
        </w:tblPrEx>
        <w:trPr>
          <w:trHeight w:val="20" w:hRule="atLeast"/>
        </w:trPr>
        <w:tc>
          <w:tcPr>
            <w:tcW w:w="1706" w:type="dxa"/>
            <w:vMerge w:val="continue"/>
            <w:tcBorders>
              <w:top w:val="nil"/>
              <w:left w:val="single" w:color="auto" w:sz="4" w:space="0"/>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p>
        </w:tc>
        <w:tc>
          <w:tcPr>
            <w:tcW w:w="2551"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北部新城主干道</w:t>
            </w:r>
          </w:p>
        </w:tc>
        <w:tc>
          <w:tcPr>
            <w:tcW w:w="1983"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30</w:t>
            </w:r>
          </w:p>
        </w:tc>
        <w:tc>
          <w:tcPr>
            <w:tcW w:w="170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交通性干道</w:t>
            </w:r>
          </w:p>
        </w:tc>
        <w:tc>
          <w:tcPr>
            <w:tcW w:w="912" w:type="dxa"/>
            <w:tcBorders>
              <w:top w:val="nil"/>
              <w:left w:val="nil"/>
              <w:bottom w:val="single" w:color="auto" w:sz="4" w:space="0"/>
              <w:right w:val="single" w:color="auto" w:sz="4" w:space="0"/>
            </w:tcBorders>
            <w:tcMar>
              <w:left w:w="0" w:type="dxa"/>
              <w:right w:w="0" w:type="dxa"/>
            </w:tcMar>
            <w:vAlign w:val="center"/>
          </w:tcPr>
          <w:p>
            <w:pPr>
              <w:widowControl/>
              <w:spacing w:line="480" w:lineRule="exact"/>
              <w:jc w:val="center"/>
              <w:rPr>
                <w:kern w:val="0"/>
                <w:sz w:val="28"/>
                <w:szCs w:val="28"/>
              </w:rPr>
            </w:pPr>
            <w:r>
              <w:rPr>
                <w:kern w:val="0"/>
                <w:sz w:val="28"/>
                <w:szCs w:val="28"/>
              </w:rPr>
              <w:t>规划</w:t>
            </w:r>
          </w:p>
        </w:tc>
      </w:tr>
    </w:tbl>
    <w:p>
      <w:pPr>
        <w:spacing w:line="576" w:lineRule="exact"/>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7"/>
        <w:keepNext/>
        <w:spacing w:line="576" w:lineRule="exact"/>
        <w:rPr>
          <w:rFonts w:hint="eastAsia" w:ascii="Times New Roman" w:hAnsi="Times New Roman" w:eastAsia="方正黑体_GBK" w:cs="Times New Roman"/>
          <w:sz w:val="32"/>
          <w:szCs w:val="32"/>
          <w:lang w:val="en-US" w:eastAsia="zh-CN" w:bidi="ar"/>
        </w:rPr>
      </w:pPr>
      <w:bookmarkStart w:id="374" w:name="_Ref113970182"/>
      <w:bookmarkStart w:id="375" w:name="_Ref156315249"/>
      <w:bookmarkStart w:id="376" w:name="_Ref30576"/>
      <w:bookmarkStart w:id="377" w:name="_Toc158043565"/>
      <w:bookmarkStart w:id="378" w:name="_Toc156308084"/>
      <w:r>
        <w:rPr>
          <w:rFonts w:hint="default" w:ascii="Times New Roman" w:hAnsi="Times New Roman" w:eastAsia="方正黑体_GBK" w:cs="Times New Roman"/>
          <w:sz w:val="32"/>
          <w:szCs w:val="32"/>
          <w:lang w:bidi="ar"/>
        </w:rPr>
        <w:t>附表</w:t>
      </w:r>
      <w:bookmarkEnd w:id="374"/>
      <w:bookmarkEnd w:id="375"/>
      <w:r>
        <w:rPr>
          <w:rFonts w:hint="eastAsia" w:ascii="Times New Roman" w:hAnsi="Times New Roman" w:eastAsia="方正黑体_GBK" w:cs="Times New Roman"/>
          <w:sz w:val="32"/>
          <w:szCs w:val="32"/>
          <w:lang w:val="en-US" w:eastAsia="zh-CN" w:bidi="ar"/>
        </w:rPr>
        <w:t xml:space="preserve">8 </w:t>
      </w:r>
    </w:p>
    <w:p>
      <w:pPr>
        <w:pStyle w:val="7"/>
        <w:keepNext/>
        <w:spacing w:line="576" w:lineRule="exact"/>
        <w:jc w:val="center"/>
        <w:rPr>
          <w:rFonts w:hint="default" w:ascii="Times New Roman" w:hAnsi="Times New Roman" w:eastAsia="方正黑体_GBK" w:cs="Times New Roman"/>
          <w:sz w:val="32"/>
          <w:szCs w:val="32"/>
          <w:lang w:bidi="ar"/>
        </w:rPr>
      </w:pPr>
      <w:r>
        <w:rPr>
          <w:rFonts w:hint="default" w:ascii="Times New Roman" w:hAnsi="Times New Roman" w:eastAsia="方正黑体_GBK" w:cs="Times New Roman"/>
          <w:sz w:val="32"/>
          <w:szCs w:val="32"/>
          <w:lang w:bidi="ar"/>
        </w:rPr>
        <w:t>綦江中心城区各级避难场所设施配置一览表</w:t>
      </w:r>
      <w:bookmarkEnd w:id="376"/>
      <w:bookmarkEnd w:id="377"/>
      <w:bookmarkEnd w:id="378"/>
    </w:p>
    <w:p>
      <w:pPr>
        <w:rPr>
          <w:rFonts w:hint="default"/>
        </w:rPr>
      </w:pPr>
    </w:p>
    <w:tbl>
      <w:tblPr>
        <w:tblStyle w:val="18"/>
        <w:tblW w:w="8857" w:type="dxa"/>
        <w:tblInd w:w="0" w:type="dxa"/>
        <w:tblLayout w:type="fixed"/>
        <w:tblCellMar>
          <w:top w:w="0" w:type="dxa"/>
          <w:left w:w="28" w:type="dxa"/>
          <w:bottom w:w="0" w:type="dxa"/>
          <w:right w:w="28" w:type="dxa"/>
        </w:tblCellMar>
      </w:tblPr>
      <w:tblGrid>
        <w:gridCol w:w="458"/>
        <w:gridCol w:w="1268"/>
        <w:gridCol w:w="3645"/>
        <w:gridCol w:w="1107"/>
        <w:gridCol w:w="1107"/>
        <w:gridCol w:w="1272"/>
      </w:tblGrid>
      <w:tr>
        <w:tblPrEx>
          <w:tblLayout w:type="fixed"/>
          <w:tblCellMar>
            <w:top w:w="0" w:type="dxa"/>
            <w:left w:w="28" w:type="dxa"/>
            <w:bottom w:w="0" w:type="dxa"/>
            <w:right w:w="28" w:type="dxa"/>
          </w:tblCellMar>
        </w:tblPrEx>
        <w:trPr>
          <w:trHeight w:val="940" w:hRule="atLeast"/>
          <w:tblHeader/>
        </w:trPr>
        <w:tc>
          <w:tcPr>
            <w:tcW w:w="4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rFonts w:hint="default" w:ascii="Times New Roman" w:hAnsi="Times New Roman" w:eastAsia="方正黑体_GBK" w:cs="Times New Roman"/>
                <w:b w:val="0"/>
                <w:bCs w:val="0"/>
                <w:color w:val="000000"/>
                <w:kern w:val="0"/>
                <w:sz w:val="28"/>
                <w:szCs w:val="28"/>
              </w:rPr>
            </w:pPr>
            <w:r>
              <w:rPr>
                <w:rFonts w:hint="default" w:ascii="Times New Roman" w:hAnsi="Times New Roman" w:eastAsia="方正黑体_GBK" w:cs="Times New Roman"/>
                <w:b w:val="0"/>
                <w:bCs w:val="0"/>
                <w:color w:val="000000"/>
                <w:kern w:val="0"/>
                <w:sz w:val="28"/>
                <w:szCs w:val="28"/>
              </w:rPr>
              <w:t>序号</w:t>
            </w:r>
          </w:p>
        </w:tc>
        <w:tc>
          <w:tcPr>
            <w:tcW w:w="1268"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rFonts w:hint="default" w:ascii="Times New Roman" w:hAnsi="Times New Roman" w:eastAsia="方正黑体_GBK" w:cs="Times New Roman"/>
                <w:b w:val="0"/>
                <w:bCs w:val="0"/>
                <w:color w:val="000000"/>
                <w:kern w:val="0"/>
                <w:sz w:val="28"/>
                <w:szCs w:val="28"/>
              </w:rPr>
            </w:pPr>
            <w:r>
              <w:rPr>
                <w:rFonts w:hint="default" w:ascii="Times New Roman" w:hAnsi="Times New Roman" w:eastAsia="方正黑体_GBK" w:cs="Times New Roman"/>
                <w:b w:val="0"/>
                <w:bCs w:val="0"/>
                <w:color w:val="000000"/>
                <w:kern w:val="0"/>
                <w:sz w:val="28"/>
                <w:szCs w:val="28"/>
              </w:rPr>
              <w:t>应急项目</w:t>
            </w:r>
          </w:p>
        </w:tc>
        <w:tc>
          <w:tcPr>
            <w:tcW w:w="3645"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rFonts w:hint="default" w:ascii="Times New Roman" w:hAnsi="Times New Roman" w:eastAsia="方正黑体_GBK" w:cs="Times New Roman"/>
                <w:b w:val="0"/>
                <w:bCs w:val="0"/>
                <w:color w:val="000000"/>
                <w:kern w:val="0"/>
                <w:sz w:val="28"/>
                <w:szCs w:val="28"/>
              </w:rPr>
            </w:pPr>
            <w:r>
              <w:rPr>
                <w:rFonts w:hint="default" w:ascii="Times New Roman" w:hAnsi="Times New Roman" w:eastAsia="方正黑体_GBK" w:cs="Times New Roman"/>
                <w:b w:val="0"/>
                <w:bCs w:val="0"/>
                <w:color w:val="000000"/>
                <w:kern w:val="0"/>
                <w:sz w:val="28"/>
                <w:szCs w:val="28"/>
              </w:rPr>
              <w:t>场所类型</w:t>
            </w:r>
          </w:p>
        </w:tc>
        <w:tc>
          <w:tcPr>
            <w:tcW w:w="1107"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rFonts w:hint="default" w:ascii="Times New Roman" w:hAnsi="Times New Roman" w:eastAsia="方正黑体_GBK" w:cs="Times New Roman"/>
                <w:b w:val="0"/>
                <w:bCs w:val="0"/>
                <w:color w:val="000000"/>
                <w:kern w:val="0"/>
                <w:sz w:val="28"/>
                <w:szCs w:val="28"/>
              </w:rPr>
            </w:pPr>
            <w:r>
              <w:rPr>
                <w:rFonts w:hint="default" w:ascii="Times New Roman" w:hAnsi="Times New Roman" w:eastAsia="方正黑体_GBK" w:cs="Times New Roman"/>
                <w:b w:val="0"/>
                <w:bCs w:val="0"/>
                <w:color w:val="000000"/>
                <w:kern w:val="0"/>
                <w:sz w:val="28"/>
                <w:szCs w:val="28"/>
              </w:rPr>
              <w:t>暂时避难场所</w:t>
            </w:r>
          </w:p>
        </w:tc>
        <w:tc>
          <w:tcPr>
            <w:tcW w:w="1107"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rFonts w:hint="default" w:ascii="Times New Roman" w:hAnsi="Times New Roman" w:eastAsia="方正黑体_GBK" w:cs="Times New Roman"/>
                <w:b w:val="0"/>
                <w:bCs w:val="0"/>
                <w:color w:val="000000"/>
                <w:kern w:val="0"/>
                <w:sz w:val="28"/>
                <w:szCs w:val="28"/>
              </w:rPr>
            </w:pPr>
            <w:r>
              <w:rPr>
                <w:rFonts w:hint="default" w:ascii="Times New Roman" w:hAnsi="Times New Roman" w:eastAsia="方正黑体_GBK" w:cs="Times New Roman"/>
                <w:b w:val="0"/>
                <w:bCs w:val="0"/>
                <w:color w:val="000000"/>
                <w:kern w:val="0"/>
                <w:sz w:val="28"/>
                <w:szCs w:val="28"/>
              </w:rPr>
              <w:t>短期避难场所</w:t>
            </w:r>
          </w:p>
        </w:tc>
        <w:tc>
          <w:tcPr>
            <w:tcW w:w="1272"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rFonts w:hint="default" w:ascii="Times New Roman" w:hAnsi="Times New Roman" w:eastAsia="方正黑体_GBK" w:cs="Times New Roman"/>
                <w:b w:val="0"/>
                <w:bCs w:val="0"/>
                <w:color w:val="000000"/>
                <w:kern w:val="0"/>
                <w:sz w:val="28"/>
                <w:szCs w:val="28"/>
              </w:rPr>
            </w:pPr>
            <w:r>
              <w:rPr>
                <w:rFonts w:hint="default" w:ascii="Times New Roman" w:hAnsi="Times New Roman" w:eastAsia="方正黑体_GBK" w:cs="Times New Roman"/>
                <w:b w:val="0"/>
                <w:bCs w:val="0"/>
                <w:color w:val="000000"/>
                <w:kern w:val="0"/>
                <w:sz w:val="28"/>
                <w:szCs w:val="28"/>
              </w:rPr>
              <w:t>中长期避难场所</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1</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应急指挥与管理</w:t>
            </w: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应急指挥区</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　</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2</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场所管理区</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3</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应急标志</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4</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应急功能介绍设施</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　</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5</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应急棚宿</w:t>
            </w: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应急休息区</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6</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应急宿住区</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　</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7</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避难场地</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8</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应急交通</w:t>
            </w: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应急通道</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9</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出入口</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10</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应急停机坪</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　</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11</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应急停车场</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12</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应急交通指挥标志</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31" w:hRule="exac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13</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应急供水</w:t>
            </w: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应急水源</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31" w:hRule="exac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14</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应急储水设施</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31" w:hRule="exac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15</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净水滤水设施</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31" w:hRule="exac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16</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净水滤水设备或用品</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31" w:hRule="exac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17</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配水点</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31" w:hRule="exac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18</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场所应急保障给水管线</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　</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31" w:hRule="exac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19</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市政给水管线</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31" w:hRule="exac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20</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场所给水管线</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31" w:hRule="exac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21</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应急水泵</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22</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饮水处</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23</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应急医疗卫生</w:t>
            </w: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应急医疗区</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24</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急救医院</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25</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重症治疗区</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26</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抢救伤病员的医疗设备</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27</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卫生防疫分隔</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28</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应急医疗所</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29</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医疗卫生室/医务点</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1058"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30</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应急消防</w:t>
            </w: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防火分区，防火分隔，安全疏散通道，消防水源</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31</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消防水井防，消防水水池泵</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32</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消防栓，消防管网</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33</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消防车，消防器材</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34</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应急物资</w:t>
            </w: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应急物资储备区</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　</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35</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物资分发点</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36</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食品、药品等应急物资</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37</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应急供电</w:t>
            </w: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市政应急供电</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58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38</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应急发电区、移动式发电机组</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39</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变电装置</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40</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应急充电站、电站</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5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41</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暂时照明设备</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547"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42</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8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线路，照明装置</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43</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应急通信</w:t>
            </w: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应急通信设备，通信车</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44</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0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通信室、监护室用房</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45</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0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广播室</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46</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0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应</w:t>
            </w:r>
            <w:r>
              <w:rPr>
                <w:color w:val="000000"/>
                <w:spacing w:val="-17"/>
                <w:kern w:val="0"/>
                <w:sz w:val="28"/>
                <w:szCs w:val="28"/>
              </w:rPr>
              <w:t>急广播设备（广播线路和喇叭）</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47</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0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应急电话</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48</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应急排污</w:t>
            </w: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化粪池</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49</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0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应急固定厕所</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50</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0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应急临时厕所</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51</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0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应急排污设施</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52</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0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应急污水吸运设备</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53</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0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污水管网、污水井</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　</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54</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应急垃圾</w:t>
            </w: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应急垃圾储运区</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　</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55</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0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应急垃圾储运设施</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56</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0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垃圾储运车辆</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　</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57</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0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固定垃圾站</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58</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0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垃圾收集点</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59</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其他设施</w:t>
            </w: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综合服务区</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　</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60</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0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会议室</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　</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340"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61</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0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管理办公室、警务室</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35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62</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0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洗衣房</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63</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0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开水间，盥洗室、应急洗浴</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75"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64</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0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售货站，公用电话</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r>
      <w:tr>
        <w:tblPrEx>
          <w:tblLayout w:type="fixed"/>
          <w:tblCellMar>
            <w:top w:w="0" w:type="dxa"/>
            <w:left w:w="28" w:type="dxa"/>
            <w:bottom w:w="0" w:type="dxa"/>
            <w:right w:w="28" w:type="dxa"/>
          </w:tblCellMar>
        </w:tblPrEx>
        <w:trPr>
          <w:trHeight w:val="494" w:hRule="atLeast"/>
        </w:trPr>
        <w:tc>
          <w:tcPr>
            <w:tcW w:w="45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65</w:t>
            </w:r>
          </w:p>
        </w:tc>
        <w:tc>
          <w:tcPr>
            <w:tcW w:w="1268"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400" w:lineRule="exact"/>
              <w:jc w:val="left"/>
              <w:rPr>
                <w:color w:val="000000"/>
                <w:kern w:val="0"/>
                <w:sz w:val="28"/>
                <w:szCs w:val="28"/>
              </w:rPr>
            </w:pPr>
          </w:p>
        </w:tc>
        <w:tc>
          <w:tcPr>
            <w:tcW w:w="36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自行车存放处</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color w:val="000000"/>
                <w:kern w:val="0"/>
                <w:sz w:val="28"/>
                <w:szCs w:val="28"/>
              </w:rPr>
            </w:pPr>
            <w:r>
              <w:rPr>
                <w:color w:val="000000"/>
                <w:kern w:val="0"/>
                <w:sz w:val="28"/>
                <w:szCs w:val="28"/>
              </w:rPr>
              <w:t>　</w:t>
            </w:r>
          </w:p>
        </w:tc>
        <w:tc>
          <w:tcPr>
            <w:tcW w:w="110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c>
          <w:tcPr>
            <w:tcW w:w="1272"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00" w:lineRule="exact"/>
              <w:jc w:val="center"/>
              <w:rPr>
                <w:b/>
                <w:bCs/>
                <w:color w:val="000000"/>
                <w:kern w:val="0"/>
                <w:sz w:val="28"/>
                <w:szCs w:val="28"/>
              </w:rPr>
            </w:pPr>
            <w:r>
              <w:rPr>
                <w:b/>
                <w:bCs/>
                <w:color w:val="000000"/>
                <w:kern w:val="0"/>
                <w:sz w:val="28"/>
                <w:szCs w:val="28"/>
              </w:rPr>
              <w:t>○</w:t>
            </w:r>
          </w:p>
        </w:tc>
      </w:tr>
    </w:tbl>
    <w:p>
      <w:pPr>
        <w:spacing w:line="480" w:lineRule="exact"/>
        <w:rPr>
          <w:sz w:val="28"/>
          <w:szCs w:val="28"/>
        </w:rPr>
      </w:pPr>
      <w:r>
        <w:rPr>
          <w:sz w:val="28"/>
          <w:szCs w:val="28"/>
        </w:rPr>
        <w:t>注：</w:t>
      </w:r>
      <w:r>
        <w:rPr>
          <w:rFonts w:hint="eastAsia" w:ascii="方正仿宋_GBK" w:hAnsi="方正仿宋_GBK" w:eastAsia="方正仿宋_GBK" w:cs="方正仿宋_GBK"/>
          <w:sz w:val="28"/>
          <w:szCs w:val="28"/>
        </w:rPr>
        <w:t>“</w:t>
      </w:r>
      <w:r>
        <w:rPr>
          <w:sz w:val="28"/>
          <w:szCs w:val="28"/>
        </w:rPr>
        <w:t>●</w:t>
      </w:r>
      <w:r>
        <w:rPr>
          <w:rFonts w:hint="eastAsia" w:ascii="方正仿宋_GBK" w:hAnsi="方正仿宋_GBK" w:eastAsia="方正仿宋_GBK" w:cs="方正仿宋_GBK"/>
          <w:sz w:val="28"/>
          <w:szCs w:val="28"/>
        </w:rPr>
        <w:t>”表</w:t>
      </w:r>
      <w:r>
        <w:rPr>
          <w:sz w:val="28"/>
          <w:szCs w:val="28"/>
        </w:rPr>
        <w:t>示应设；</w:t>
      </w:r>
      <w:r>
        <w:rPr>
          <w:rFonts w:hint="eastAsia" w:ascii="方正仿宋_GBK" w:hAnsi="方正仿宋_GBK" w:eastAsia="方正仿宋_GBK" w:cs="方正仿宋_GBK"/>
          <w:sz w:val="28"/>
          <w:szCs w:val="28"/>
        </w:rPr>
        <w:t>“</w:t>
      </w:r>
      <w:r>
        <w:rPr>
          <w:sz w:val="28"/>
          <w:szCs w:val="28"/>
        </w:rPr>
        <w:t>○</w:t>
      </w:r>
      <w:r>
        <w:rPr>
          <w:rFonts w:hint="eastAsia" w:ascii="方正仿宋_GBK" w:hAnsi="方正仿宋_GBK" w:eastAsia="方正仿宋_GBK" w:cs="方正仿宋_GBK"/>
          <w:sz w:val="28"/>
          <w:szCs w:val="28"/>
        </w:rPr>
        <w:t>”</w:t>
      </w:r>
      <w:r>
        <w:rPr>
          <w:sz w:val="28"/>
          <w:szCs w:val="28"/>
        </w:rPr>
        <w:t>表示宜设；空白表示可选设。</w:t>
      </w:r>
    </w:p>
    <w:p>
      <w:pPr>
        <w:pStyle w:val="7"/>
        <w:keepNext/>
        <w:spacing w:line="576" w:lineRule="exact"/>
        <w:rPr>
          <w:rFonts w:hint="eastAsia" w:ascii="Times New Roman" w:hAnsi="Times New Roman" w:eastAsia="方正黑体_GBK" w:cs="Times New Roman"/>
          <w:sz w:val="32"/>
          <w:szCs w:val="32"/>
          <w:lang w:val="en-US" w:eastAsia="zh-CN" w:bidi="ar"/>
        </w:rPr>
      </w:pPr>
      <w:bookmarkStart w:id="379" w:name="_Ref627"/>
      <w:bookmarkStart w:id="380" w:name="_Toc158043566"/>
      <w:bookmarkStart w:id="381" w:name="_Toc156308085"/>
      <w:r>
        <w:rPr>
          <w:rFonts w:hint="default" w:ascii="Times New Roman" w:hAnsi="Times New Roman" w:eastAsia="方正黑体_GBK" w:cs="Times New Roman"/>
          <w:sz w:val="32"/>
          <w:szCs w:val="32"/>
          <w:lang w:bidi="ar"/>
        </w:rPr>
        <w:t>附表</w:t>
      </w:r>
      <w:bookmarkEnd w:id="379"/>
      <w:r>
        <w:rPr>
          <w:rFonts w:hint="eastAsia" w:ascii="Times New Roman" w:hAnsi="Times New Roman" w:eastAsia="方正黑体_GBK" w:cs="Times New Roman"/>
          <w:sz w:val="32"/>
          <w:szCs w:val="32"/>
          <w:lang w:val="en-US" w:eastAsia="zh-CN" w:bidi="ar"/>
        </w:rPr>
        <w:t>9</w:t>
      </w:r>
    </w:p>
    <w:p>
      <w:pPr>
        <w:pStyle w:val="7"/>
        <w:keepNext/>
        <w:spacing w:line="576" w:lineRule="exact"/>
        <w:jc w:val="center"/>
        <w:rPr>
          <w:rFonts w:hint="default" w:ascii="Times New Roman" w:hAnsi="Times New Roman" w:eastAsia="方正黑体_GBK" w:cs="Times New Roman"/>
          <w:sz w:val="32"/>
          <w:szCs w:val="32"/>
          <w:lang w:bidi="ar"/>
        </w:rPr>
      </w:pPr>
      <w:r>
        <w:rPr>
          <w:rFonts w:hint="default" w:ascii="Times New Roman" w:hAnsi="Times New Roman" w:eastAsia="方正黑体_GBK" w:cs="Times New Roman"/>
          <w:sz w:val="32"/>
          <w:szCs w:val="32"/>
          <w:lang w:bidi="ar"/>
        </w:rPr>
        <w:t>綦江中心城区水厂一览表</w:t>
      </w:r>
      <w:bookmarkEnd w:id="380"/>
      <w:bookmarkEnd w:id="381"/>
    </w:p>
    <w:p/>
    <w:tbl>
      <w:tblPr>
        <w:tblStyle w:val="18"/>
        <w:tblW w:w="8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13"/>
        <w:gridCol w:w="4055"/>
        <w:gridCol w:w="2476"/>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5" w:hRule="atLeast"/>
          <w:tblHeader/>
        </w:trPr>
        <w:tc>
          <w:tcPr>
            <w:tcW w:w="813" w:type="dxa"/>
            <w:tcMar>
              <w:left w:w="0" w:type="dxa"/>
              <w:right w:w="0" w:type="dxa"/>
            </w:tcMar>
            <w:vAlign w:val="center"/>
          </w:tcPr>
          <w:p>
            <w:pPr>
              <w:keepNext/>
              <w:widowControl/>
              <w:spacing w:line="480" w:lineRule="exact"/>
              <w:jc w:val="center"/>
              <w:rPr>
                <w:rFonts w:hint="default" w:ascii="Times New Roman" w:hAnsi="Times New Roman" w:eastAsia="方正黑体_GBK" w:cs="Times New Roman"/>
                <w:b w:val="0"/>
                <w:bCs/>
                <w:kern w:val="0"/>
                <w:sz w:val="28"/>
                <w:szCs w:val="28"/>
              </w:rPr>
            </w:pPr>
            <w:r>
              <w:rPr>
                <w:rFonts w:hint="default" w:ascii="Times New Roman" w:hAnsi="Times New Roman" w:eastAsia="方正黑体_GBK" w:cs="Times New Roman"/>
                <w:b w:val="0"/>
                <w:bCs/>
                <w:kern w:val="0"/>
                <w:sz w:val="28"/>
                <w:szCs w:val="28"/>
              </w:rPr>
              <w:t>序号</w:t>
            </w:r>
          </w:p>
        </w:tc>
        <w:tc>
          <w:tcPr>
            <w:tcW w:w="4055" w:type="dxa"/>
            <w:tcMar>
              <w:left w:w="0" w:type="dxa"/>
              <w:right w:w="0" w:type="dxa"/>
            </w:tcMar>
            <w:vAlign w:val="center"/>
          </w:tcPr>
          <w:p>
            <w:pPr>
              <w:keepNext/>
              <w:widowControl/>
              <w:spacing w:line="480" w:lineRule="exact"/>
              <w:jc w:val="center"/>
              <w:rPr>
                <w:rFonts w:hint="default" w:ascii="Times New Roman" w:hAnsi="Times New Roman" w:eastAsia="方正黑体_GBK" w:cs="Times New Roman"/>
                <w:b w:val="0"/>
                <w:bCs/>
                <w:kern w:val="0"/>
                <w:sz w:val="28"/>
                <w:szCs w:val="28"/>
              </w:rPr>
            </w:pPr>
            <w:r>
              <w:rPr>
                <w:rFonts w:hint="default" w:ascii="Times New Roman" w:hAnsi="Times New Roman" w:eastAsia="方正黑体_GBK" w:cs="Times New Roman"/>
                <w:b w:val="0"/>
                <w:bCs/>
                <w:kern w:val="0"/>
                <w:sz w:val="28"/>
                <w:szCs w:val="28"/>
              </w:rPr>
              <w:t>水厂名称</w:t>
            </w:r>
          </w:p>
        </w:tc>
        <w:tc>
          <w:tcPr>
            <w:tcW w:w="2476" w:type="dxa"/>
            <w:tcMar>
              <w:left w:w="0" w:type="dxa"/>
              <w:right w:w="0" w:type="dxa"/>
            </w:tcMar>
            <w:vAlign w:val="center"/>
          </w:tcPr>
          <w:p>
            <w:pPr>
              <w:keepNext/>
              <w:widowControl/>
              <w:spacing w:line="480" w:lineRule="exact"/>
              <w:jc w:val="center"/>
              <w:rPr>
                <w:rFonts w:hint="default" w:ascii="Times New Roman" w:hAnsi="Times New Roman" w:eastAsia="方正黑体_GBK" w:cs="Times New Roman"/>
                <w:b w:val="0"/>
                <w:bCs/>
                <w:kern w:val="0"/>
                <w:sz w:val="28"/>
                <w:szCs w:val="28"/>
              </w:rPr>
            </w:pPr>
            <w:r>
              <w:rPr>
                <w:rFonts w:hint="default" w:ascii="Times New Roman" w:hAnsi="Times New Roman" w:eastAsia="方正黑体_GBK" w:cs="Times New Roman"/>
                <w:b w:val="0"/>
                <w:bCs/>
                <w:kern w:val="0"/>
                <w:sz w:val="28"/>
                <w:szCs w:val="28"/>
              </w:rPr>
              <w:t>规模（万吨/天）</w:t>
            </w:r>
          </w:p>
        </w:tc>
        <w:tc>
          <w:tcPr>
            <w:tcW w:w="1510" w:type="dxa"/>
            <w:tcMar>
              <w:left w:w="0" w:type="dxa"/>
              <w:right w:w="0" w:type="dxa"/>
            </w:tcMar>
            <w:vAlign w:val="center"/>
          </w:tcPr>
          <w:p>
            <w:pPr>
              <w:keepNext/>
              <w:widowControl/>
              <w:spacing w:line="480" w:lineRule="exact"/>
              <w:jc w:val="center"/>
              <w:rPr>
                <w:rFonts w:hint="default" w:ascii="Times New Roman" w:hAnsi="Times New Roman" w:eastAsia="方正黑体_GBK" w:cs="Times New Roman"/>
                <w:b w:val="0"/>
                <w:bCs/>
                <w:kern w:val="0"/>
                <w:sz w:val="28"/>
                <w:szCs w:val="28"/>
              </w:rPr>
            </w:pPr>
            <w:r>
              <w:rPr>
                <w:rFonts w:hint="default" w:ascii="Times New Roman" w:hAnsi="Times New Roman" w:eastAsia="方正黑体_GBK" w:cs="Times New Roman"/>
                <w:b w:val="0"/>
                <w:bCs/>
                <w:kern w:val="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exact"/>
        </w:trPr>
        <w:tc>
          <w:tcPr>
            <w:tcW w:w="813" w:type="dxa"/>
            <w:tcMar>
              <w:left w:w="0" w:type="dxa"/>
              <w:right w:w="0" w:type="dxa"/>
            </w:tcMar>
            <w:vAlign w:val="center"/>
          </w:tcPr>
          <w:p>
            <w:pPr>
              <w:keepNext/>
              <w:widowControl/>
              <w:spacing w:line="480" w:lineRule="exact"/>
              <w:jc w:val="center"/>
              <w:rPr>
                <w:kern w:val="0"/>
                <w:sz w:val="28"/>
                <w:szCs w:val="28"/>
              </w:rPr>
            </w:pPr>
            <w:r>
              <w:rPr>
                <w:kern w:val="0"/>
                <w:sz w:val="28"/>
                <w:szCs w:val="28"/>
              </w:rPr>
              <w:t>1</w:t>
            </w:r>
          </w:p>
        </w:tc>
        <w:tc>
          <w:tcPr>
            <w:tcW w:w="4055" w:type="dxa"/>
            <w:tcMar>
              <w:left w:w="0" w:type="dxa"/>
              <w:right w:w="0" w:type="dxa"/>
            </w:tcMar>
            <w:vAlign w:val="center"/>
          </w:tcPr>
          <w:p>
            <w:pPr>
              <w:keepNext/>
              <w:widowControl/>
              <w:spacing w:line="480" w:lineRule="exact"/>
              <w:jc w:val="center"/>
              <w:rPr>
                <w:kern w:val="0"/>
                <w:sz w:val="28"/>
                <w:szCs w:val="28"/>
              </w:rPr>
            </w:pPr>
            <w:r>
              <w:rPr>
                <w:kern w:val="0"/>
                <w:sz w:val="28"/>
                <w:szCs w:val="28"/>
              </w:rPr>
              <w:t>文龙水厂</w:t>
            </w:r>
          </w:p>
        </w:tc>
        <w:tc>
          <w:tcPr>
            <w:tcW w:w="2476" w:type="dxa"/>
            <w:tcMar>
              <w:left w:w="0" w:type="dxa"/>
              <w:right w:w="0" w:type="dxa"/>
            </w:tcMar>
            <w:vAlign w:val="center"/>
          </w:tcPr>
          <w:p>
            <w:pPr>
              <w:keepNext/>
              <w:widowControl/>
              <w:spacing w:line="480" w:lineRule="exact"/>
              <w:jc w:val="center"/>
              <w:rPr>
                <w:kern w:val="0"/>
                <w:sz w:val="28"/>
                <w:szCs w:val="28"/>
              </w:rPr>
            </w:pPr>
            <w:r>
              <w:rPr>
                <w:kern w:val="0"/>
                <w:sz w:val="28"/>
                <w:szCs w:val="28"/>
              </w:rPr>
              <w:t>5</w:t>
            </w:r>
          </w:p>
        </w:tc>
        <w:tc>
          <w:tcPr>
            <w:tcW w:w="1510" w:type="dxa"/>
            <w:tcMar>
              <w:left w:w="0" w:type="dxa"/>
              <w:right w:w="0" w:type="dxa"/>
            </w:tcMar>
            <w:vAlign w:val="center"/>
          </w:tcPr>
          <w:p>
            <w:pPr>
              <w:keepNext/>
              <w:widowControl/>
              <w:spacing w:line="480" w:lineRule="exact"/>
              <w:jc w:val="center"/>
              <w:rPr>
                <w:kern w:val="0"/>
                <w:sz w:val="28"/>
                <w:szCs w:val="28"/>
              </w:rPr>
            </w:pPr>
            <w:r>
              <w:rPr>
                <w:kern w:val="0"/>
                <w:sz w:val="28"/>
                <w:szCs w:val="28"/>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exact"/>
        </w:trPr>
        <w:tc>
          <w:tcPr>
            <w:tcW w:w="813" w:type="dxa"/>
            <w:tcMar>
              <w:left w:w="0" w:type="dxa"/>
              <w:right w:w="0" w:type="dxa"/>
            </w:tcMar>
            <w:vAlign w:val="center"/>
          </w:tcPr>
          <w:p>
            <w:pPr>
              <w:widowControl/>
              <w:spacing w:line="480" w:lineRule="exact"/>
              <w:jc w:val="center"/>
              <w:rPr>
                <w:kern w:val="0"/>
                <w:sz w:val="28"/>
                <w:szCs w:val="28"/>
              </w:rPr>
            </w:pPr>
            <w:r>
              <w:rPr>
                <w:kern w:val="0"/>
                <w:sz w:val="28"/>
                <w:szCs w:val="28"/>
              </w:rPr>
              <w:t>2</w:t>
            </w:r>
          </w:p>
        </w:tc>
        <w:tc>
          <w:tcPr>
            <w:tcW w:w="4055" w:type="dxa"/>
            <w:tcMar>
              <w:left w:w="0" w:type="dxa"/>
              <w:right w:w="0" w:type="dxa"/>
            </w:tcMar>
            <w:vAlign w:val="center"/>
          </w:tcPr>
          <w:p>
            <w:pPr>
              <w:widowControl/>
              <w:spacing w:line="480" w:lineRule="exact"/>
              <w:jc w:val="center"/>
              <w:rPr>
                <w:kern w:val="0"/>
                <w:sz w:val="28"/>
                <w:szCs w:val="28"/>
              </w:rPr>
            </w:pPr>
            <w:r>
              <w:rPr>
                <w:kern w:val="0"/>
                <w:sz w:val="28"/>
                <w:szCs w:val="28"/>
              </w:rPr>
              <w:t>通惠食品园区水厂</w:t>
            </w:r>
          </w:p>
        </w:tc>
        <w:tc>
          <w:tcPr>
            <w:tcW w:w="2476" w:type="dxa"/>
            <w:tcMar>
              <w:left w:w="0" w:type="dxa"/>
              <w:right w:w="0" w:type="dxa"/>
            </w:tcMar>
            <w:vAlign w:val="center"/>
          </w:tcPr>
          <w:p>
            <w:pPr>
              <w:widowControl/>
              <w:spacing w:line="480" w:lineRule="exact"/>
              <w:jc w:val="center"/>
              <w:rPr>
                <w:kern w:val="0"/>
                <w:sz w:val="28"/>
                <w:szCs w:val="28"/>
              </w:rPr>
            </w:pPr>
            <w:r>
              <w:rPr>
                <w:kern w:val="0"/>
                <w:sz w:val="28"/>
                <w:szCs w:val="28"/>
              </w:rPr>
              <w:t>1.2</w:t>
            </w:r>
          </w:p>
        </w:tc>
        <w:tc>
          <w:tcPr>
            <w:tcW w:w="1510" w:type="dxa"/>
            <w:tcMar>
              <w:left w:w="0" w:type="dxa"/>
              <w:right w:w="0" w:type="dxa"/>
            </w:tcMar>
            <w:vAlign w:val="center"/>
          </w:tcPr>
          <w:p>
            <w:pPr>
              <w:widowControl/>
              <w:spacing w:line="480" w:lineRule="exact"/>
              <w:jc w:val="center"/>
              <w:rPr>
                <w:kern w:val="0"/>
                <w:sz w:val="28"/>
                <w:szCs w:val="28"/>
              </w:rPr>
            </w:pPr>
            <w:r>
              <w:rPr>
                <w:kern w:val="0"/>
                <w:sz w:val="28"/>
                <w:szCs w:val="28"/>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exact"/>
        </w:trPr>
        <w:tc>
          <w:tcPr>
            <w:tcW w:w="813" w:type="dxa"/>
            <w:tcMar>
              <w:left w:w="0" w:type="dxa"/>
              <w:right w:w="0" w:type="dxa"/>
            </w:tcMar>
            <w:vAlign w:val="center"/>
          </w:tcPr>
          <w:p>
            <w:pPr>
              <w:widowControl/>
              <w:spacing w:line="480" w:lineRule="exact"/>
              <w:jc w:val="center"/>
              <w:rPr>
                <w:kern w:val="0"/>
                <w:sz w:val="28"/>
                <w:szCs w:val="28"/>
              </w:rPr>
            </w:pPr>
            <w:r>
              <w:rPr>
                <w:kern w:val="0"/>
                <w:sz w:val="28"/>
                <w:szCs w:val="28"/>
              </w:rPr>
              <w:t>3</w:t>
            </w:r>
          </w:p>
        </w:tc>
        <w:tc>
          <w:tcPr>
            <w:tcW w:w="4055" w:type="dxa"/>
            <w:tcMar>
              <w:left w:w="0" w:type="dxa"/>
              <w:right w:w="0" w:type="dxa"/>
            </w:tcMar>
            <w:vAlign w:val="center"/>
          </w:tcPr>
          <w:p>
            <w:pPr>
              <w:widowControl/>
              <w:spacing w:line="480" w:lineRule="exact"/>
              <w:jc w:val="center"/>
              <w:rPr>
                <w:kern w:val="0"/>
                <w:sz w:val="28"/>
                <w:szCs w:val="28"/>
              </w:rPr>
            </w:pPr>
            <w:r>
              <w:rPr>
                <w:kern w:val="0"/>
                <w:sz w:val="28"/>
                <w:szCs w:val="28"/>
              </w:rPr>
              <w:t>桥河水厂</w:t>
            </w:r>
          </w:p>
        </w:tc>
        <w:tc>
          <w:tcPr>
            <w:tcW w:w="2476" w:type="dxa"/>
            <w:tcMar>
              <w:left w:w="0" w:type="dxa"/>
              <w:right w:w="0" w:type="dxa"/>
            </w:tcMar>
            <w:vAlign w:val="center"/>
          </w:tcPr>
          <w:p>
            <w:pPr>
              <w:widowControl/>
              <w:spacing w:line="480" w:lineRule="exact"/>
              <w:jc w:val="center"/>
              <w:rPr>
                <w:kern w:val="0"/>
                <w:sz w:val="28"/>
                <w:szCs w:val="28"/>
              </w:rPr>
            </w:pPr>
            <w:r>
              <w:rPr>
                <w:kern w:val="0"/>
                <w:sz w:val="28"/>
                <w:szCs w:val="28"/>
              </w:rPr>
              <w:t>0.5</w:t>
            </w:r>
          </w:p>
        </w:tc>
        <w:tc>
          <w:tcPr>
            <w:tcW w:w="1510" w:type="dxa"/>
            <w:tcMar>
              <w:left w:w="0" w:type="dxa"/>
              <w:right w:w="0" w:type="dxa"/>
            </w:tcMar>
            <w:vAlign w:val="center"/>
          </w:tcPr>
          <w:p>
            <w:pPr>
              <w:widowControl/>
              <w:spacing w:line="480" w:lineRule="exact"/>
              <w:jc w:val="center"/>
              <w:rPr>
                <w:kern w:val="0"/>
                <w:sz w:val="28"/>
                <w:szCs w:val="28"/>
              </w:rPr>
            </w:pPr>
            <w:r>
              <w:rPr>
                <w:kern w:val="0"/>
                <w:sz w:val="28"/>
                <w:szCs w:val="28"/>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exact"/>
        </w:trPr>
        <w:tc>
          <w:tcPr>
            <w:tcW w:w="813" w:type="dxa"/>
            <w:tcMar>
              <w:left w:w="0" w:type="dxa"/>
              <w:right w:w="0" w:type="dxa"/>
            </w:tcMar>
            <w:vAlign w:val="center"/>
          </w:tcPr>
          <w:p>
            <w:pPr>
              <w:widowControl/>
              <w:spacing w:line="480" w:lineRule="exact"/>
              <w:jc w:val="center"/>
              <w:rPr>
                <w:kern w:val="0"/>
                <w:sz w:val="28"/>
                <w:szCs w:val="28"/>
              </w:rPr>
            </w:pPr>
            <w:r>
              <w:rPr>
                <w:kern w:val="0"/>
                <w:sz w:val="28"/>
                <w:szCs w:val="28"/>
              </w:rPr>
              <w:t>4</w:t>
            </w:r>
          </w:p>
        </w:tc>
        <w:tc>
          <w:tcPr>
            <w:tcW w:w="4055" w:type="dxa"/>
            <w:tcMar>
              <w:left w:w="0" w:type="dxa"/>
              <w:right w:w="0" w:type="dxa"/>
            </w:tcMar>
            <w:vAlign w:val="center"/>
          </w:tcPr>
          <w:p>
            <w:pPr>
              <w:widowControl/>
              <w:spacing w:line="480" w:lineRule="exact"/>
              <w:jc w:val="center"/>
              <w:rPr>
                <w:kern w:val="0"/>
                <w:sz w:val="28"/>
                <w:szCs w:val="28"/>
              </w:rPr>
            </w:pPr>
            <w:r>
              <w:rPr>
                <w:kern w:val="0"/>
                <w:sz w:val="28"/>
                <w:szCs w:val="28"/>
              </w:rPr>
              <w:t>新桥河水厂（齿轮厂水厂）</w:t>
            </w:r>
          </w:p>
        </w:tc>
        <w:tc>
          <w:tcPr>
            <w:tcW w:w="2476" w:type="dxa"/>
            <w:tcMar>
              <w:left w:w="0" w:type="dxa"/>
              <w:right w:w="0" w:type="dxa"/>
            </w:tcMar>
            <w:vAlign w:val="center"/>
          </w:tcPr>
          <w:p>
            <w:pPr>
              <w:widowControl/>
              <w:spacing w:line="480" w:lineRule="exact"/>
              <w:jc w:val="center"/>
              <w:rPr>
                <w:kern w:val="0"/>
                <w:sz w:val="28"/>
                <w:szCs w:val="28"/>
              </w:rPr>
            </w:pPr>
            <w:r>
              <w:rPr>
                <w:kern w:val="0"/>
                <w:sz w:val="28"/>
                <w:szCs w:val="28"/>
              </w:rPr>
              <w:t>0.6</w:t>
            </w:r>
          </w:p>
        </w:tc>
        <w:tc>
          <w:tcPr>
            <w:tcW w:w="1510" w:type="dxa"/>
            <w:tcMar>
              <w:left w:w="0" w:type="dxa"/>
              <w:right w:w="0" w:type="dxa"/>
            </w:tcMar>
            <w:vAlign w:val="center"/>
          </w:tcPr>
          <w:p>
            <w:pPr>
              <w:widowControl/>
              <w:spacing w:line="480" w:lineRule="exact"/>
              <w:jc w:val="center"/>
              <w:rPr>
                <w:kern w:val="0"/>
                <w:sz w:val="28"/>
                <w:szCs w:val="28"/>
              </w:rPr>
            </w:pPr>
            <w:r>
              <w:rPr>
                <w:kern w:val="0"/>
                <w:sz w:val="28"/>
                <w:szCs w:val="28"/>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exact"/>
        </w:trPr>
        <w:tc>
          <w:tcPr>
            <w:tcW w:w="813" w:type="dxa"/>
            <w:tcMar>
              <w:left w:w="0" w:type="dxa"/>
              <w:right w:w="0" w:type="dxa"/>
            </w:tcMar>
            <w:vAlign w:val="center"/>
          </w:tcPr>
          <w:p>
            <w:pPr>
              <w:widowControl/>
              <w:spacing w:line="480" w:lineRule="exact"/>
              <w:jc w:val="center"/>
              <w:rPr>
                <w:kern w:val="0"/>
                <w:sz w:val="28"/>
                <w:szCs w:val="28"/>
              </w:rPr>
            </w:pPr>
            <w:r>
              <w:rPr>
                <w:kern w:val="0"/>
                <w:sz w:val="28"/>
                <w:szCs w:val="28"/>
              </w:rPr>
              <w:t>5</w:t>
            </w:r>
          </w:p>
        </w:tc>
        <w:tc>
          <w:tcPr>
            <w:tcW w:w="4055" w:type="dxa"/>
            <w:tcMar>
              <w:left w:w="0" w:type="dxa"/>
              <w:right w:w="0" w:type="dxa"/>
            </w:tcMar>
            <w:vAlign w:val="center"/>
          </w:tcPr>
          <w:p>
            <w:pPr>
              <w:widowControl/>
              <w:spacing w:line="480" w:lineRule="exact"/>
              <w:jc w:val="center"/>
              <w:rPr>
                <w:kern w:val="0"/>
                <w:sz w:val="28"/>
                <w:szCs w:val="28"/>
              </w:rPr>
            </w:pPr>
            <w:r>
              <w:rPr>
                <w:kern w:val="0"/>
                <w:sz w:val="28"/>
                <w:szCs w:val="28"/>
              </w:rPr>
              <w:t>三江一水厂</w:t>
            </w:r>
          </w:p>
        </w:tc>
        <w:tc>
          <w:tcPr>
            <w:tcW w:w="2476" w:type="dxa"/>
            <w:tcMar>
              <w:left w:w="0" w:type="dxa"/>
              <w:right w:w="0" w:type="dxa"/>
            </w:tcMar>
            <w:vAlign w:val="center"/>
          </w:tcPr>
          <w:p>
            <w:pPr>
              <w:widowControl/>
              <w:spacing w:line="480" w:lineRule="exact"/>
              <w:jc w:val="center"/>
              <w:rPr>
                <w:kern w:val="0"/>
                <w:sz w:val="28"/>
                <w:szCs w:val="28"/>
              </w:rPr>
            </w:pPr>
            <w:r>
              <w:rPr>
                <w:kern w:val="0"/>
                <w:sz w:val="28"/>
                <w:szCs w:val="28"/>
              </w:rPr>
              <w:t>2</w:t>
            </w:r>
          </w:p>
        </w:tc>
        <w:tc>
          <w:tcPr>
            <w:tcW w:w="1510" w:type="dxa"/>
            <w:tcMar>
              <w:left w:w="0" w:type="dxa"/>
              <w:right w:w="0" w:type="dxa"/>
            </w:tcMar>
            <w:vAlign w:val="center"/>
          </w:tcPr>
          <w:p>
            <w:pPr>
              <w:widowControl/>
              <w:spacing w:line="480" w:lineRule="exact"/>
              <w:jc w:val="center"/>
              <w:rPr>
                <w:kern w:val="0"/>
                <w:sz w:val="28"/>
                <w:szCs w:val="28"/>
              </w:rPr>
            </w:pPr>
            <w:r>
              <w:rPr>
                <w:kern w:val="0"/>
                <w:sz w:val="28"/>
                <w:szCs w:val="28"/>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exact"/>
        </w:trPr>
        <w:tc>
          <w:tcPr>
            <w:tcW w:w="813" w:type="dxa"/>
            <w:tcMar>
              <w:left w:w="0" w:type="dxa"/>
              <w:right w:w="0" w:type="dxa"/>
            </w:tcMar>
            <w:vAlign w:val="center"/>
          </w:tcPr>
          <w:p>
            <w:pPr>
              <w:widowControl/>
              <w:spacing w:line="480" w:lineRule="exact"/>
              <w:jc w:val="center"/>
              <w:rPr>
                <w:kern w:val="0"/>
                <w:sz w:val="28"/>
                <w:szCs w:val="28"/>
              </w:rPr>
            </w:pPr>
            <w:r>
              <w:rPr>
                <w:kern w:val="0"/>
                <w:sz w:val="28"/>
                <w:szCs w:val="28"/>
              </w:rPr>
              <w:t>6</w:t>
            </w:r>
          </w:p>
        </w:tc>
        <w:tc>
          <w:tcPr>
            <w:tcW w:w="4055" w:type="dxa"/>
            <w:tcMar>
              <w:left w:w="0" w:type="dxa"/>
              <w:right w:w="0" w:type="dxa"/>
            </w:tcMar>
            <w:vAlign w:val="center"/>
          </w:tcPr>
          <w:p>
            <w:pPr>
              <w:widowControl/>
              <w:spacing w:line="480" w:lineRule="exact"/>
              <w:jc w:val="center"/>
              <w:rPr>
                <w:kern w:val="0"/>
                <w:sz w:val="28"/>
                <w:szCs w:val="28"/>
              </w:rPr>
            </w:pPr>
            <w:r>
              <w:rPr>
                <w:kern w:val="0"/>
                <w:sz w:val="28"/>
                <w:szCs w:val="28"/>
              </w:rPr>
              <w:t>永城水厂</w:t>
            </w:r>
          </w:p>
        </w:tc>
        <w:tc>
          <w:tcPr>
            <w:tcW w:w="2476" w:type="dxa"/>
            <w:tcMar>
              <w:left w:w="0" w:type="dxa"/>
              <w:right w:w="0" w:type="dxa"/>
            </w:tcMar>
            <w:vAlign w:val="center"/>
          </w:tcPr>
          <w:p>
            <w:pPr>
              <w:widowControl/>
              <w:spacing w:line="480" w:lineRule="exact"/>
              <w:jc w:val="center"/>
              <w:rPr>
                <w:kern w:val="0"/>
                <w:sz w:val="28"/>
                <w:szCs w:val="28"/>
              </w:rPr>
            </w:pPr>
            <w:r>
              <w:rPr>
                <w:kern w:val="0"/>
                <w:sz w:val="28"/>
                <w:szCs w:val="28"/>
              </w:rPr>
              <w:t>0.2</w:t>
            </w:r>
          </w:p>
        </w:tc>
        <w:tc>
          <w:tcPr>
            <w:tcW w:w="1510" w:type="dxa"/>
            <w:tcMar>
              <w:left w:w="0" w:type="dxa"/>
              <w:right w:w="0" w:type="dxa"/>
            </w:tcMar>
            <w:vAlign w:val="center"/>
          </w:tcPr>
          <w:p>
            <w:pPr>
              <w:widowControl/>
              <w:spacing w:line="480" w:lineRule="exact"/>
              <w:jc w:val="center"/>
              <w:rPr>
                <w:kern w:val="0"/>
                <w:sz w:val="28"/>
                <w:szCs w:val="28"/>
              </w:rPr>
            </w:pPr>
            <w:r>
              <w:rPr>
                <w:kern w:val="0"/>
                <w:sz w:val="28"/>
                <w:szCs w:val="28"/>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exact"/>
        </w:trPr>
        <w:tc>
          <w:tcPr>
            <w:tcW w:w="813" w:type="dxa"/>
            <w:tcMar>
              <w:left w:w="0" w:type="dxa"/>
              <w:right w:w="0" w:type="dxa"/>
            </w:tcMar>
            <w:vAlign w:val="center"/>
          </w:tcPr>
          <w:p>
            <w:pPr>
              <w:widowControl/>
              <w:spacing w:line="480" w:lineRule="exact"/>
              <w:jc w:val="center"/>
              <w:rPr>
                <w:kern w:val="0"/>
                <w:sz w:val="28"/>
                <w:szCs w:val="28"/>
              </w:rPr>
            </w:pPr>
            <w:r>
              <w:rPr>
                <w:kern w:val="0"/>
                <w:sz w:val="28"/>
                <w:szCs w:val="28"/>
              </w:rPr>
              <w:t>7</w:t>
            </w:r>
          </w:p>
        </w:tc>
        <w:tc>
          <w:tcPr>
            <w:tcW w:w="4055" w:type="dxa"/>
            <w:tcMar>
              <w:left w:w="0" w:type="dxa"/>
              <w:right w:w="0" w:type="dxa"/>
            </w:tcMar>
            <w:vAlign w:val="center"/>
          </w:tcPr>
          <w:p>
            <w:pPr>
              <w:widowControl/>
              <w:spacing w:line="480" w:lineRule="exact"/>
              <w:jc w:val="center"/>
              <w:rPr>
                <w:kern w:val="0"/>
                <w:sz w:val="28"/>
                <w:szCs w:val="28"/>
              </w:rPr>
            </w:pPr>
            <w:r>
              <w:rPr>
                <w:kern w:val="0"/>
                <w:sz w:val="28"/>
                <w:szCs w:val="28"/>
              </w:rPr>
              <w:t>东部新城水厂</w:t>
            </w:r>
          </w:p>
        </w:tc>
        <w:tc>
          <w:tcPr>
            <w:tcW w:w="2476" w:type="dxa"/>
            <w:tcMar>
              <w:left w:w="0" w:type="dxa"/>
              <w:right w:w="0" w:type="dxa"/>
            </w:tcMar>
            <w:vAlign w:val="center"/>
          </w:tcPr>
          <w:p>
            <w:pPr>
              <w:widowControl/>
              <w:spacing w:line="480" w:lineRule="exact"/>
              <w:jc w:val="center"/>
              <w:rPr>
                <w:kern w:val="0"/>
                <w:sz w:val="28"/>
                <w:szCs w:val="28"/>
              </w:rPr>
            </w:pPr>
            <w:r>
              <w:rPr>
                <w:kern w:val="0"/>
                <w:sz w:val="28"/>
                <w:szCs w:val="28"/>
              </w:rPr>
              <w:t>5+5</w:t>
            </w:r>
          </w:p>
        </w:tc>
        <w:tc>
          <w:tcPr>
            <w:tcW w:w="1510" w:type="dxa"/>
            <w:tcMar>
              <w:left w:w="0" w:type="dxa"/>
              <w:right w:w="0" w:type="dxa"/>
            </w:tcMar>
            <w:vAlign w:val="center"/>
          </w:tcPr>
          <w:p>
            <w:pPr>
              <w:widowControl/>
              <w:spacing w:line="480" w:lineRule="exact"/>
              <w:jc w:val="center"/>
              <w:rPr>
                <w:kern w:val="0"/>
                <w:sz w:val="28"/>
                <w:szCs w:val="28"/>
              </w:rPr>
            </w:pPr>
            <w:r>
              <w:rPr>
                <w:kern w:val="0"/>
                <w:sz w:val="28"/>
                <w:szCs w:val="28"/>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507" w:hRule="exact"/>
        </w:trPr>
        <w:tc>
          <w:tcPr>
            <w:tcW w:w="813" w:type="dxa"/>
            <w:tcMar>
              <w:left w:w="0" w:type="dxa"/>
              <w:right w:w="0" w:type="dxa"/>
            </w:tcMar>
            <w:vAlign w:val="center"/>
          </w:tcPr>
          <w:p>
            <w:pPr>
              <w:widowControl/>
              <w:spacing w:line="480" w:lineRule="exact"/>
              <w:jc w:val="center"/>
              <w:rPr>
                <w:kern w:val="0"/>
                <w:sz w:val="28"/>
                <w:szCs w:val="28"/>
              </w:rPr>
            </w:pPr>
            <w:r>
              <w:rPr>
                <w:kern w:val="0"/>
                <w:sz w:val="28"/>
                <w:szCs w:val="28"/>
              </w:rPr>
              <w:t>8</w:t>
            </w:r>
          </w:p>
        </w:tc>
        <w:tc>
          <w:tcPr>
            <w:tcW w:w="4055" w:type="dxa"/>
            <w:tcMar>
              <w:left w:w="0" w:type="dxa"/>
              <w:right w:w="0" w:type="dxa"/>
            </w:tcMar>
            <w:vAlign w:val="center"/>
          </w:tcPr>
          <w:p>
            <w:pPr>
              <w:widowControl/>
              <w:spacing w:line="480" w:lineRule="exact"/>
              <w:jc w:val="center"/>
              <w:rPr>
                <w:kern w:val="0"/>
                <w:sz w:val="28"/>
                <w:szCs w:val="28"/>
              </w:rPr>
            </w:pPr>
            <w:r>
              <w:rPr>
                <w:kern w:val="0"/>
                <w:sz w:val="28"/>
                <w:szCs w:val="28"/>
              </w:rPr>
              <w:t>永桐</w:t>
            </w:r>
            <w:r>
              <w:rPr>
                <w:rFonts w:hint="eastAsia"/>
                <w:kern w:val="0"/>
                <w:sz w:val="28"/>
                <w:szCs w:val="28"/>
                <w:lang w:eastAsia="zh-CN"/>
              </w:rPr>
              <w:t>新城</w:t>
            </w:r>
            <w:r>
              <w:rPr>
                <w:kern w:val="0"/>
                <w:sz w:val="28"/>
                <w:szCs w:val="28"/>
              </w:rPr>
              <w:t>水厂</w:t>
            </w:r>
          </w:p>
        </w:tc>
        <w:tc>
          <w:tcPr>
            <w:tcW w:w="2476" w:type="dxa"/>
            <w:tcMar>
              <w:left w:w="0" w:type="dxa"/>
              <w:right w:w="0" w:type="dxa"/>
            </w:tcMar>
            <w:vAlign w:val="center"/>
          </w:tcPr>
          <w:p>
            <w:pPr>
              <w:widowControl/>
              <w:spacing w:line="480" w:lineRule="exact"/>
              <w:jc w:val="center"/>
              <w:rPr>
                <w:kern w:val="0"/>
                <w:sz w:val="28"/>
                <w:szCs w:val="28"/>
              </w:rPr>
            </w:pPr>
            <w:r>
              <w:rPr>
                <w:kern w:val="0"/>
                <w:sz w:val="28"/>
                <w:szCs w:val="28"/>
              </w:rPr>
              <w:t>5+5</w:t>
            </w:r>
          </w:p>
        </w:tc>
        <w:tc>
          <w:tcPr>
            <w:tcW w:w="1510" w:type="dxa"/>
            <w:tcMar>
              <w:left w:w="0" w:type="dxa"/>
              <w:right w:w="0" w:type="dxa"/>
            </w:tcMar>
          </w:tcPr>
          <w:p>
            <w:pPr>
              <w:spacing w:line="400" w:lineRule="exact"/>
              <w:jc w:val="both"/>
              <w:rPr>
                <w:rFonts w:hint="default" w:eastAsia="方正仿宋_GBK"/>
                <w:sz w:val="28"/>
                <w:szCs w:val="28"/>
                <w:lang w:val="en-US" w:eastAsia="zh-CN"/>
              </w:rPr>
            </w:pPr>
            <w:r>
              <w:rPr>
                <w:rFonts w:hint="eastAsia"/>
                <w:kern w:val="0"/>
                <w:sz w:val="28"/>
                <w:szCs w:val="28"/>
                <w:lang w:eastAsia="zh-CN"/>
              </w:rPr>
              <w:t>近</w:t>
            </w:r>
            <w:r>
              <w:rPr>
                <w:rFonts w:hint="eastAsia"/>
                <w:spacing w:val="-6"/>
                <w:kern w:val="0"/>
                <w:sz w:val="28"/>
                <w:szCs w:val="28"/>
                <w:lang w:eastAsia="zh-CN"/>
              </w:rPr>
              <w:t>期水厂规划模</w:t>
            </w:r>
            <w:r>
              <w:rPr>
                <w:rFonts w:hint="eastAsia"/>
                <w:spacing w:val="-6"/>
                <w:kern w:val="0"/>
                <w:sz w:val="28"/>
                <w:szCs w:val="28"/>
                <w:lang w:val="en-US" w:eastAsia="zh-CN"/>
              </w:rPr>
              <w:t>5万吨/天，</w:t>
            </w:r>
            <w:r>
              <w:rPr>
                <w:rFonts w:hint="eastAsia"/>
                <w:kern w:val="0"/>
                <w:sz w:val="28"/>
                <w:szCs w:val="28"/>
                <w:lang w:val="en-US" w:eastAsia="zh-CN"/>
              </w:rPr>
              <w:t>二期根据城市发展情况适时实施远期规划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exact"/>
        </w:trPr>
        <w:tc>
          <w:tcPr>
            <w:tcW w:w="813" w:type="dxa"/>
            <w:tcMar>
              <w:left w:w="0" w:type="dxa"/>
              <w:right w:w="0" w:type="dxa"/>
            </w:tcMar>
            <w:vAlign w:val="center"/>
          </w:tcPr>
          <w:p>
            <w:pPr>
              <w:widowControl/>
              <w:spacing w:line="480" w:lineRule="exact"/>
              <w:jc w:val="center"/>
              <w:rPr>
                <w:kern w:val="0"/>
                <w:sz w:val="28"/>
                <w:szCs w:val="28"/>
              </w:rPr>
            </w:pPr>
            <w:r>
              <w:rPr>
                <w:kern w:val="0"/>
                <w:sz w:val="28"/>
                <w:szCs w:val="28"/>
              </w:rPr>
              <w:t>9</w:t>
            </w:r>
          </w:p>
        </w:tc>
        <w:tc>
          <w:tcPr>
            <w:tcW w:w="4055" w:type="dxa"/>
            <w:tcMar>
              <w:left w:w="0" w:type="dxa"/>
              <w:right w:w="0" w:type="dxa"/>
            </w:tcMar>
            <w:vAlign w:val="center"/>
          </w:tcPr>
          <w:p>
            <w:pPr>
              <w:widowControl/>
              <w:spacing w:line="480" w:lineRule="exact"/>
              <w:jc w:val="center"/>
              <w:rPr>
                <w:kern w:val="0"/>
                <w:sz w:val="28"/>
                <w:szCs w:val="28"/>
              </w:rPr>
            </w:pPr>
            <w:r>
              <w:rPr>
                <w:kern w:val="0"/>
                <w:sz w:val="28"/>
                <w:szCs w:val="28"/>
              </w:rPr>
              <w:t>北渡工业园水厂</w:t>
            </w:r>
          </w:p>
        </w:tc>
        <w:tc>
          <w:tcPr>
            <w:tcW w:w="2476" w:type="dxa"/>
            <w:tcMar>
              <w:left w:w="0" w:type="dxa"/>
              <w:right w:w="0" w:type="dxa"/>
            </w:tcMar>
            <w:vAlign w:val="center"/>
          </w:tcPr>
          <w:p>
            <w:pPr>
              <w:widowControl/>
              <w:spacing w:line="480" w:lineRule="exact"/>
              <w:jc w:val="center"/>
              <w:rPr>
                <w:kern w:val="0"/>
                <w:sz w:val="28"/>
                <w:szCs w:val="28"/>
              </w:rPr>
            </w:pPr>
            <w:r>
              <w:rPr>
                <w:kern w:val="0"/>
                <w:sz w:val="28"/>
                <w:szCs w:val="28"/>
              </w:rPr>
              <w:t>6</w:t>
            </w:r>
          </w:p>
        </w:tc>
        <w:tc>
          <w:tcPr>
            <w:tcW w:w="1510" w:type="dxa"/>
            <w:tcMar>
              <w:left w:w="0" w:type="dxa"/>
              <w:right w:w="0" w:type="dxa"/>
            </w:tcMar>
            <w:vAlign w:val="center"/>
          </w:tcPr>
          <w:p>
            <w:pPr>
              <w:widowControl/>
              <w:spacing w:line="480" w:lineRule="exact"/>
              <w:jc w:val="center"/>
              <w:rPr>
                <w:kern w:val="0"/>
                <w:sz w:val="28"/>
                <w:szCs w:val="28"/>
              </w:rPr>
            </w:pPr>
            <w:r>
              <w:rPr>
                <w:kern w:val="0"/>
                <w:sz w:val="28"/>
                <w:szCs w:val="28"/>
              </w:rPr>
              <w:t>远期规划</w:t>
            </w:r>
          </w:p>
        </w:tc>
      </w:tr>
    </w:tbl>
    <w:p>
      <w:pPr>
        <w:spacing w:line="576" w:lineRule="exact"/>
      </w:pPr>
    </w:p>
    <w:p>
      <w:pPr>
        <w:pStyle w:val="2"/>
      </w:pPr>
    </w:p>
    <w:p>
      <w:pPr>
        <w:pStyle w:val="2"/>
      </w:pPr>
    </w:p>
    <w:p>
      <w:pPr>
        <w:pStyle w:val="2"/>
      </w:pPr>
    </w:p>
    <w:p>
      <w:pPr>
        <w:pStyle w:val="2"/>
      </w:pPr>
    </w:p>
    <w:p>
      <w:pPr>
        <w:pStyle w:val="7"/>
        <w:keepNext/>
        <w:spacing w:line="576" w:lineRule="exact"/>
        <w:rPr>
          <w:rFonts w:hint="eastAsia" w:ascii="方正黑体_GBK" w:hAnsi="方正黑体_GBK" w:eastAsia="方正黑体_GBK" w:cs="方正黑体_GBK"/>
          <w:sz w:val="32"/>
          <w:szCs w:val="32"/>
          <w:lang w:val="en-US" w:eastAsia="zh-CN" w:bidi="ar"/>
        </w:rPr>
      </w:pPr>
      <w:bookmarkStart w:id="382" w:name="_Ref114234852"/>
      <w:bookmarkStart w:id="383" w:name="_Toc158043567"/>
      <w:bookmarkStart w:id="384" w:name="_Toc156308086"/>
      <w:r>
        <w:rPr>
          <w:rFonts w:hint="eastAsia" w:ascii="方正黑体_GBK" w:hAnsi="方正黑体_GBK" w:eastAsia="方正黑体_GBK" w:cs="方正黑体_GBK"/>
          <w:sz w:val="32"/>
          <w:szCs w:val="32"/>
          <w:lang w:bidi="ar"/>
        </w:rPr>
        <w:t>附表</w:t>
      </w:r>
      <w:bookmarkEnd w:id="382"/>
      <w:r>
        <w:rPr>
          <w:rFonts w:hint="default" w:ascii="Times New Roman" w:hAnsi="Times New Roman" w:eastAsia="方正黑体_GBK" w:cs="Times New Roman"/>
          <w:sz w:val="32"/>
          <w:szCs w:val="32"/>
          <w:lang w:val="en-US" w:eastAsia="zh-CN" w:bidi="ar"/>
        </w:rPr>
        <w:t>10</w:t>
      </w:r>
      <w:r>
        <w:rPr>
          <w:rFonts w:hint="eastAsia" w:ascii="方正黑体_GBK" w:hAnsi="方正黑体_GBK" w:eastAsia="方正黑体_GBK" w:cs="方正黑体_GBK"/>
          <w:sz w:val="32"/>
          <w:szCs w:val="32"/>
          <w:lang w:val="en-US" w:eastAsia="zh-CN" w:bidi="ar"/>
        </w:rPr>
        <w:t xml:space="preserve"> </w:t>
      </w:r>
    </w:p>
    <w:p>
      <w:pPr>
        <w:pStyle w:val="7"/>
        <w:keepNext/>
        <w:spacing w:line="576" w:lineRule="exact"/>
        <w:jc w:val="center"/>
        <w:rPr>
          <w:rFonts w:hint="eastAsia" w:ascii="方正黑体_GBK" w:hAnsi="方正黑体_GBK" w:eastAsia="方正黑体_GBK" w:cs="方正黑体_GBK"/>
          <w:sz w:val="32"/>
          <w:szCs w:val="32"/>
          <w:lang w:bidi="ar"/>
        </w:rPr>
      </w:pPr>
      <w:r>
        <w:rPr>
          <w:rFonts w:hint="eastAsia" w:ascii="方正黑体_GBK" w:hAnsi="方正黑体_GBK" w:eastAsia="方正黑体_GBK" w:cs="方正黑体_GBK"/>
          <w:sz w:val="32"/>
          <w:szCs w:val="32"/>
          <w:lang w:bidi="ar"/>
        </w:rPr>
        <w:t>綦江中心城区应急避难场所对口医院一览表</w:t>
      </w:r>
      <w:bookmarkEnd w:id="383"/>
      <w:bookmarkEnd w:id="384"/>
    </w:p>
    <w:p>
      <w:pPr>
        <w:rPr>
          <w:rFonts w:hint="eastAsia"/>
        </w:rPr>
      </w:pPr>
    </w:p>
    <w:tbl>
      <w:tblPr>
        <w:tblStyle w:val="18"/>
        <w:tblW w:w="8900" w:type="dxa"/>
        <w:tblInd w:w="0" w:type="dxa"/>
        <w:tblLayout w:type="fixed"/>
        <w:tblCellMar>
          <w:top w:w="0" w:type="dxa"/>
          <w:left w:w="28" w:type="dxa"/>
          <w:bottom w:w="0" w:type="dxa"/>
          <w:right w:w="28" w:type="dxa"/>
        </w:tblCellMar>
      </w:tblPr>
      <w:tblGrid>
        <w:gridCol w:w="679"/>
        <w:gridCol w:w="3737"/>
        <w:gridCol w:w="1250"/>
        <w:gridCol w:w="1925"/>
        <w:gridCol w:w="1309"/>
      </w:tblGrid>
      <w:tr>
        <w:tblPrEx>
          <w:tblLayout w:type="fixed"/>
          <w:tblCellMar>
            <w:top w:w="0" w:type="dxa"/>
            <w:left w:w="28" w:type="dxa"/>
            <w:bottom w:w="0" w:type="dxa"/>
            <w:right w:w="28" w:type="dxa"/>
          </w:tblCellMar>
        </w:tblPrEx>
        <w:trPr>
          <w:trHeight w:val="20" w:hRule="atLeast"/>
          <w:tblHeader/>
        </w:trPr>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80" w:lineRule="exact"/>
              <w:jc w:val="center"/>
              <w:rPr>
                <w:rFonts w:hint="default" w:ascii="Times New Roman" w:hAnsi="Times New Roman" w:eastAsia="方正黑体_GBK" w:cs="Times New Roman"/>
                <w:b w:val="0"/>
                <w:bCs w:val="0"/>
                <w:kern w:val="0"/>
                <w:sz w:val="28"/>
                <w:szCs w:val="28"/>
              </w:rPr>
            </w:pPr>
            <w:r>
              <w:rPr>
                <w:rFonts w:hint="default" w:ascii="Times New Roman" w:hAnsi="Times New Roman" w:eastAsia="方正黑体_GBK" w:cs="Times New Roman"/>
                <w:b w:val="0"/>
                <w:bCs w:val="0"/>
                <w:kern w:val="0"/>
                <w:sz w:val="28"/>
                <w:szCs w:val="28"/>
              </w:rPr>
              <w:t>序号</w:t>
            </w:r>
          </w:p>
        </w:tc>
        <w:tc>
          <w:tcPr>
            <w:tcW w:w="3737"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center"/>
              <w:rPr>
                <w:rFonts w:hint="default" w:ascii="Times New Roman" w:hAnsi="Times New Roman" w:eastAsia="方正黑体_GBK" w:cs="Times New Roman"/>
                <w:b w:val="0"/>
                <w:bCs w:val="0"/>
                <w:kern w:val="0"/>
                <w:sz w:val="28"/>
                <w:szCs w:val="28"/>
              </w:rPr>
            </w:pPr>
            <w:r>
              <w:rPr>
                <w:rFonts w:hint="default" w:ascii="Times New Roman" w:hAnsi="Times New Roman" w:eastAsia="方正黑体_GBK" w:cs="Times New Roman"/>
                <w:b w:val="0"/>
                <w:bCs w:val="0"/>
                <w:kern w:val="0"/>
                <w:sz w:val="28"/>
                <w:szCs w:val="28"/>
              </w:rPr>
              <w:t>对口救援医院名称</w:t>
            </w:r>
          </w:p>
        </w:tc>
        <w:tc>
          <w:tcPr>
            <w:tcW w:w="1250"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center"/>
              <w:rPr>
                <w:rFonts w:hint="default" w:ascii="Times New Roman" w:hAnsi="Times New Roman" w:eastAsia="方正黑体_GBK" w:cs="Times New Roman"/>
                <w:b w:val="0"/>
                <w:bCs w:val="0"/>
                <w:kern w:val="0"/>
                <w:sz w:val="28"/>
                <w:szCs w:val="28"/>
              </w:rPr>
            </w:pPr>
            <w:r>
              <w:rPr>
                <w:rFonts w:hint="default" w:ascii="Times New Roman" w:hAnsi="Times New Roman" w:eastAsia="方正黑体_GBK" w:cs="Times New Roman"/>
                <w:b w:val="0"/>
                <w:bCs w:val="0"/>
                <w:kern w:val="0"/>
                <w:sz w:val="28"/>
                <w:szCs w:val="28"/>
              </w:rPr>
              <w:t>保障等级</w:t>
            </w:r>
          </w:p>
        </w:tc>
        <w:tc>
          <w:tcPr>
            <w:tcW w:w="1925"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center"/>
              <w:rPr>
                <w:rFonts w:hint="default" w:ascii="Times New Roman" w:hAnsi="Times New Roman" w:eastAsia="方正黑体_GBK" w:cs="Times New Roman"/>
                <w:b w:val="0"/>
                <w:bCs w:val="0"/>
                <w:kern w:val="0"/>
                <w:sz w:val="28"/>
                <w:szCs w:val="28"/>
              </w:rPr>
            </w:pPr>
            <w:r>
              <w:rPr>
                <w:rFonts w:hint="default" w:ascii="Times New Roman" w:hAnsi="Times New Roman" w:eastAsia="方正黑体_GBK" w:cs="Times New Roman"/>
                <w:b w:val="0"/>
                <w:bCs w:val="0"/>
                <w:kern w:val="0"/>
                <w:sz w:val="28"/>
                <w:szCs w:val="28"/>
              </w:rPr>
              <w:t>应急避难场所名称</w:t>
            </w:r>
          </w:p>
        </w:tc>
        <w:tc>
          <w:tcPr>
            <w:tcW w:w="1309"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center"/>
              <w:rPr>
                <w:rFonts w:hint="default" w:ascii="Times New Roman" w:hAnsi="Times New Roman" w:eastAsia="方正黑体_GBK" w:cs="Times New Roman"/>
                <w:b w:val="0"/>
                <w:bCs w:val="0"/>
                <w:color w:val="000000"/>
                <w:kern w:val="0"/>
                <w:sz w:val="28"/>
                <w:szCs w:val="28"/>
              </w:rPr>
            </w:pPr>
            <w:r>
              <w:rPr>
                <w:rFonts w:hint="default" w:ascii="Times New Roman" w:hAnsi="Times New Roman" w:eastAsia="方正黑体_GBK" w:cs="Times New Roman"/>
                <w:b w:val="0"/>
                <w:bCs w:val="0"/>
                <w:color w:val="000000"/>
                <w:kern w:val="0"/>
                <w:sz w:val="28"/>
                <w:szCs w:val="28"/>
              </w:rPr>
              <w:t>避难场所类别</w:t>
            </w:r>
          </w:p>
        </w:tc>
      </w:tr>
      <w:tr>
        <w:tblPrEx>
          <w:tblLayout w:type="fixed"/>
          <w:tblCellMar>
            <w:top w:w="0" w:type="dxa"/>
            <w:left w:w="28" w:type="dxa"/>
            <w:bottom w:w="0" w:type="dxa"/>
            <w:right w:w="28" w:type="dxa"/>
          </w:tblCellMar>
        </w:tblPrEx>
        <w:trPr>
          <w:trHeight w:val="20" w:hRule="atLeast"/>
        </w:trPr>
        <w:tc>
          <w:tcPr>
            <w:tcW w:w="679"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1</w:t>
            </w:r>
          </w:p>
        </w:tc>
        <w:tc>
          <w:tcPr>
            <w:tcW w:w="373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綦江区中医院（总院）</w:t>
            </w:r>
          </w:p>
        </w:tc>
        <w:tc>
          <w:tcPr>
            <w:tcW w:w="12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一级</w:t>
            </w:r>
          </w:p>
        </w:tc>
        <w:tc>
          <w:tcPr>
            <w:tcW w:w="1925"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外语外事学院</w:t>
            </w:r>
          </w:p>
        </w:tc>
        <w:tc>
          <w:tcPr>
            <w:tcW w:w="130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中长期</w:t>
            </w:r>
          </w:p>
        </w:tc>
      </w:tr>
      <w:tr>
        <w:tblPrEx>
          <w:tblLayout w:type="fixed"/>
          <w:tblCellMar>
            <w:top w:w="0" w:type="dxa"/>
            <w:left w:w="28" w:type="dxa"/>
            <w:bottom w:w="0" w:type="dxa"/>
            <w:right w:w="28" w:type="dxa"/>
          </w:tblCellMar>
        </w:tblPrEx>
        <w:trPr>
          <w:trHeight w:val="20" w:hRule="atLeast"/>
        </w:trPr>
        <w:tc>
          <w:tcPr>
            <w:tcW w:w="679"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2</w:t>
            </w:r>
          </w:p>
        </w:tc>
        <w:tc>
          <w:tcPr>
            <w:tcW w:w="373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綦江区妇幼保健院</w:t>
            </w:r>
          </w:p>
        </w:tc>
        <w:tc>
          <w:tcPr>
            <w:tcW w:w="12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二级</w:t>
            </w:r>
          </w:p>
        </w:tc>
        <w:tc>
          <w:tcPr>
            <w:tcW w:w="1925"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外语外事学院</w:t>
            </w:r>
          </w:p>
        </w:tc>
        <w:tc>
          <w:tcPr>
            <w:tcW w:w="130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中长期</w:t>
            </w:r>
          </w:p>
        </w:tc>
      </w:tr>
      <w:tr>
        <w:tblPrEx>
          <w:tblLayout w:type="fixed"/>
          <w:tblCellMar>
            <w:top w:w="0" w:type="dxa"/>
            <w:left w:w="28" w:type="dxa"/>
            <w:bottom w:w="0" w:type="dxa"/>
            <w:right w:w="28" w:type="dxa"/>
          </w:tblCellMar>
        </w:tblPrEx>
        <w:trPr>
          <w:trHeight w:val="20" w:hRule="atLeast"/>
        </w:trPr>
        <w:tc>
          <w:tcPr>
            <w:tcW w:w="679"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3</w:t>
            </w:r>
          </w:p>
        </w:tc>
        <w:tc>
          <w:tcPr>
            <w:tcW w:w="373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心新医院</w:t>
            </w:r>
          </w:p>
        </w:tc>
        <w:tc>
          <w:tcPr>
            <w:tcW w:w="12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二级</w:t>
            </w:r>
          </w:p>
        </w:tc>
        <w:tc>
          <w:tcPr>
            <w:tcW w:w="1925"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綦江体育中心</w:t>
            </w:r>
          </w:p>
        </w:tc>
        <w:tc>
          <w:tcPr>
            <w:tcW w:w="130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短期</w:t>
            </w:r>
          </w:p>
        </w:tc>
      </w:tr>
      <w:tr>
        <w:tblPrEx>
          <w:tblLayout w:type="fixed"/>
          <w:tblCellMar>
            <w:top w:w="0" w:type="dxa"/>
            <w:left w:w="28" w:type="dxa"/>
            <w:bottom w:w="0" w:type="dxa"/>
            <w:right w:w="28" w:type="dxa"/>
          </w:tblCellMar>
        </w:tblPrEx>
        <w:trPr>
          <w:trHeight w:val="20" w:hRule="atLeast"/>
        </w:trPr>
        <w:tc>
          <w:tcPr>
            <w:tcW w:w="679"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4</w:t>
            </w:r>
          </w:p>
        </w:tc>
        <w:tc>
          <w:tcPr>
            <w:tcW w:w="373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通惠街道社区卫生服务中心</w:t>
            </w:r>
          </w:p>
        </w:tc>
        <w:tc>
          <w:tcPr>
            <w:tcW w:w="12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二级</w:t>
            </w:r>
          </w:p>
        </w:tc>
        <w:tc>
          <w:tcPr>
            <w:tcW w:w="1925"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綦江体育中心</w:t>
            </w:r>
          </w:p>
        </w:tc>
        <w:tc>
          <w:tcPr>
            <w:tcW w:w="130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短期</w:t>
            </w:r>
          </w:p>
        </w:tc>
      </w:tr>
      <w:tr>
        <w:tblPrEx>
          <w:tblLayout w:type="fixed"/>
          <w:tblCellMar>
            <w:top w:w="0" w:type="dxa"/>
            <w:left w:w="28" w:type="dxa"/>
            <w:bottom w:w="0" w:type="dxa"/>
            <w:right w:w="28" w:type="dxa"/>
          </w:tblCellMar>
        </w:tblPrEx>
        <w:trPr>
          <w:trHeight w:val="20" w:hRule="atLeast"/>
        </w:trPr>
        <w:tc>
          <w:tcPr>
            <w:tcW w:w="679"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5</w:t>
            </w:r>
          </w:p>
        </w:tc>
        <w:tc>
          <w:tcPr>
            <w:tcW w:w="373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綦江爱康康复医院</w:t>
            </w:r>
          </w:p>
        </w:tc>
        <w:tc>
          <w:tcPr>
            <w:tcW w:w="12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二级</w:t>
            </w:r>
          </w:p>
        </w:tc>
        <w:tc>
          <w:tcPr>
            <w:tcW w:w="1925"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南州中学</w:t>
            </w:r>
          </w:p>
        </w:tc>
        <w:tc>
          <w:tcPr>
            <w:tcW w:w="130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短期</w:t>
            </w:r>
          </w:p>
        </w:tc>
      </w:tr>
      <w:tr>
        <w:tblPrEx>
          <w:tblLayout w:type="fixed"/>
          <w:tblCellMar>
            <w:top w:w="0" w:type="dxa"/>
            <w:left w:w="28" w:type="dxa"/>
            <w:bottom w:w="0" w:type="dxa"/>
            <w:right w:w="28" w:type="dxa"/>
          </w:tblCellMar>
        </w:tblPrEx>
        <w:trPr>
          <w:trHeight w:val="20" w:hRule="atLeast"/>
        </w:trPr>
        <w:tc>
          <w:tcPr>
            <w:tcW w:w="679"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6</w:t>
            </w:r>
          </w:p>
        </w:tc>
        <w:tc>
          <w:tcPr>
            <w:tcW w:w="373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綦江区中医院（九龙院区）</w:t>
            </w:r>
          </w:p>
        </w:tc>
        <w:tc>
          <w:tcPr>
            <w:tcW w:w="12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二级</w:t>
            </w:r>
          </w:p>
        </w:tc>
        <w:tc>
          <w:tcPr>
            <w:tcW w:w="1925"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营盘山公园</w:t>
            </w:r>
          </w:p>
        </w:tc>
        <w:tc>
          <w:tcPr>
            <w:tcW w:w="130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短期</w:t>
            </w:r>
          </w:p>
        </w:tc>
      </w:tr>
      <w:tr>
        <w:tblPrEx>
          <w:tblLayout w:type="fixed"/>
          <w:tblCellMar>
            <w:top w:w="0" w:type="dxa"/>
            <w:left w:w="28" w:type="dxa"/>
            <w:bottom w:w="0" w:type="dxa"/>
            <w:right w:w="28" w:type="dxa"/>
          </w:tblCellMar>
        </w:tblPrEx>
        <w:trPr>
          <w:trHeight w:val="20" w:hRule="atLeast"/>
        </w:trPr>
        <w:tc>
          <w:tcPr>
            <w:tcW w:w="679"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7</w:t>
            </w:r>
          </w:p>
        </w:tc>
        <w:tc>
          <w:tcPr>
            <w:tcW w:w="373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古南街道社区卫生服务中心</w:t>
            </w:r>
          </w:p>
        </w:tc>
        <w:tc>
          <w:tcPr>
            <w:tcW w:w="12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二级</w:t>
            </w:r>
          </w:p>
        </w:tc>
        <w:tc>
          <w:tcPr>
            <w:tcW w:w="1925"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綦江实验中学</w:t>
            </w:r>
          </w:p>
        </w:tc>
        <w:tc>
          <w:tcPr>
            <w:tcW w:w="130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短期</w:t>
            </w:r>
          </w:p>
        </w:tc>
      </w:tr>
      <w:tr>
        <w:tblPrEx>
          <w:tblLayout w:type="fixed"/>
          <w:tblCellMar>
            <w:top w:w="0" w:type="dxa"/>
            <w:left w:w="28" w:type="dxa"/>
            <w:bottom w:w="0" w:type="dxa"/>
            <w:right w:w="28" w:type="dxa"/>
          </w:tblCellMar>
        </w:tblPrEx>
        <w:trPr>
          <w:trHeight w:val="20" w:hRule="atLeast"/>
        </w:trPr>
        <w:tc>
          <w:tcPr>
            <w:tcW w:w="679"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8</w:t>
            </w:r>
          </w:p>
        </w:tc>
        <w:tc>
          <w:tcPr>
            <w:tcW w:w="373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綦江区人民医院（东城分院）</w:t>
            </w:r>
          </w:p>
        </w:tc>
        <w:tc>
          <w:tcPr>
            <w:tcW w:w="12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二级</w:t>
            </w:r>
          </w:p>
        </w:tc>
        <w:tc>
          <w:tcPr>
            <w:tcW w:w="1925"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綦江实验中学</w:t>
            </w:r>
          </w:p>
        </w:tc>
        <w:tc>
          <w:tcPr>
            <w:tcW w:w="130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短期</w:t>
            </w:r>
          </w:p>
        </w:tc>
      </w:tr>
      <w:tr>
        <w:tblPrEx>
          <w:tblLayout w:type="fixed"/>
          <w:tblCellMar>
            <w:top w:w="0" w:type="dxa"/>
            <w:left w:w="28" w:type="dxa"/>
            <w:bottom w:w="0" w:type="dxa"/>
            <w:right w:w="28" w:type="dxa"/>
          </w:tblCellMar>
        </w:tblPrEx>
        <w:trPr>
          <w:trHeight w:val="20" w:hRule="atLeast"/>
        </w:trPr>
        <w:tc>
          <w:tcPr>
            <w:tcW w:w="679"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9</w:t>
            </w:r>
          </w:p>
        </w:tc>
        <w:tc>
          <w:tcPr>
            <w:tcW w:w="373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文龙街道社区卫生服务中心</w:t>
            </w:r>
          </w:p>
        </w:tc>
        <w:tc>
          <w:tcPr>
            <w:tcW w:w="12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二级</w:t>
            </w:r>
          </w:p>
        </w:tc>
        <w:tc>
          <w:tcPr>
            <w:tcW w:w="1925"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綦江实验中学</w:t>
            </w:r>
          </w:p>
        </w:tc>
        <w:tc>
          <w:tcPr>
            <w:tcW w:w="130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短期</w:t>
            </w:r>
          </w:p>
        </w:tc>
      </w:tr>
      <w:tr>
        <w:tblPrEx>
          <w:tblLayout w:type="fixed"/>
          <w:tblCellMar>
            <w:top w:w="0" w:type="dxa"/>
            <w:left w:w="28" w:type="dxa"/>
            <w:bottom w:w="0" w:type="dxa"/>
            <w:right w:w="28" w:type="dxa"/>
          </w:tblCellMar>
        </w:tblPrEx>
        <w:trPr>
          <w:trHeight w:val="20" w:hRule="atLeast"/>
        </w:trPr>
        <w:tc>
          <w:tcPr>
            <w:tcW w:w="679"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10</w:t>
            </w:r>
          </w:p>
        </w:tc>
        <w:tc>
          <w:tcPr>
            <w:tcW w:w="373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綦江区人民医院</w:t>
            </w:r>
          </w:p>
        </w:tc>
        <w:tc>
          <w:tcPr>
            <w:tcW w:w="12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一级</w:t>
            </w:r>
          </w:p>
        </w:tc>
        <w:tc>
          <w:tcPr>
            <w:tcW w:w="1925"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规划健康工程职业学院</w:t>
            </w:r>
          </w:p>
        </w:tc>
        <w:tc>
          <w:tcPr>
            <w:tcW w:w="130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中长期</w:t>
            </w:r>
          </w:p>
        </w:tc>
      </w:tr>
      <w:tr>
        <w:tblPrEx>
          <w:tblLayout w:type="fixed"/>
          <w:tblCellMar>
            <w:top w:w="0" w:type="dxa"/>
            <w:left w:w="28" w:type="dxa"/>
            <w:bottom w:w="0" w:type="dxa"/>
            <w:right w:w="28" w:type="dxa"/>
          </w:tblCellMar>
        </w:tblPrEx>
        <w:trPr>
          <w:trHeight w:val="20" w:hRule="atLeast"/>
        </w:trPr>
        <w:tc>
          <w:tcPr>
            <w:tcW w:w="679"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11</w:t>
            </w:r>
          </w:p>
        </w:tc>
        <w:tc>
          <w:tcPr>
            <w:tcW w:w="373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三江街道社区卫生服务中心</w:t>
            </w:r>
          </w:p>
        </w:tc>
        <w:tc>
          <w:tcPr>
            <w:tcW w:w="12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二级</w:t>
            </w:r>
          </w:p>
        </w:tc>
        <w:tc>
          <w:tcPr>
            <w:tcW w:w="1925"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规划渝南科技学校</w:t>
            </w:r>
          </w:p>
        </w:tc>
        <w:tc>
          <w:tcPr>
            <w:tcW w:w="130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短期</w:t>
            </w:r>
          </w:p>
        </w:tc>
      </w:tr>
      <w:tr>
        <w:tblPrEx>
          <w:tblLayout w:type="fixed"/>
          <w:tblCellMar>
            <w:top w:w="0" w:type="dxa"/>
            <w:left w:w="28" w:type="dxa"/>
            <w:bottom w:w="0" w:type="dxa"/>
            <w:right w:w="28" w:type="dxa"/>
          </w:tblCellMar>
        </w:tblPrEx>
        <w:trPr>
          <w:trHeight w:val="20" w:hRule="atLeast"/>
        </w:trPr>
        <w:tc>
          <w:tcPr>
            <w:tcW w:w="679"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12</w:t>
            </w:r>
          </w:p>
        </w:tc>
        <w:tc>
          <w:tcPr>
            <w:tcW w:w="373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重庆冶炼集团有限责任公司职工医院</w:t>
            </w:r>
          </w:p>
        </w:tc>
        <w:tc>
          <w:tcPr>
            <w:tcW w:w="12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二级</w:t>
            </w:r>
          </w:p>
        </w:tc>
        <w:tc>
          <w:tcPr>
            <w:tcW w:w="1925"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三江中学</w:t>
            </w:r>
          </w:p>
        </w:tc>
        <w:tc>
          <w:tcPr>
            <w:tcW w:w="130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短期</w:t>
            </w:r>
          </w:p>
        </w:tc>
      </w:tr>
      <w:tr>
        <w:tblPrEx>
          <w:tblLayout w:type="fixed"/>
          <w:tblCellMar>
            <w:top w:w="0" w:type="dxa"/>
            <w:left w:w="28" w:type="dxa"/>
            <w:bottom w:w="0" w:type="dxa"/>
            <w:right w:w="28" w:type="dxa"/>
          </w:tblCellMar>
        </w:tblPrEx>
        <w:trPr>
          <w:trHeight w:val="20" w:hRule="atLeast"/>
        </w:trPr>
        <w:tc>
          <w:tcPr>
            <w:tcW w:w="679"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13</w:t>
            </w:r>
          </w:p>
        </w:tc>
        <w:tc>
          <w:tcPr>
            <w:tcW w:w="373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永城镇卫生院</w:t>
            </w:r>
          </w:p>
        </w:tc>
        <w:tc>
          <w:tcPr>
            <w:tcW w:w="12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二级</w:t>
            </w:r>
          </w:p>
        </w:tc>
        <w:tc>
          <w:tcPr>
            <w:tcW w:w="1925"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规划中职院校</w:t>
            </w:r>
          </w:p>
        </w:tc>
        <w:tc>
          <w:tcPr>
            <w:tcW w:w="130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短期</w:t>
            </w:r>
          </w:p>
        </w:tc>
      </w:tr>
      <w:tr>
        <w:tblPrEx>
          <w:tblLayout w:type="fixed"/>
          <w:tblCellMar>
            <w:top w:w="0" w:type="dxa"/>
            <w:left w:w="28" w:type="dxa"/>
            <w:bottom w:w="0" w:type="dxa"/>
            <w:right w:w="28" w:type="dxa"/>
          </w:tblCellMar>
        </w:tblPrEx>
        <w:trPr>
          <w:trHeight w:val="20" w:hRule="atLeast"/>
        </w:trPr>
        <w:tc>
          <w:tcPr>
            <w:tcW w:w="679"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14</w:t>
            </w:r>
          </w:p>
        </w:tc>
        <w:tc>
          <w:tcPr>
            <w:tcW w:w="373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永桐综合医院</w:t>
            </w:r>
          </w:p>
        </w:tc>
        <w:tc>
          <w:tcPr>
            <w:tcW w:w="12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二级</w:t>
            </w:r>
          </w:p>
        </w:tc>
        <w:tc>
          <w:tcPr>
            <w:tcW w:w="1925"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规划中职院校</w:t>
            </w:r>
          </w:p>
        </w:tc>
        <w:tc>
          <w:tcPr>
            <w:tcW w:w="130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短期</w:t>
            </w:r>
          </w:p>
        </w:tc>
      </w:tr>
      <w:tr>
        <w:tblPrEx>
          <w:tblLayout w:type="fixed"/>
          <w:tblCellMar>
            <w:top w:w="0" w:type="dxa"/>
            <w:left w:w="28" w:type="dxa"/>
            <w:bottom w:w="0" w:type="dxa"/>
            <w:right w:w="28" w:type="dxa"/>
          </w:tblCellMar>
        </w:tblPrEx>
        <w:trPr>
          <w:trHeight w:val="20" w:hRule="atLeast"/>
        </w:trPr>
        <w:tc>
          <w:tcPr>
            <w:tcW w:w="679"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15</w:t>
            </w:r>
          </w:p>
        </w:tc>
        <w:tc>
          <w:tcPr>
            <w:tcW w:w="373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永桐专科医院</w:t>
            </w:r>
          </w:p>
        </w:tc>
        <w:tc>
          <w:tcPr>
            <w:tcW w:w="12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二级</w:t>
            </w:r>
          </w:p>
        </w:tc>
        <w:tc>
          <w:tcPr>
            <w:tcW w:w="1925"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永城中学</w:t>
            </w:r>
          </w:p>
        </w:tc>
        <w:tc>
          <w:tcPr>
            <w:tcW w:w="130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短期</w:t>
            </w:r>
          </w:p>
        </w:tc>
      </w:tr>
      <w:tr>
        <w:tblPrEx>
          <w:tblLayout w:type="fixed"/>
          <w:tblCellMar>
            <w:top w:w="0" w:type="dxa"/>
            <w:left w:w="28" w:type="dxa"/>
            <w:bottom w:w="0" w:type="dxa"/>
            <w:right w:w="28" w:type="dxa"/>
          </w:tblCellMar>
        </w:tblPrEx>
        <w:trPr>
          <w:trHeight w:val="20" w:hRule="atLeast"/>
        </w:trPr>
        <w:tc>
          <w:tcPr>
            <w:tcW w:w="679"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16</w:t>
            </w:r>
          </w:p>
        </w:tc>
        <w:tc>
          <w:tcPr>
            <w:tcW w:w="373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规划江苏省人民医院重庆医院</w:t>
            </w:r>
          </w:p>
        </w:tc>
        <w:tc>
          <w:tcPr>
            <w:tcW w:w="125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一级</w:t>
            </w:r>
          </w:p>
        </w:tc>
        <w:tc>
          <w:tcPr>
            <w:tcW w:w="1925"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规划中学</w:t>
            </w:r>
          </w:p>
        </w:tc>
        <w:tc>
          <w:tcPr>
            <w:tcW w:w="1309"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短期</w:t>
            </w:r>
          </w:p>
        </w:tc>
      </w:tr>
    </w:tbl>
    <w:p>
      <w:pPr>
        <w:spacing w:line="576" w:lineRule="exact"/>
      </w:pPr>
      <w:bookmarkStart w:id="385" w:name="_Hlk113356484"/>
      <w:bookmarkStart w:id="386" w:name="_Ref114144317"/>
    </w:p>
    <w:p>
      <w:pPr>
        <w:pStyle w:val="7"/>
        <w:keepNext/>
        <w:spacing w:line="576" w:lineRule="exact"/>
        <w:rPr>
          <w:rFonts w:hint="default" w:ascii="Times New Roman" w:hAnsi="Times New Roman" w:eastAsia="方正黑体_GBK" w:cs="Times New Roman"/>
          <w:sz w:val="32"/>
          <w:szCs w:val="32"/>
          <w:lang w:val="en-US" w:eastAsia="zh-CN" w:bidi="ar"/>
        </w:rPr>
      </w:pPr>
      <w:bookmarkStart w:id="387" w:name="_Toc158043568"/>
      <w:bookmarkStart w:id="388" w:name="_Toc156308087"/>
      <w:r>
        <w:rPr>
          <w:rFonts w:hint="default" w:ascii="Times New Roman" w:hAnsi="Times New Roman" w:eastAsia="方正黑体_GBK" w:cs="Times New Roman"/>
          <w:sz w:val="32"/>
          <w:szCs w:val="32"/>
          <w:lang w:bidi="ar"/>
        </w:rPr>
        <w:t>附表</w:t>
      </w:r>
      <w:bookmarkEnd w:id="385"/>
      <w:bookmarkEnd w:id="386"/>
      <w:r>
        <w:rPr>
          <w:rFonts w:hint="default" w:ascii="Times New Roman" w:hAnsi="Times New Roman" w:eastAsia="方正黑体_GBK" w:cs="Times New Roman"/>
          <w:sz w:val="32"/>
          <w:szCs w:val="32"/>
          <w:lang w:val="en-US" w:eastAsia="zh-CN" w:bidi="ar"/>
        </w:rPr>
        <w:t xml:space="preserve">11 </w:t>
      </w:r>
    </w:p>
    <w:p>
      <w:pPr>
        <w:pStyle w:val="7"/>
        <w:keepNext/>
        <w:spacing w:line="576" w:lineRule="exact"/>
        <w:jc w:val="center"/>
        <w:rPr>
          <w:rFonts w:hint="default" w:ascii="Times New Roman" w:hAnsi="Times New Roman" w:eastAsia="方正黑体_GBK" w:cs="Times New Roman"/>
          <w:sz w:val="32"/>
          <w:szCs w:val="32"/>
          <w:lang w:bidi="ar"/>
        </w:rPr>
      </w:pPr>
      <w:r>
        <w:rPr>
          <w:rFonts w:hint="default" w:ascii="Times New Roman" w:hAnsi="Times New Roman" w:eastAsia="方正黑体_GBK" w:cs="Times New Roman"/>
          <w:sz w:val="32"/>
          <w:szCs w:val="32"/>
          <w:lang w:bidi="ar"/>
        </w:rPr>
        <w:t>綦江中心城区通信规划情况一览表</w:t>
      </w:r>
      <w:bookmarkEnd w:id="387"/>
      <w:bookmarkEnd w:id="388"/>
    </w:p>
    <w:p/>
    <w:tbl>
      <w:tblPr>
        <w:tblStyle w:val="18"/>
        <w:tblW w:w="88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20"/>
        <w:gridCol w:w="1859"/>
        <w:gridCol w:w="2424"/>
        <w:gridCol w:w="3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trPr>
        <w:tc>
          <w:tcPr>
            <w:tcW w:w="820" w:type="dxa"/>
          </w:tcPr>
          <w:p>
            <w:pPr>
              <w:keepNext/>
              <w:spacing w:line="480" w:lineRule="exact"/>
              <w:jc w:val="center"/>
              <w:rPr>
                <w:rFonts w:hint="default" w:ascii="Times New Roman" w:hAnsi="Times New Roman" w:eastAsia="方正黑体_GBK" w:cs="Times New Roman"/>
                <w:b w:val="0"/>
                <w:bCs w:val="0"/>
                <w:sz w:val="28"/>
                <w:szCs w:val="28"/>
              </w:rPr>
            </w:pPr>
            <w:r>
              <w:rPr>
                <w:rFonts w:hint="default" w:ascii="Times New Roman" w:hAnsi="Times New Roman" w:eastAsia="方正黑体_GBK" w:cs="Times New Roman"/>
                <w:b w:val="0"/>
                <w:bCs w:val="0"/>
                <w:sz w:val="28"/>
                <w:szCs w:val="28"/>
              </w:rPr>
              <w:t>序号</w:t>
            </w:r>
          </w:p>
        </w:tc>
        <w:tc>
          <w:tcPr>
            <w:tcW w:w="1859" w:type="dxa"/>
          </w:tcPr>
          <w:p>
            <w:pPr>
              <w:keepNext/>
              <w:spacing w:line="480" w:lineRule="exact"/>
              <w:jc w:val="center"/>
              <w:rPr>
                <w:rFonts w:hint="default" w:ascii="Times New Roman" w:hAnsi="Times New Roman" w:eastAsia="方正黑体_GBK" w:cs="Times New Roman"/>
                <w:b w:val="0"/>
                <w:bCs w:val="0"/>
                <w:sz w:val="28"/>
                <w:szCs w:val="28"/>
              </w:rPr>
            </w:pPr>
            <w:r>
              <w:rPr>
                <w:rFonts w:hint="default" w:ascii="Times New Roman" w:hAnsi="Times New Roman" w:eastAsia="方正黑体_GBK" w:cs="Times New Roman"/>
                <w:b w:val="0"/>
                <w:bCs w:val="0"/>
                <w:sz w:val="28"/>
                <w:szCs w:val="28"/>
              </w:rPr>
              <w:t>设施类别</w:t>
            </w:r>
          </w:p>
        </w:tc>
        <w:tc>
          <w:tcPr>
            <w:tcW w:w="2424" w:type="dxa"/>
          </w:tcPr>
          <w:p>
            <w:pPr>
              <w:keepNext/>
              <w:spacing w:line="480" w:lineRule="exact"/>
              <w:jc w:val="center"/>
              <w:rPr>
                <w:rFonts w:hint="default" w:ascii="Times New Roman" w:hAnsi="Times New Roman" w:eastAsia="方正黑体_GBK" w:cs="Times New Roman"/>
                <w:b w:val="0"/>
                <w:bCs w:val="0"/>
                <w:sz w:val="28"/>
                <w:szCs w:val="28"/>
              </w:rPr>
            </w:pPr>
            <w:r>
              <w:rPr>
                <w:rFonts w:hint="default" w:ascii="Times New Roman" w:hAnsi="Times New Roman" w:eastAsia="方正黑体_GBK" w:cs="Times New Roman"/>
                <w:b w:val="0"/>
                <w:bCs w:val="0"/>
                <w:sz w:val="28"/>
                <w:szCs w:val="28"/>
              </w:rPr>
              <w:t>数量（个、处、座）</w:t>
            </w:r>
          </w:p>
        </w:tc>
        <w:tc>
          <w:tcPr>
            <w:tcW w:w="3760" w:type="dxa"/>
          </w:tcPr>
          <w:p>
            <w:pPr>
              <w:keepNext/>
              <w:spacing w:line="480" w:lineRule="exact"/>
              <w:jc w:val="center"/>
              <w:rPr>
                <w:rFonts w:hint="default" w:ascii="Times New Roman" w:hAnsi="Times New Roman" w:eastAsia="方正黑体_GBK" w:cs="Times New Roman"/>
                <w:b w:val="0"/>
                <w:bCs w:val="0"/>
                <w:sz w:val="28"/>
                <w:szCs w:val="28"/>
              </w:rPr>
            </w:pPr>
            <w:r>
              <w:rPr>
                <w:rFonts w:hint="default" w:ascii="Times New Roman" w:hAnsi="Times New Roman" w:eastAsia="方正黑体_GBK" w:cs="Times New Roman"/>
                <w:b w:val="0"/>
                <w:bCs w:val="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trPr>
        <w:tc>
          <w:tcPr>
            <w:tcW w:w="820" w:type="dxa"/>
            <w:vAlign w:val="center"/>
          </w:tcPr>
          <w:p>
            <w:pPr>
              <w:spacing w:line="480" w:lineRule="exact"/>
              <w:jc w:val="center"/>
              <w:rPr>
                <w:sz w:val="28"/>
                <w:szCs w:val="28"/>
              </w:rPr>
            </w:pPr>
            <w:r>
              <w:rPr>
                <w:sz w:val="28"/>
                <w:szCs w:val="28"/>
              </w:rPr>
              <w:t>1</w:t>
            </w:r>
          </w:p>
        </w:tc>
        <w:tc>
          <w:tcPr>
            <w:tcW w:w="1859" w:type="dxa"/>
            <w:vAlign w:val="center"/>
          </w:tcPr>
          <w:p>
            <w:pPr>
              <w:spacing w:line="480" w:lineRule="exact"/>
              <w:jc w:val="center"/>
              <w:rPr>
                <w:sz w:val="28"/>
                <w:szCs w:val="28"/>
              </w:rPr>
            </w:pPr>
            <w:r>
              <w:rPr>
                <w:sz w:val="28"/>
                <w:szCs w:val="28"/>
              </w:rPr>
              <w:t>通信端局</w:t>
            </w:r>
          </w:p>
        </w:tc>
        <w:tc>
          <w:tcPr>
            <w:tcW w:w="2424" w:type="dxa"/>
            <w:vAlign w:val="center"/>
          </w:tcPr>
          <w:p>
            <w:pPr>
              <w:spacing w:line="480" w:lineRule="exact"/>
              <w:jc w:val="center"/>
              <w:rPr>
                <w:sz w:val="28"/>
                <w:szCs w:val="28"/>
              </w:rPr>
            </w:pPr>
            <w:r>
              <w:rPr>
                <w:sz w:val="28"/>
                <w:szCs w:val="28"/>
              </w:rPr>
              <w:t>16</w:t>
            </w:r>
          </w:p>
        </w:tc>
        <w:tc>
          <w:tcPr>
            <w:tcW w:w="3760" w:type="dxa"/>
            <w:vAlign w:val="center"/>
          </w:tcPr>
          <w:p>
            <w:pPr>
              <w:spacing w:line="480" w:lineRule="exact"/>
              <w:jc w:val="center"/>
              <w:rPr>
                <w:sz w:val="28"/>
                <w:szCs w:val="28"/>
              </w:rPr>
            </w:pPr>
            <w:r>
              <w:rPr>
                <w:sz w:val="28"/>
                <w:szCs w:val="28"/>
              </w:rPr>
              <w:t>规划新增6处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67" w:hRule="exact"/>
        </w:trPr>
        <w:tc>
          <w:tcPr>
            <w:tcW w:w="820" w:type="dxa"/>
            <w:vAlign w:val="center"/>
          </w:tcPr>
          <w:p>
            <w:pPr>
              <w:spacing w:line="480" w:lineRule="exact"/>
              <w:jc w:val="center"/>
              <w:rPr>
                <w:sz w:val="28"/>
                <w:szCs w:val="28"/>
              </w:rPr>
            </w:pPr>
            <w:r>
              <w:rPr>
                <w:sz w:val="28"/>
                <w:szCs w:val="28"/>
              </w:rPr>
              <w:t>2</w:t>
            </w:r>
          </w:p>
        </w:tc>
        <w:tc>
          <w:tcPr>
            <w:tcW w:w="1859" w:type="dxa"/>
            <w:vAlign w:val="center"/>
          </w:tcPr>
          <w:p>
            <w:pPr>
              <w:spacing w:line="480" w:lineRule="exact"/>
              <w:jc w:val="center"/>
              <w:rPr>
                <w:sz w:val="28"/>
                <w:szCs w:val="28"/>
              </w:rPr>
            </w:pPr>
            <w:r>
              <w:rPr>
                <w:sz w:val="28"/>
                <w:szCs w:val="28"/>
              </w:rPr>
              <w:t>邮政端局</w:t>
            </w:r>
          </w:p>
        </w:tc>
        <w:tc>
          <w:tcPr>
            <w:tcW w:w="2424" w:type="dxa"/>
            <w:vAlign w:val="center"/>
          </w:tcPr>
          <w:p>
            <w:pPr>
              <w:spacing w:line="480" w:lineRule="exact"/>
              <w:jc w:val="center"/>
              <w:rPr>
                <w:sz w:val="28"/>
                <w:szCs w:val="28"/>
              </w:rPr>
            </w:pPr>
            <w:r>
              <w:rPr>
                <w:sz w:val="28"/>
                <w:szCs w:val="28"/>
              </w:rPr>
              <w:t>11</w:t>
            </w:r>
          </w:p>
        </w:tc>
        <w:tc>
          <w:tcPr>
            <w:tcW w:w="3760" w:type="dxa"/>
            <w:vAlign w:val="center"/>
          </w:tcPr>
          <w:p>
            <w:pPr>
              <w:spacing w:line="480" w:lineRule="exact"/>
              <w:jc w:val="center"/>
              <w:rPr>
                <w:sz w:val="28"/>
                <w:szCs w:val="28"/>
              </w:rPr>
            </w:pPr>
            <w:r>
              <w:rPr>
                <w:sz w:val="28"/>
                <w:szCs w:val="28"/>
              </w:rPr>
              <w:t>规划新增1处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trPr>
        <w:tc>
          <w:tcPr>
            <w:tcW w:w="820" w:type="dxa"/>
            <w:vAlign w:val="center"/>
          </w:tcPr>
          <w:p>
            <w:pPr>
              <w:spacing w:line="480" w:lineRule="exact"/>
              <w:jc w:val="center"/>
              <w:rPr>
                <w:sz w:val="28"/>
                <w:szCs w:val="28"/>
              </w:rPr>
            </w:pPr>
            <w:r>
              <w:rPr>
                <w:sz w:val="28"/>
                <w:szCs w:val="28"/>
              </w:rPr>
              <w:t>3</w:t>
            </w:r>
          </w:p>
        </w:tc>
        <w:tc>
          <w:tcPr>
            <w:tcW w:w="1859" w:type="dxa"/>
            <w:vAlign w:val="center"/>
          </w:tcPr>
          <w:p>
            <w:pPr>
              <w:spacing w:line="480" w:lineRule="exact"/>
              <w:jc w:val="center"/>
              <w:rPr>
                <w:sz w:val="28"/>
                <w:szCs w:val="28"/>
              </w:rPr>
            </w:pPr>
            <w:r>
              <w:rPr>
                <w:sz w:val="28"/>
                <w:szCs w:val="28"/>
              </w:rPr>
              <w:t>广播电视设施</w:t>
            </w:r>
          </w:p>
        </w:tc>
        <w:tc>
          <w:tcPr>
            <w:tcW w:w="2424" w:type="dxa"/>
            <w:vAlign w:val="center"/>
          </w:tcPr>
          <w:p>
            <w:pPr>
              <w:spacing w:line="480" w:lineRule="exact"/>
              <w:jc w:val="center"/>
              <w:rPr>
                <w:sz w:val="28"/>
                <w:szCs w:val="28"/>
              </w:rPr>
            </w:pPr>
            <w:r>
              <w:rPr>
                <w:sz w:val="28"/>
                <w:szCs w:val="28"/>
              </w:rPr>
              <w:t>2</w:t>
            </w:r>
          </w:p>
        </w:tc>
        <w:tc>
          <w:tcPr>
            <w:tcW w:w="3760" w:type="dxa"/>
            <w:vAlign w:val="center"/>
          </w:tcPr>
          <w:p>
            <w:pPr>
              <w:spacing w:line="480" w:lineRule="exact"/>
              <w:jc w:val="center"/>
              <w:rPr>
                <w:sz w:val="28"/>
                <w:szCs w:val="28"/>
              </w:rPr>
            </w:pPr>
            <w:r>
              <w:rPr>
                <w:sz w:val="28"/>
                <w:szCs w:val="28"/>
              </w:rPr>
              <w:t>规划新增广播电视中心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820" w:type="dxa"/>
            <w:vAlign w:val="center"/>
          </w:tcPr>
          <w:p>
            <w:pPr>
              <w:spacing w:line="480" w:lineRule="exact"/>
              <w:jc w:val="center"/>
              <w:rPr>
                <w:sz w:val="28"/>
                <w:szCs w:val="28"/>
              </w:rPr>
            </w:pPr>
            <w:r>
              <w:rPr>
                <w:sz w:val="28"/>
                <w:szCs w:val="28"/>
              </w:rPr>
              <w:t>4</w:t>
            </w:r>
          </w:p>
        </w:tc>
        <w:tc>
          <w:tcPr>
            <w:tcW w:w="1859" w:type="dxa"/>
            <w:vAlign w:val="center"/>
          </w:tcPr>
          <w:p>
            <w:pPr>
              <w:spacing w:line="480" w:lineRule="exact"/>
              <w:jc w:val="center"/>
              <w:rPr>
                <w:sz w:val="28"/>
                <w:szCs w:val="28"/>
              </w:rPr>
            </w:pPr>
            <w:r>
              <w:rPr>
                <w:sz w:val="28"/>
                <w:szCs w:val="28"/>
              </w:rPr>
              <w:t>通信基站</w:t>
            </w:r>
          </w:p>
        </w:tc>
        <w:tc>
          <w:tcPr>
            <w:tcW w:w="2424" w:type="dxa"/>
            <w:vAlign w:val="center"/>
          </w:tcPr>
          <w:p>
            <w:pPr>
              <w:spacing w:line="480" w:lineRule="exact"/>
              <w:jc w:val="center"/>
              <w:rPr>
                <w:sz w:val="28"/>
                <w:szCs w:val="28"/>
              </w:rPr>
            </w:pPr>
            <w:r>
              <w:rPr>
                <w:sz w:val="28"/>
                <w:szCs w:val="28"/>
              </w:rPr>
              <w:t>1964（1327+431+206）</w:t>
            </w:r>
          </w:p>
        </w:tc>
        <w:tc>
          <w:tcPr>
            <w:tcW w:w="3760" w:type="dxa"/>
            <w:vAlign w:val="center"/>
          </w:tcPr>
          <w:p>
            <w:pPr>
              <w:spacing w:line="480" w:lineRule="exact"/>
              <w:jc w:val="center"/>
              <w:rPr>
                <w:sz w:val="28"/>
                <w:szCs w:val="28"/>
              </w:rPr>
            </w:pPr>
            <w:r>
              <w:rPr>
                <w:sz w:val="28"/>
                <w:szCs w:val="28"/>
              </w:rPr>
              <w:t>规划新增431处宏站，206处室分站</w:t>
            </w:r>
          </w:p>
        </w:tc>
      </w:tr>
    </w:tbl>
    <w:p>
      <w:pPr>
        <w:spacing w:line="576" w:lineRule="exact"/>
      </w:pPr>
      <w:r>
        <w:br w:type="page"/>
      </w:r>
    </w:p>
    <w:p>
      <w:pPr>
        <w:pStyle w:val="7"/>
        <w:keepNext/>
        <w:spacing w:line="576" w:lineRule="exact"/>
        <w:rPr>
          <w:rFonts w:hint="eastAsia" w:ascii="Times New Roman" w:hAnsi="Times New Roman" w:eastAsia="方正黑体_GBK" w:cs="Times New Roman"/>
          <w:sz w:val="32"/>
          <w:szCs w:val="32"/>
          <w:lang w:val="en-US" w:eastAsia="zh-CN" w:bidi="ar"/>
        </w:rPr>
      </w:pPr>
      <w:bookmarkStart w:id="389" w:name="_Ref116117437"/>
      <w:bookmarkStart w:id="390" w:name="_Toc158043569"/>
      <w:bookmarkStart w:id="391" w:name="_Toc156308088"/>
      <w:bookmarkStart w:id="392" w:name="_Ref116117430"/>
      <w:r>
        <w:rPr>
          <w:rFonts w:hint="default" w:ascii="Times New Roman" w:hAnsi="Times New Roman" w:eastAsia="方正黑体_GBK" w:cs="Times New Roman"/>
          <w:sz w:val="32"/>
          <w:szCs w:val="32"/>
          <w:lang w:bidi="ar"/>
        </w:rPr>
        <w:t>附表</w:t>
      </w:r>
      <w:bookmarkEnd w:id="389"/>
      <w:r>
        <w:rPr>
          <w:rFonts w:hint="eastAsia" w:ascii="Times New Roman" w:hAnsi="Times New Roman" w:eastAsia="方正黑体_GBK" w:cs="Times New Roman"/>
          <w:sz w:val="32"/>
          <w:szCs w:val="32"/>
          <w:lang w:val="en-US" w:eastAsia="zh-CN" w:bidi="ar"/>
        </w:rPr>
        <w:t xml:space="preserve">12 </w:t>
      </w:r>
    </w:p>
    <w:p>
      <w:pPr>
        <w:pStyle w:val="7"/>
        <w:keepNext/>
        <w:spacing w:line="576" w:lineRule="exact"/>
        <w:jc w:val="center"/>
        <w:rPr>
          <w:rFonts w:hint="default" w:ascii="Times New Roman" w:hAnsi="Times New Roman" w:eastAsia="方正黑体_GBK" w:cs="Times New Roman"/>
          <w:sz w:val="32"/>
          <w:szCs w:val="32"/>
          <w:lang w:bidi="ar"/>
        </w:rPr>
      </w:pPr>
      <w:r>
        <w:rPr>
          <w:rFonts w:hint="default" w:ascii="Times New Roman" w:hAnsi="Times New Roman" w:eastAsia="方正黑体_GBK" w:cs="Times New Roman"/>
          <w:sz w:val="32"/>
          <w:szCs w:val="32"/>
          <w:lang w:bidi="ar"/>
        </w:rPr>
        <w:t>綦江中心城区消防站点规划情况一览表</w:t>
      </w:r>
      <w:bookmarkEnd w:id="390"/>
      <w:bookmarkEnd w:id="391"/>
      <w:bookmarkEnd w:id="392"/>
    </w:p>
    <w:p>
      <w:pPr>
        <w:rPr>
          <w:rFonts w:hint="default"/>
        </w:rPr>
      </w:pPr>
    </w:p>
    <w:tbl>
      <w:tblPr>
        <w:tblStyle w:val="18"/>
        <w:tblW w:w="8900" w:type="dxa"/>
        <w:tblInd w:w="0" w:type="dxa"/>
        <w:tblLayout w:type="fixed"/>
        <w:tblCellMar>
          <w:top w:w="0" w:type="dxa"/>
          <w:left w:w="28" w:type="dxa"/>
          <w:bottom w:w="0" w:type="dxa"/>
          <w:right w:w="28" w:type="dxa"/>
        </w:tblCellMar>
      </w:tblPr>
      <w:tblGrid>
        <w:gridCol w:w="633"/>
        <w:gridCol w:w="2640"/>
        <w:gridCol w:w="2067"/>
        <w:gridCol w:w="2353"/>
        <w:gridCol w:w="1207"/>
      </w:tblGrid>
      <w:tr>
        <w:tblPrEx>
          <w:tblLayout w:type="fixed"/>
          <w:tblCellMar>
            <w:top w:w="0" w:type="dxa"/>
            <w:left w:w="28" w:type="dxa"/>
            <w:bottom w:w="0" w:type="dxa"/>
            <w:right w:w="28" w:type="dxa"/>
          </w:tblCellMar>
        </w:tblPrEx>
        <w:trPr>
          <w:trHeight w:val="340" w:hRule="atLeast"/>
        </w:trPr>
        <w:tc>
          <w:tcPr>
            <w:tcW w:w="6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80" w:lineRule="exact"/>
              <w:jc w:val="center"/>
              <w:rPr>
                <w:rFonts w:hint="default" w:ascii="Times New Roman" w:hAnsi="Times New Roman" w:eastAsia="方正黑体_GBK" w:cs="Times New Roman"/>
                <w:b w:val="0"/>
                <w:bCs w:val="0"/>
                <w:color w:val="000000"/>
                <w:kern w:val="0"/>
                <w:sz w:val="28"/>
                <w:szCs w:val="28"/>
              </w:rPr>
            </w:pPr>
            <w:bookmarkStart w:id="393" w:name="_Ref113960681"/>
            <w:r>
              <w:rPr>
                <w:rFonts w:hint="default" w:ascii="Times New Roman" w:hAnsi="Times New Roman" w:eastAsia="方正黑体_GBK" w:cs="Times New Roman"/>
                <w:b w:val="0"/>
                <w:bCs w:val="0"/>
                <w:color w:val="000000"/>
                <w:kern w:val="0"/>
                <w:sz w:val="28"/>
                <w:szCs w:val="28"/>
              </w:rPr>
              <w:t>序号</w:t>
            </w:r>
          </w:p>
        </w:tc>
        <w:tc>
          <w:tcPr>
            <w:tcW w:w="2640"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center"/>
              <w:rPr>
                <w:rFonts w:hint="default" w:ascii="Times New Roman" w:hAnsi="Times New Roman" w:eastAsia="方正黑体_GBK" w:cs="Times New Roman"/>
                <w:b w:val="0"/>
                <w:bCs w:val="0"/>
                <w:color w:val="000000"/>
                <w:kern w:val="0"/>
                <w:sz w:val="28"/>
                <w:szCs w:val="28"/>
              </w:rPr>
            </w:pPr>
            <w:r>
              <w:rPr>
                <w:rFonts w:hint="default" w:ascii="Times New Roman" w:hAnsi="Times New Roman" w:eastAsia="方正黑体_GBK" w:cs="Times New Roman"/>
                <w:b w:val="0"/>
                <w:bCs w:val="0"/>
                <w:color w:val="000000"/>
                <w:kern w:val="0"/>
                <w:sz w:val="28"/>
                <w:szCs w:val="28"/>
              </w:rPr>
              <w:t>消防站</w:t>
            </w:r>
          </w:p>
        </w:tc>
        <w:tc>
          <w:tcPr>
            <w:tcW w:w="2067" w:type="dxa"/>
            <w:tcBorders>
              <w:top w:val="single" w:color="auto" w:sz="4" w:space="0"/>
              <w:left w:val="nil"/>
              <w:bottom w:val="single" w:color="auto" w:sz="4" w:space="0"/>
              <w:right w:val="single" w:color="auto" w:sz="4" w:space="0"/>
            </w:tcBorders>
            <w:vAlign w:val="center"/>
          </w:tcPr>
          <w:p>
            <w:pPr>
              <w:widowControl/>
              <w:spacing w:line="480" w:lineRule="exact"/>
              <w:jc w:val="center"/>
              <w:rPr>
                <w:rFonts w:hint="default" w:ascii="Times New Roman" w:hAnsi="Times New Roman" w:eastAsia="方正黑体_GBK" w:cs="Times New Roman"/>
                <w:b w:val="0"/>
                <w:bCs w:val="0"/>
                <w:color w:val="000000"/>
                <w:kern w:val="0"/>
                <w:sz w:val="28"/>
                <w:szCs w:val="28"/>
              </w:rPr>
            </w:pPr>
            <w:r>
              <w:rPr>
                <w:rFonts w:hint="default" w:ascii="Times New Roman" w:hAnsi="Times New Roman" w:eastAsia="方正黑体_GBK" w:cs="Times New Roman"/>
                <w:b w:val="0"/>
                <w:bCs w:val="0"/>
                <w:color w:val="000000"/>
                <w:kern w:val="0"/>
                <w:sz w:val="28"/>
                <w:szCs w:val="28"/>
              </w:rPr>
              <w:t>站级</w:t>
            </w:r>
          </w:p>
        </w:tc>
        <w:tc>
          <w:tcPr>
            <w:tcW w:w="23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80" w:lineRule="exact"/>
              <w:jc w:val="center"/>
              <w:rPr>
                <w:rFonts w:hint="default" w:ascii="Times New Roman" w:hAnsi="Times New Roman" w:eastAsia="方正黑体_GBK" w:cs="Times New Roman"/>
                <w:b w:val="0"/>
                <w:bCs w:val="0"/>
                <w:color w:val="000000"/>
                <w:kern w:val="0"/>
                <w:sz w:val="28"/>
                <w:szCs w:val="28"/>
              </w:rPr>
            </w:pPr>
            <w:r>
              <w:rPr>
                <w:rFonts w:hint="default" w:ascii="Times New Roman" w:hAnsi="Times New Roman" w:eastAsia="方正黑体_GBK" w:cs="Times New Roman"/>
                <w:b w:val="0"/>
                <w:bCs w:val="0"/>
                <w:color w:val="000000"/>
                <w:kern w:val="0"/>
                <w:sz w:val="28"/>
                <w:szCs w:val="28"/>
              </w:rPr>
              <w:t>所在片区</w:t>
            </w:r>
          </w:p>
        </w:tc>
        <w:tc>
          <w:tcPr>
            <w:tcW w:w="1207"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center"/>
              <w:rPr>
                <w:rFonts w:hint="default" w:ascii="Times New Roman" w:hAnsi="Times New Roman" w:eastAsia="方正黑体_GBK" w:cs="Times New Roman"/>
                <w:b w:val="0"/>
                <w:bCs w:val="0"/>
                <w:color w:val="000000"/>
                <w:kern w:val="0"/>
                <w:sz w:val="28"/>
                <w:szCs w:val="28"/>
              </w:rPr>
            </w:pPr>
            <w:r>
              <w:rPr>
                <w:rFonts w:hint="default" w:ascii="Times New Roman" w:hAnsi="Times New Roman" w:eastAsia="方正黑体_GBK" w:cs="Times New Roman"/>
                <w:b w:val="0"/>
                <w:bCs w:val="0"/>
                <w:color w:val="000000"/>
                <w:kern w:val="0"/>
                <w:sz w:val="28"/>
                <w:szCs w:val="28"/>
              </w:rPr>
              <w:t>备注</w:t>
            </w:r>
          </w:p>
        </w:tc>
      </w:tr>
      <w:tr>
        <w:tblPrEx>
          <w:tblLayout w:type="fixed"/>
          <w:tblCellMar>
            <w:top w:w="0" w:type="dxa"/>
            <w:left w:w="28" w:type="dxa"/>
            <w:bottom w:w="0" w:type="dxa"/>
            <w:right w:w="28" w:type="dxa"/>
          </w:tblCellMar>
        </w:tblPrEx>
        <w:trPr>
          <w:trHeight w:val="567" w:hRule="exact"/>
        </w:trPr>
        <w:tc>
          <w:tcPr>
            <w:tcW w:w="633"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1</w:t>
            </w:r>
          </w:p>
        </w:tc>
        <w:tc>
          <w:tcPr>
            <w:tcW w:w="264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通惠消防救援站</w:t>
            </w:r>
          </w:p>
        </w:tc>
        <w:tc>
          <w:tcPr>
            <w:tcW w:w="2067" w:type="dxa"/>
            <w:tcBorders>
              <w:top w:val="single" w:color="auto" w:sz="4" w:space="0"/>
              <w:left w:val="nil"/>
              <w:bottom w:val="single" w:color="auto" w:sz="4" w:space="0"/>
              <w:right w:val="single" w:color="auto" w:sz="4" w:space="0"/>
            </w:tcBorders>
            <w:vAlign w:val="center"/>
          </w:tcPr>
          <w:p>
            <w:pPr>
              <w:spacing w:line="480" w:lineRule="exact"/>
              <w:jc w:val="center"/>
              <w:rPr>
                <w:sz w:val="28"/>
                <w:szCs w:val="28"/>
              </w:rPr>
            </w:pPr>
            <w:r>
              <w:rPr>
                <w:sz w:val="28"/>
                <w:szCs w:val="28"/>
              </w:rPr>
              <w:t>特勤消防站</w:t>
            </w:r>
          </w:p>
        </w:tc>
        <w:tc>
          <w:tcPr>
            <w:tcW w:w="23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东部新城通惠片区</w:t>
            </w:r>
          </w:p>
        </w:tc>
        <w:tc>
          <w:tcPr>
            <w:tcW w:w="120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现状保留</w:t>
            </w:r>
          </w:p>
        </w:tc>
      </w:tr>
      <w:tr>
        <w:tblPrEx>
          <w:tblLayout w:type="fixed"/>
          <w:tblCellMar>
            <w:top w:w="0" w:type="dxa"/>
            <w:left w:w="28" w:type="dxa"/>
            <w:bottom w:w="0" w:type="dxa"/>
            <w:right w:w="28" w:type="dxa"/>
          </w:tblCellMar>
        </w:tblPrEx>
        <w:trPr>
          <w:trHeight w:val="567" w:hRule="exact"/>
        </w:trPr>
        <w:tc>
          <w:tcPr>
            <w:tcW w:w="633"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2</w:t>
            </w:r>
          </w:p>
        </w:tc>
        <w:tc>
          <w:tcPr>
            <w:tcW w:w="264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九龙消防救援站</w:t>
            </w:r>
          </w:p>
        </w:tc>
        <w:tc>
          <w:tcPr>
            <w:tcW w:w="2067" w:type="dxa"/>
            <w:tcBorders>
              <w:top w:val="single" w:color="auto" w:sz="4" w:space="0"/>
              <w:left w:val="nil"/>
              <w:bottom w:val="single" w:color="auto" w:sz="4" w:space="0"/>
              <w:right w:val="single" w:color="auto" w:sz="4" w:space="0"/>
            </w:tcBorders>
            <w:vAlign w:val="center"/>
          </w:tcPr>
          <w:p>
            <w:pPr>
              <w:spacing w:line="480" w:lineRule="exact"/>
              <w:jc w:val="center"/>
              <w:rPr>
                <w:sz w:val="28"/>
                <w:szCs w:val="28"/>
              </w:rPr>
            </w:pPr>
            <w:r>
              <w:rPr>
                <w:sz w:val="28"/>
                <w:szCs w:val="28"/>
              </w:rPr>
              <w:t>一级普通消防站</w:t>
            </w:r>
          </w:p>
        </w:tc>
        <w:tc>
          <w:tcPr>
            <w:tcW w:w="23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九龙片区</w:t>
            </w:r>
          </w:p>
        </w:tc>
        <w:tc>
          <w:tcPr>
            <w:tcW w:w="120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现状保留</w:t>
            </w:r>
          </w:p>
        </w:tc>
      </w:tr>
      <w:tr>
        <w:tblPrEx>
          <w:tblLayout w:type="fixed"/>
          <w:tblCellMar>
            <w:top w:w="0" w:type="dxa"/>
            <w:left w:w="28" w:type="dxa"/>
            <w:bottom w:w="0" w:type="dxa"/>
            <w:right w:w="28" w:type="dxa"/>
          </w:tblCellMar>
        </w:tblPrEx>
        <w:trPr>
          <w:trHeight w:val="567" w:hRule="exact"/>
        </w:trPr>
        <w:tc>
          <w:tcPr>
            <w:tcW w:w="633"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3</w:t>
            </w:r>
          </w:p>
        </w:tc>
        <w:tc>
          <w:tcPr>
            <w:tcW w:w="264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北渡消防救援站</w:t>
            </w:r>
          </w:p>
        </w:tc>
        <w:tc>
          <w:tcPr>
            <w:tcW w:w="2067" w:type="dxa"/>
            <w:tcBorders>
              <w:top w:val="single" w:color="auto" w:sz="4" w:space="0"/>
              <w:left w:val="nil"/>
              <w:bottom w:val="single" w:color="auto" w:sz="4" w:space="0"/>
              <w:right w:val="single" w:color="auto" w:sz="4" w:space="0"/>
            </w:tcBorders>
            <w:vAlign w:val="center"/>
          </w:tcPr>
          <w:p>
            <w:pPr>
              <w:spacing w:line="480" w:lineRule="exact"/>
              <w:jc w:val="center"/>
              <w:rPr>
                <w:sz w:val="28"/>
                <w:szCs w:val="28"/>
              </w:rPr>
            </w:pPr>
            <w:r>
              <w:rPr>
                <w:sz w:val="28"/>
                <w:szCs w:val="28"/>
              </w:rPr>
              <w:t>一级普通消防站</w:t>
            </w:r>
          </w:p>
        </w:tc>
        <w:tc>
          <w:tcPr>
            <w:tcW w:w="23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北渡铝产业园区</w:t>
            </w:r>
          </w:p>
        </w:tc>
        <w:tc>
          <w:tcPr>
            <w:tcW w:w="120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现状保留</w:t>
            </w:r>
          </w:p>
        </w:tc>
      </w:tr>
      <w:tr>
        <w:tblPrEx>
          <w:tblLayout w:type="fixed"/>
          <w:tblCellMar>
            <w:top w:w="0" w:type="dxa"/>
            <w:left w:w="28" w:type="dxa"/>
            <w:bottom w:w="0" w:type="dxa"/>
            <w:right w:w="28" w:type="dxa"/>
          </w:tblCellMar>
        </w:tblPrEx>
        <w:trPr>
          <w:trHeight w:val="567" w:hRule="exact"/>
        </w:trPr>
        <w:tc>
          <w:tcPr>
            <w:tcW w:w="633"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4</w:t>
            </w:r>
          </w:p>
        </w:tc>
        <w:tc>
          <w:tcPr>
            <w:tcW w:w="264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桥河消防救援站</w:t>
            </w:r>
          </w:p>
        </w:tc>
        <w:tc>
          <w:tcPr>
            <w:tcW w:w="2067" w:type="dxa"/>
            <w:tcBorders>
              <w:top w:val="single" w:color="auto" w:sz="4" w:space="0"/>
              <w:left w:val="nil"/>
              <w:bottom w:val="single" w:color="auto" w:sz="4" w:space="0"/>
              <w:right w:val="single" w:color="auto" w:sz="4" w:space="0"/>
            </w:tcBorders>
            <w:vAlign w:val="center"/>
          </w:tcPr>
          <w:p>
            <w:pPr>
              <w:spacing w:line="480" w:lineRule="exact"/>
              <w:jc w:val="center"/>
              <w:rPr>
                <w:sz w:val="28"/>
                <w:szCs w:val="28"/>
              </w:rPr>
            </w:pPr>
            <w:r>
              <w:rPr>
                <w:sz w:val="28"/>
                <w:szCs w:val="28"/>
              </w:rPr>
              <w:t>一级普通消防站</w:t>
            </w:r>
          </w:p>
        </w:tc>
        <w:tc>
          <w:tcPr>
            <w:tcW w:w="23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枣园</w:t>
            </w:r>
            <w:r>
              <w:rPr>
                <w:rFonts w:hint="eastAsia" w:ascii="方正仿宋_GBK" w:hAnsi="方正仿宋_GBK" w:cs="方正仿宋_GBK"/>
                <w:color w:val="000000"/>
                <w:kern w:val="0"/>
                <w:sz w:val="28"/>
                <w:szCs w:val="28"/>
                <w:lang w:eastAsia="zh-CN"/>
              </w:rPr>
              <w:t>—</w:t>
            </w:r>
            <w:r>
              <w:rPr>
                <w:color w:val="000000"/>
                <w:kern w:val="0"/>
                <w:sz w:val="28"/>
                <w:szCs w:val="28"/>
              </w:rPr>
              <w:t>桥河组团</w:t>
            </w:r>
          </w:p>
        </w:tc>
        <w:tc>
          <w:tcPr>
            <w:tcW w:w="120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近期拟建</w:t>
            </w:r>
          </w:p>
        </w:tc>
      </w:tr>
      <w:tr>
        <w:tblPrEx>
          <w:tblLayout w:type="fixed"/>
          <w:tblCellMar>
            <w:top w:w="0" w:type="dxa"/>
            <w:left w:w="28" w:type="dxa"/>
            <w:bottom w:w="0" w:type="dxa"/>
            <w:right w:w="28" w:type="dxa"/>
          </w:tblCellMar>
        </w:tblPrEx>
        <w:trPr>
          <w:trHeight w:val="567" w:hRule="exact"/>
        </w:trPr>
        <w:tc>
          <w:tcPr>
            <w:tcW w:w="633"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5</w:t>
            </w:r>
          </w:p>
        </w:tc>
        <w:tc>
          <w:tcPr>
            <w:tcW w:w="264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永城消防救援站</w:t>
            </w:r>
          </w:p>
        </w:tc>
        <w:tc>
          <w:tcPr>
            <w:tcW w:w="2067" w:type="dxa"/>
            <w:tcBorders>
              <w:top w:val="single" w:color="auto" w:sz="4" w:space="0"/>
              <w:left w:val="nil"/>
              <w:bottom w:val="single" w:color="auto" w:sz="4" w:space="0"/>
              <w:right w:val="single" w:color="auto" w:sz="4" w:space="0"/>
            </w:tcBorders>
            <w:vAlign w:val="center"/>
          </w:tcPr>
          <w:p>
            <w:pPr>
              <w:spacing w:line="480" w:lineRule="exact"/>
              <w:jc w:val="center"/>
              <w:rPr>
                <w:sz w:val="28"/>
                <w:szCs w:val="28"/>
              </w:rPr>
            </w:pPr>
            <w:r>
              <w:rPr>
                <w:sz w:val="28"/>
                <w:szCs w:val="28"/>
              </w:rPr>
              <w:t>一级普通消防站</w:t>
            </w:r>
          </w:p>
        </w:tc>
        <w:tc>
          <w:tcPr>
            <w:tcW w:w="23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永桐新城永城组团</w:t>
            </w:r>
          </w:p>
        </w:tc>
        <w:tc>
          <w:tcPr>
            <w:tcW w:w="120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近期拟建</w:t>
            </w:r>
          </w:p>
        </w:tc>
      </w:tr>
      <w:tr>
        <w:tblPrEx>
          <w:tblLayout w:type="fixed"/>
          <w:tblCellMar>
            <w:top w:w="0" w:type="dxa"/>
            <w:left w:w="28" w:type="dxa"/>
            <w:bottom w:w="0" w:type="dxa"/>
            <w:right w:w="28" w:type="dxa"/>
          </w:tblCellMar>
        </w:tblPrEx>
        <w:trPr>
          <w:trHeight w:val="567" w:hRule="exact"/>
        </w:trPr>
        <w:tc>
          <w:tcPr>
            <w:tcW w:w="633"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6</w:t>
            </w:r>
          </w:p>
        </w:tc>
        <w:tc>
          <w:tcPr>
            <w:tcW w:w="264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北部新城消防救援站</w:t>
            </w:r>
          </w:p>
        </w:tc>
        <w:tc>
          <w:tcPr>
            <w:tcW w:w="2067" w:type="dxa"/>
            <w:tcBorders>
              <w:top w:val="single" w:color="auto" w:sz="4" w:space="0"/>
              <w:left w:val="nil"/>
              <w:bottom w:val="single" w:color="auto" w:sz="4" w:space="0"/>
              <w:right w:val="single" w:color="auto" w:sz="4" w:space="0"/>
            </w:tcBorders>
            <w:vAlign w:val="center"/>
          </w:tcPr>
          <w:p>
            <w:pPr>
              <w:spacing w:line="480" w:lineRule="exact"/>
              <w:jc w:val="center"/>
              <w:rPr>
                <w:sz w:val="28"/>
                <w:szCs w:val="28"/>
              </w:rPr>
            </w:pPr>
            <w:r>
              <w:rPr>
                <w:sz w:val="28"/>
                <w:szCs w:val="28"/>
              </w:rPr>
              <w:t>一级普通消防站</w:t>
            </w:r>
          </w:p>
        </w:tc>
        <w:tc>
          <w:tcPr>
            <w:tcW w:w="23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北部智慧新城</w:t>
            </w:r>
          </w:p>
        </w:tc>
        <w:tc>
          <w:tcPr>
            <w:tcW w:w="120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近期拟建</w:t>
            </w:r>
          </w:p>
        </w:tc>
      </w:tr>
      <w:tr>
        <w:tblPrEx>
          <w:tblLayout w:type="fixed"/>
          <w:tblCellMar>
            <w:top w:w="0" w:type="dxa"/>
            <w:left w:w="28" w:type="dxa"/>
            <w:bottom w:w="0" w:type="dxa"/>
            <w:right w:w="28" w:type="dxa"/>
          </w:tblCellMar>
        </w:tblPrEx>
        <w:trPr>
          <w:trHeight w:val="567" w:hRule="exact"/>
        </w:trPr>
        <w:tc>
          <w:tcPr>
            <w:tcW w:w="633"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7</w:t>
            </w:r>
          </w:p>
        </w:tc>
        <w:tc>
          <w:tcPr>
            <w:tcW w:w="264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永城北消防救援站</w:t>
            </w:r>
          </w:p>
        </w:tc>
        <w:tc>
          <w:tcPr>
            <w:tcW w:w="2067" w:type="dxa"/>
            <w:tcBorders>
              <w:top w:val="single" w:color="auto" w:sz="4" w:space="0"/>
              <w:left w:val="nil"/>
              <w:bottom w:val="single" w:color="auto" w:sz="4" w:space="0"/>
              <w:right w:val="single" w:color="auto" w:sz="4" w:space="0"/>
            </w:tcBorders>
            <w:vAlign w:val="center"/>
          </w:tcPr>
          <w:p>
            <w:pPr>
              <w:spacing w:line="480" w:lineRule="exact"/>
              <w:jc w:val="center"/>
              <w:rPr>
                <w:sz w:val="28"/>
                <w:szCs w:val="28"/>
              </w:rPr>
            </w:pPr>
            <w:r>
              <w:rPr>
                <w:sz w:val="28"/>
                <w:szCs w:val="28"/>
              </w:rPr>
              <w:t>一级普通消防站</w:t>
            </w:r>
          </w:p>
        </w:tc>
        <w:tc>
          <w:tcPr>
            <w:tcW w:w="23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永桐新城永城组团</w:t>
            </w:r>
          </w:p>
        </w:tc>
        <w:tc>
          <w:tcPr>
            <w:tcW w:w="120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远期规划</w:t>
            </w:r>
          </w:p>
        </w:tc>
      </w:tr>
      <w:tr>
        <w:tblPrEx>
          <w:tblLayout w:type="fixed"/>
          <w:tblCellMar>
            <w:top w:w="0" w:type="dxa"/>
            <w:left w:w="28" w:type="dxa"/>
            <w:bottom w:w="0" w:type="dxa"/>
            <w:right w:w="28" w:type="dxa"/>
          </w:tblCellMar>
        </w:tblPrEx>
        <w:trPr>
          <w:trHeight w:val="567" w:hRule="exact"/>
        </w:trPr>
        <w:tc>
          <w:tcPr>
            <w:tcW w:w="633"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8</w:t>
            </w:r>
          </w:p>
        </w:tc>
        <w:tc>
          <w:tcPr>
            <w:tcW w:w="264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庆江消防救援站</w:t>
            </w:r>
          </w:p>
        </w:tc>
        <w:tc>
          <w:tcPr>
            <w:tcW w:w="2067" w:type="dxa"/>
            <w:tcBorders>
              <w:top w:val="single" w:color="auto" w:sz="4" w:space="0"/>
              <w:left w:val="nil"/>
              <w:bottom w:val="single" w:color="auto" w:sz="4" w:space="0"/>
              <w:right w:val="single" w:color="auto" w:sz="4" w:space="0"/>
            </w:tcBorders>
            <w:vAlign w:val="center"/>
          </w:tcPr>
          <w:p>
            <w:pPr>
              <w:spacing w:line="480" w:lineRule="exact"/>
              <w:jc w:val="center"/>
              <w:rPr>
                <w:sz w:val="28"/>
                <w:szCs w:val="28"/>
              </w:rPr>
            </w:pPr>
            <w:r>
              <w:rPr>
                <w:sz w:val="28"/>
                <w:szCs w:val="28"/>
              </w:rPr>
              <w:t>一级普通消防站</w:t>
            </w:r>
          </w:p>
        </w:tc>
        <w:tc>
          <w:tcPr>
            <w:tcW w:w="23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永桐新城庆江组团</w:t>
            </w:r>
          </w:p>
        </w:tc>
        <w:tc>
          <w:tcPr>
            <w:tcW w:w="120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远期规划</w:t>
            </w:r>
          </w:p>
        </w:tc>
      </w:tr>
      <w:tr>
        <w:tblPrEx>
          <w:tblLayout w:type="fixed"/>
          <w:tblCellMar>
            <w:top w:w="0" w:type="dxa"/>
            <w:left w:w="28" w:type="dxa"/>
            <w:bottom w:w="0" w:type="dxa"/>
            <w:right w:w="28" w:type="dxa"/>
          </w:tblCellMar>
        </w:tblPrEx>
        <w:trPr>
          <w:trHeight w:val="567" w:hRule="exact"/>
        </w:trPr>
        <w:tc>
          <w:tcPr>
            <w:tcW w:w="633"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9</w:t>
            </w:r>
          </w:p>
        </w:tc>
        <w:tc>
          <w:tcPr>
            <w:tcW w:w="264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三江消防救援站</w:t>
            </w:r>
          </w:p>
        </w:tc>
        <w:tc>
          <w:tcPr>
            <w:tcW w:w="2067" w:type="dxa"/>
            <w:tcBorders>
              <w:top w:val="single" w:color="auto" w:sz="4" w:space="0"/>
              <w:left w:val="nil"/>
              <w:bottom w:val="single" w:color="auto" w:sz="4" w:space="0"/>
              <w:right w:val="single" w:color="auto" w:sz="4" w:space="0"/>
            </w:tcBorders>
            <w:vAlign w:val="center"/>
          </w:tcPr>
          <w:p>
            <w:pPr>
              <w:spacing w:line="480" w:lineRule="exact"/>
              <w:jc w:val="center"/>
              <w:rPr>
                <w:sz w:val="28"/>
                <w:szCs w:val="28"/>
              </w:rPr>
            </w:pPr>
            <w:r>
              <w:rPr>
                <w:sz w:val="28"/>
                <w:szCs w:val="28"/>
              </w:rPr>
              <w:t>一级普通消防站</w:t>
            </w:r>
          </w:p>
        </w:tc>
        <w:tc>
          <w:tcPr>
            <w:tcW w:w="23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三江片区</w:t>
            </w:r>
          </w:p>
        </w:tc>
        <w:tc>
          <w:tcPr>
            <w:tcW w:w="120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远期规划</w:t>
            </w:r>
          </w:p>
        </w:tc>
      </w:tr>
      <w:tr>
        <w:tblPrEx>
          <w:tblLayout w:type="fixed"/>
          <w:tblCellMar>
            <w:top w:w="0" w:type="dxa"/>
            <w:left w:w="28" w:type="dxa"/>
            <w:bottom w:w="0" w:type="dxa"/>
            <w:right w:w="28" w:type="dxa"/>
          </w:tblCellMar>
        </w:tblPrEx>
        <w:trPr>
          <w:trHeight w:val="567" w:hRule="exact"/>
        </w:trPr>
        <w:tc>
          <w:tcPr>
            <w:tcW w:w="633"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10</w:t>
            </w:r>
          </w:p>
        </w:tc>
        <w:tc>
          <w:tcPr>
            <w:tcW w:w="264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桥河水陆消防站</w:t>
            </w:r>
          </w:p>
        </w:tc>
        <w:tc>
          <w:tcPr>
            <w:tcW w:w="2067" w:type="dxa"/>
            <w:tcBorders>
              <w:top w:val="single" w:color="auto" w:sz="4" w:space="0"/>
              <w:left w:val="nil"/>
              <w:bottom w:val="single" w:color="auto" w:sz="4" w:space="0"/>
              <w:right w:val="single" w:color="auto" w:sz="4" w:space="0"/>
            </w:tcBorders>
            <w:vAlign w:val="center"/>
          </w:tcPr>
          <w:p>
            <w:pPr>
              <w:spacing w:line="480" w:lineRule="exact"/>
              <w:jc w:val="center"/>
              <w:rPr>
                <w:sz w:val="28"/>
                <w:szCs w:val="28"/>
              </w:rPr>
            </w:pPr>
            <w:r>
              <w:rPr>
                <w:sz w:val="28"/>
                <w:szCs w:val="28"/>
              </w:rPr>
              <w:t>——</w:t>
            </w:r>
          </w:p>
        </w:tc>
        <w:tc>
          <w:tcPr>
            <w:tcW w:w="23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工业园区桥河组团</w:t>
            </w:r>
          </w:p>
        </w:tc>
        <w:tc>
          <w:tcPr>
            <w:tcW w:w="1207"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color w:val="000000"/>
                <w:kern w:val="0"/>
                <w:sz w:val="28"/>
                <w:szCs w:val="28"/>
              </w:rPr>
            </w:pPr>
            <w:r>
              <w:rPr>
                <w:color w:val="000000"/>
                <w:kern w:val="0"/>
                <w:sz w:val="28"/>
                <w:szCs w:val="28"/>
              </w:rPr>
              <w:t>远期规划</w:t>
            </w:r>
          </w:p>
        </w:tc>
      </w:tr>
    </w:tbl>
    <w:p>
      <w:pPr>
        <w:spacing w:line="576" w:lineRule="exact"/>
        <w:jc w:val="center"/>
        <w:rPr>
          <w:sz w:val="28"/>
          <w:szCs w:val="24"/>
        </w:rPr>
      </w:pPr>
    </w:p>
    <w:p>
      <w:pPr>
        <w:pStyle w:val="2"/>
        <w:ind w:firstLine="560"/>
        <w:rPr>
          <w:sz w:val="28"/>
          <w:szCs w:val="24"/>
        </w:rPr>
      </w:pPr>
    </w:p>
    <w:p>
      <w:pPr>
        <w:pStyle w:val="2"/>
        <w:ind w:firstLine="560"/>
        <w:rPr>
          <w:sz w:val="28"/>
          <w:szCs w:val="24"/>
        </w:rPr>
      </w:pPr>
    </w:p>
    <w:p>
      <w:pPr>
        <w:pStyle w:val="2"/>
        <w:ind w:firstLine="560"/>
        <w:rPr>
          <w:sz w:val="28"/>
          <w:szCs w:val="24"/>
        </w:rPr>
      </w:pPr>
    </w:p>
    <w:p>
      <w:pPr>
        <w:pStyle w:val="2"/>
        <w:ind w:firstLine="560"/>
        <w:rPr>
          <w:sz w:val="28"/>
          <w:szCs w:val="24"/>
        </w:rPr>
      </w:pPr>
    </w:p>
    <w:p>
      <w:pPr>
        <w:pStyle w:val="2"/>
        <w:ind w:firstLine="560"/>
        <w:rPr>
          <w:sz w:val="28"/>
          <w:szCs w:val="24"/>
        </w:rPr>
      </w:pPr>
    </w:p>
    <w:p>
      <w:pPr>
        <w:pStyle w:val="2"/>
        <w:ind w:firstLine="560"/>
        <w:rPr>
          <w:sz w:val="28"/>
          <w:szCs w:val="24"/>
        </w:rPr>
      </w:pPr>
    </w:p>
    <w:p>
      <w:pPr>
        <w:pStyle w:val="2"/>
        <w:ind w:firstLine="560"/>
        <w:rPr>
          <w:sz w:val="28"/>
          <w:szCs w:val="24"/>
        </w:rPr>
      </w:pPr>
    </w:p>
    <w:p>
      <w:pPr>
        <w:pStyle w:val="7"/>
        <w:keepNext/>
        <w:spacing w:line="576" w:lineRule="exact"/>
        <w:rPr>
          <w:rFonts w:hint="eastAsia" w:ascii="Times New Roman" w:hAnsi="Times New Roman" w:eastAsia="方正黑体_GBK" w:cs="Times New Roman"/>
          <w:sz w:val="32"/>
          <w:szCs w:val="32"/>
          <w:lang w:val="en-US" w:eastAsia="zh-CN" w:bidi="ar"/>
        </w:rPr>
      </w:pPr>
      <w:bookmarkStart w:id="394" w:name="_Ref156314900"/>
      <w:bookmarkStart w:id="395" w:name="_Toc158043570"/>
      <w:bookmarkStart w:id="396" w:name="_Toc156308089"/>
      <w:r>
        <w:rPr>
          <w:rFonts w:hint="default" w:ascii="Times New Roman" w:hAnsi="Times New Roman" w:eastAsia="方正黑体_GBK" w:cs="Times New Roman"/>
          <w:sz w:val="32"/>
          <w:szCs w:val="32"/>
          <w:lang w:bidi="ar"/>
        </w:rPr>
        <w:t>附表</w:t>
      </w:r>
      <w:bookmarkEnd w:id="393"/>
      <w:bookmarkEnd w:id="394"/>
      <w:r>
        <w:rPr>
          <w:rFonts w:hint="eastAsia" w:ascii="Times New Roman" w:hAnsi="Times New Roman" w:eastAsia="方正黑体_GBK" w:cs="Times New Roman"/>
          <w:sz w:val="32"/>
          <w:szCs w:val="32"/>
          <w:lang w:val="en-US" w:eastAsia="zh-CN" w:bidi="ar"/>
        </w:rPr>
        <w:t xml:space="preserve">13 </w:t>
      </w:r>
    </w:p>
    <w:p>
      <w:pPr>
        <w:pStyle w:val="7"/>
        <w:keepNext/>
        <w:spacing w:line="576" w:lineRule="exact"/>
        <w:jc w:val="center"/>
        <w:rPr>
          <w:rFonts w:hint="default" w:ascii="Times New Roman" w:hAnsi="Times New Roman" w:eastAsia="方正黑体_GBK" w:cs="Times New Roman"/>
          <w:sz w:val="32"/>
          <w:szCs w:val="32"/>
          <w:lang w:bidi="ar"/>
        </w:rPr>
      </w:pPr>
      <w:r>
        <w:rPr>
          <w:rFonts w:hint="default" w:ascii="Times New Roman" w:hAnsi="Times New Roman" w:eastAsia="方正黑体_GBK" w:cs="Times New Roman"/>
          <w:sz w:val="32"/>
          <w:szCs w:val="32"/>
          <w:lang w:bidi="ar"/>
        </w:rPr>
        <w:t>綦江中心城应急避难场所对口消防站一览表</w:t>
      </w:r>
      <w:bookmarkEnd w:id="395"/>
      <w:bookmarkEnd w:id="396"/>
    </w:p>
    <w:tbl>
      <w:tblPr>
        <w:tblStyle w:val="18"/>
        <w:tblW w:w="8900" w:type="dxa"/>
        <w:tblInd w:w="0" w:type="dxa"/>
        <w:tblLayout w:type="fixed"/>
        <w:tblCellMar>
          <w:top w:w="0" w:type="dxa"/>
          <w:left w:w="28" w:type="dxa"/>
          <w:bottom w:w="0" w:type="dxa"/>
          <w:right w:w="28" w:type="dxa"/>
        </w:tblCellMar>
      </w:tblPr>
      <w:tblGrid>
        <w:gridCol w:w="2409"/>
        <w:gridCol w:w="3413"/>
        <w:gridCol w:w="3078"/>
      </w:tblGrid>
      <w:tr>
        <w:tblPrEx>
          <w:tblLayout w:type="fixed"/>
          <w:tblCellMar>
            <w:top w:w="0" w:type="dxa"/>
            <w:left w:w="28" w:type="dxa"/>
            <w:bottom w:w="0" w:type="dxa"/>
            <w:right w:w="28" w:type="dxa"/>
          </w:tblCellMar>
        </w:tblPrEx>
        <w:trPr>
          <w:trHeight w:val="285" w:hRule="atLeast"/>
          <w:tblHeader/>
        </w:trPr>
        <w:tc>
          <w:tcPr>
            <w:tcW w:w="24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80" w:lineRule="exact"/>
              <w:jc w:val="center"/>
              <w:rPr>
                <w:rFonts w:hint="eastAsia" w:ascii="方正黑体_GBK" w:hAnsi="方正黑体_GBK" w:eastAsia="方正黑体_GBK" w:cs="方正黑体_GBK"/>
                <w:b w:val="0"/>
                <w:bCs w:val="0"/>
                <w:kern w:val="0"/>
                <w:sz w:val="28"/>
                <w:szCs w:val="28"/>
              </w:rPr>
            </w:pPr>
            <w:r>
              <w:rPr>
                <w:rFonts w:hint="eastAsia" w:ascii="方正黑体_GBK" w:hAnsi="方正黑体_GBK" w:eastAsia="方正黑体_GBK" w:cs="方正黑体_GBK"/>
                <w:b w:val="0"/>
                <w:bCs w:val="0"/>
                <w:kern w:val="0"/>
                <w:sz w:val="28"/>
                <w:szCs w:val="28"/>
              </w:rPr>
              <w:t>避难场所类别</w:t>
            </w:r>
          </w:p>
        </w:tc>
        <w:tc>
          <w:tcPr>
            <w:tcW w:w="3413"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center"/>
              <w:rPr>
                <w:rFonts w:hint="eastAsia" w:ascii="方正黑体_GBK" w:hAnsi="方正黑体_GBK" w:eastAsia="方正黑体_GBK" w:cs="方正黑体_GBK"/>
                <w:b w:val="0"/>
                <w:bCs w:val="0"/>
                <w:kern w:val="0"/>
                <w:sz w:val="28"/>
                <w:szCs w:val="28"/>
              </w:rPr>
            </w:pPr>
            <w:r>
              <w:rPr>
                <w:rFonts w:hint="eastAsia" w:ascii="方正黑体_GBK" w:hAnsi="方正黑体_GBK" w:eastAsia="方正黑体_GBK" w:cs="方正黑体_GBK"/>
                <w:b w:val="0"/>
                <w:bCs w:val="0"/>
                <w:kern w:val="0"/>
                <w:sz w:val="28"/>
                <w:szCs w:val="28"/>
              </w:rPr>
              <w:t>避难场所名称</w:t>
            </w:r>
          </w:p>
        </w:tc>
        <w:tc>
          <w:tcPr>
            <w:tcW w:w="3078"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center"/>
              <w:rPr>
                <w:rFonts w:hint="eastAsia" w:ascii="方正黑体_GBK" w:hAnsi="方正黑体_GBK" w:eastAsia="方正黑体_GBK" w:cs="方正黑体_GBK"/>
                <w:b w:val="0"/>
                <w:bCs w:val="0"/>
                <w:kern w:val="0"/>
                <w:sz w:val="28"/>
                <w:szCs w:val="28"/>
              </w:rPr>
            </w:pPr>
            <w:r>
              <w:rPr>
                <w:rFonts w:hint="eastAsia" w:ascii="方正黑体_GBK" w:hAnsi="方正黑体_GBK" w:eastAsia="方正黑体_GBK" w:cs="方正黑体_GBK"/>
                <w:b w:val="0"/>
                <w:bCs w:val="0"/>
                <w:kern w:val="0"/>
                <w:sz w:val="28"/>
                <w:szCs w:val="28"/>
              </w:rPr>
              <w:t>规划对口消防站</w:t>
            </w:r>
          </w:p>
        </w:tc>
      </w:tr>
      <w:tr>
        <w:tblPrEx>
          <w:tblLayout w:type="fixed"/>
          <w:tblCellMar>
            <w:top w:w="0" w:type="dxa"/>
            <w:left w:w="28" w:type="dxa"/>
            <w:bottom w:w="0" w:type="dxa"/>
            <w:right w:w="28" w:type="dxa"/>
          </w:tblCellMar>
        </w:tblPrEx>
        <w:trPr>
          <w:trHeight w:val="567" w:hRule="exact"/>
        </w:trPr>
        <w:tc>
          <w:tcPr>
            <w:tcW w:w="2409" w:type="dxa"/>
            <w:vMerge w:val="restart"/>
            <w:tcBorders>
              <w:top w:val="nil"/>
              <w:left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sz w:val="28"/>
                <w:szCs w:val="28"/>
              </w:rPr>
              <w:t>中长期避难场所</w:t>
            </w:r>
          </w:p>
        </w:tc>
        <w:tc>
          <w:tcPr>
            <w:tcW w:w="3413"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sz w:val="28"/>
                <w:szCs w:val="28"/>
              </w:rPr>
              <w:t>外语外事学院</w:t>
            </w:r>
          </w:p>
        </w:tc>
        <w:tc>
          <w:tcPr>
            <w:tcW w:w="3078"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sz w:val="28"/>
                <w:szCs w:val="28"/>
              </w:rPr>
              <w:t>通惠消防救援站</w:t>
            </w:r>
          </w:p>
        </w:tc>
      </w:tr>
      <w:tr>
        <w:tblPrEx>
          <w:tblLayout w:type="fixed"/>
          <w:tblCellMar>
            <w:top w:w="0" w:type="dxa"/>
            <w:left w:w="28" w:type="dxa"/>
            <w:bottom w:w="0" w:type="dxa"/>
            <w:right w:w="28" w:type="dxa"/>
          </w:tblCellMar>
        </w:tblPrEx>
        <w:trPr>
          <w:trHeight w:val="567" w:hRule="exact"/>
        </w:trPr>
        <w:tc>
          <w:tcPr>
            <w:tcW w:w="2409" w:type="dxa"/>
            <w:vMerge w:val="continue"/>
            <w:tcBorders>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p>
        </w:tc>
        <w:tc>
          <w:tcPr>
            <w:tcW w:w="3413"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sz w:val="28"/>
                <w:szCs w:val="28"/>
              </w:rPr>
              <w:t>规划健康工程职业学院</w:t>
            </w:r>
          </w:p>
        </w:tc>
        <w:tc>
          <w:tcPr>
            <w:tcW w:w="3078"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sz w:val="28"/>
                <w:szCs w:val="28"/>
              </w:rPr>
              <w:t>桥河消防救援站</w:t>
            </w:r>
          </w:p>
        </w:tc>
      </w:tr>
      <w:tr>
        <w:tblPrEx>
          <w:tblLayout w:type="fixed"/>
          <w:tblCellMar>
            <w:top w:w="0" w:type="dxa"/>
            <w:left w:w="28" w:type="dxa"/>
            <w:bottom w:w="0" w:type="dxa"/>
            <w:right w:w="28" w:type="dxa"/>
          </w:tblCellMar>
        </w:tblPrEx>
        <w:trPr>
          <w:trHeight w:val="567" w:hRule="exact"/>
        </w:trPr>
        <w:tc>
          <w:tcPr>
            <w:tcW w:w="2409"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sz w:val="28"/>
                <w:szCs w:val="28"/>
              </w:rPr>
              <w:t>短期避难场所</w:t>
            </w:r>
          </w:p>
        </w:tc>
        <w:tc>
          <w:tcPr>
            <w:tcW w:w="3413"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sz w:val="28"/>
                <w:szCs w:val="28"/>
              </w:rPr>
              <w:t>綦江体育中心</w:t>
            </w:r>
          </w:p>
        </w:tc>
        <w:tc>
          <w:tcPr>
            <w:tcW w:w="3078"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sz w:val="28"/>
                <w:szCs w:val="28"/>
              </w:rPr>
              <w:t>通惠消防救援站</w:t>
            </w:r>
          </w:p>
        </w:tc>
      </w:tr>
      <w:tr>
        <w:tblPrEx>
          <w:tblLayout w:type="fixed"/>
          <w:tblCellMar>
            <w:top w:w="0" w:type="dxa"/>
            <w:left w:w="28" w:type="dxa"/>
            <w:bottom w:w="0" w:type="dxa"/>
            <w:right w:w="28" w:type="dxa"/>
          </w:tblCellMar>
        </w:tblPrEx>
        <w:trPr>
          <w:trHeight w:val="567" w:hRule="exact"/>
        </w:trPr>
        <w:tc>
          <w:tcPr>
            <w:tcW w:w="2409"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p>
        </w:tc>
        <w:tc>
          <w:tcPr>
            <w:tcW w:w="3413"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sz w:val="28"/>
                <w:szCs w:val="28"/>
              </w:rPr>
              <w:t>南州中学</w:t>
            </w:r>
          </w:p>
        </w:tc>
        <w:tc>
          <w:tcPr>
            <w:tcW w:w="3078"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sz w:val="28"/>
                <w:szCs w:val="28"/>
              </w:rPr>
              <w:t>九龙消防救援站</w:t>
            </w:r>
          </w:p>
        </w:tc>
      </w:tr>
      <w:tr>
        <w:tblPrEx>
          <w:tblLayout w:type="fixed"/>
          <w:tblCellMar>
            <w:top w:w="0" w:type="dxa"/>
            <w:left w:w="28" w:type="dxa"/>
            <w:bottom w:w="0" w:type="dxa"/>
            <w:right w:w="28" w:type="dxa"/>
          </w:tblCellMar>
        </w:tblPrEx>
        <w:trPr>
          <w:trHeight w:val="567" w:hRule="exact"/>
        </w:trPr>
        <w:tc>
          <w:tcPr>
            <w:tcW w:w="2409"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p>
        </w:tc>
        <w:tc>
          <w:tcPr>
            <w:tcW w:w="3413"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sz w:val="28"/>
                <w:szCs w:val="28"/>
              </w:rPr>
              <w:t>营盘山公园</w:t>
            </w:r>
          </w:p>
        </w:tc>
        <w:tc>
          <w:tcPr>
            <w:tcW w:w="3078"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sz w:val="28"/>
                <w:szCs w:val="28"/>
              </w:rPr>
              <w:t>九龙消防救援站</w:t>
            </w:r>
          </w:p>
        </w:tc>
      </w:tr>
      <w:tr>
        <w:tblPrEx>
          <w:tblLayout w:type="fixed"/>
          <w:tblCellMar>
            <w:top w:w="0" w:type="dxa"/>
            <w:left w:w="28" w:type="dxa"/>
            <w:bottom w:w="0" w:type="dxa"/>
            <w:right w:w="28" w:type="dxa"/>
          </w:tblCellMar>
        </w:tblPrEx>
        <w:trPr>
          <w:trHeight w:val="567" w:hRule="exact"/>
        </w:trPr>
        <w:tc>
          <w:tcPr>
            <w:tcW w:w="2409"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p>
        </w:tc>
        <w:tc>
          <w:tcPr>
            <w:tcW w:w="3413"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sz w:val="28"/>
                <w:szCs w:val="28"/>
              </w:rPr>
              <w:t>綦江实验中学</w:t>
            </w:r>
          </w:p>
        </w:tc>
        <w:tc>
          <w:tcPr>
            <w:tcW w:w="3078"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sz w:val="28"/>
                <w:szCs w:val="28"/>
              </w:rPr>
              <w:t>桥河消防救援站</w:t>
            </w:r>
          </w:p>
        </w:tc>
      </w:tr>
      <w:tr>
        <w:tblPrEx>
          <w:tblLayout w:type="fixed"/>
          <w:tblCellMar>
            <w:top w:w="0" w:type="dxa"/>
            <w:left w:w="28" w:type="dxa"/>
            <w:bottom w:w="0" w:type="dxa"/>
            <w:right w:w="28" w:type="dxa"/>
          </w:tblCellMar>
        </w:tblPrEx>
        <w:trPr>
          <w:trHeight w:val="567" w:hRule="exact"/>
        </w:trPr>
        <w:tc>
          <w:tcPr>
            <w:tcW w:w="2409"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p>
        </w:tc>
        <w:tc>
          <w:tcPr>
            <w:tcW w:w="3413"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sz w:val="28"/>
                <w:szCs w:val="28"/>
              </w:rPr>
              <w:t>规划渝南科技学校</w:t>
            </w:r>
          </w:p>
        </w:tc>
        <w:tc>
          <w:tcPr>
            <w:tcW w:w="3078"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sz w:val="28"/>
                <w:szCs w:val="28"/>
              </w:rPr>
              <w:t>桥河消防救援站</w:t>
            </w:r>
          </w:p>
        </w:tc>
      </w:tr>
      <w:tr>
        <w:tblPrEx>
          <w:tblLayout w:type="fixed"/>
          <w:tblCellMar>
            <w:top w:w="0" w:type="dxa"/>
            <w:left w:w="28" w:type="dxa"/>
            <w:bottom w:w="0" w:type="dxa"/>
            <w:right w:w="28" w:type="dxa"/>
          </w:tblCellMar>
        </w:tblPrEx>
        <w:trPr>
          <w:trHeight w:val="567" w:hRule="exact"/>
        </w:trPr>
        <w:tc>
          <w:tcPr>
            <w:tcW w:w="2409"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p>
        </w:tc>
        <w:tc>
          <w:tcPr>
            <w:tcW w:w="3413"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sz w:val="28"/>
                <w:szCs w:val="28"/>
              </w:rPr>
              <w:t>三江中学</w:t>
            </w:r>
          </w:p>
        </w:tc>
        <w:tc>
          <w:tcPr>
            <w:tcW w:w="3078"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sz w:val="28"/>
                <w:szCs w:val="28"/>
              </w:rPr>
              <w:t>三江消防救援站</w:t>
            </w:r>
          </w:p>
        </w:tc>
      </w:tr>
      <w:tr>
        <w:tblPrEx>
          <w:tblLayout w:type="fixed"/>
          <w:tblCellMar>
            <w:top w:w="0" w:type="dxa"/>
            <w:left w:w="28" w:type="dxa"/>
            <w:bottom w:w="0" w:type="dxa"/>
            <w:right w:w="28" w:type="dxa"/>
          </w:tblCellMar>
        </w:tblPrEx>
        <w:trPr>
          <w:trHeight w:val="567" w:hRule="exact"/>
        </w:trPr>
        <w:tc>
          <w:tcPr>
            <w:tcW w:w="2409"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p>
        </w:tc>
        <w:tc>
          <w:tcPr>
            <w:tcW w:w="3413"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sz w:val="28"/>
                <w:szCs w:val="28"/>
              </w:rPr>
              <w:t>规划中职院校</w:t>
            </w:r>
          </w:p>
        </w:tc>
        <w:tc>
          <w:tcPr>
            <w:tcW w:w="3078"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sz w:val="28"/>
                <w:szCs w:val="28"/>
              </w:rPr>
              <w:t>永城消防救援站</w:t>
            </w:r>
          </w:p>
        </w:tc>
      </w:tr>
      <w:tr>
        <w:tblPrEx>
          <w:tblLayout w:type="fixed"/>
          <w:tblCellMar>
            <w:top w:w="0" w:type="dxa"/>
            <w:left w:w="28" w:type="dxa"/>
            <w:bottom w:w="0" w:type="dxa"/>
            <w:right w:w="28" w:type="dxa"/>
          </w:tblCellMar>
        </w:tblPrEx>
        <w:trPr>
          <w:trHeight w:val="567" w:hRule="exact"/>
        </w:trPr>
        <w:tc>
          <w:tcPr>
            <w:tcW w:w="2409"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p>
        </w:tc>
        <w:tc>
          <w:tcPr>
            <w:tcW w:w="3413"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sz w:val="28"/>
                <w:szCs w:val="28"/>
              </w:rPr>
              <w:t>永城中学</w:t>
            </w:r>
          </w:p>
        </w:tc>
        <w:tc>
          <w:tcPr>
            <w:tcW w:w="3078"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sz w:val="28"/>
                <w:szCs w:val="28"/>
              </w:rPr>
              <w:t>永城消防救援站</w:t>
            </w:r>
          </w:p>
        </w:tc>
      </w:tr>
      <w:tr>
        <w:tblPrEx>
          <w:tblLayout w:type="fixed"/>
          <w:tblCellMar>
            <w:top w:w="0" w:type="dxa"/>
            <w:left w:w="28" w:type="dxa"/>
            <w:bottom w:w="0" w:type="dxa"/>
            <w:right w:w="28" w:type="dxa"/>
          </w:tblCellMar>
        </w:tblPrEx>
        <w:trPr>
          <w:trHeight w:val="567" w:hRule="exact"/>
        </w:trPr>
        <w:tc>
          <w:tcPr>
            <w:tcW w:w="2409"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p>
        </w:tc>
        <w:tc>
          <w:tcPr>
            <w:tcW w:w="3413"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sz w:val="28"/>
                <w:szCs w:val="28"/>
              </w:rPr>
              <w:t>规划中学</w:t>
            </w:r>
          </w:p>
        </w:tc>
        <w:tc>
          <w:tcPr>
            <w:tcW w:w="3078"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sz w:val="28"/>
                <w:szCs w:val="28"/>
              </w:rPr>
              <w:t>北部新城消防救援站</w:t>
            </w:r>
          </w:p>
        </w:tc>
      </w:tr>
    </w:tbl>
    <w:p>
      <w:pPr>
        <w:spacing w:line="576" w:lineRule="exact"/>
        <w:rPr>
          <w:sz w:val="28"/>
          <w:szCs w:val="28"/>
          <w:lang w:bidi="ar"/>
        </w:rPr>
      </w:pPr>
      <w:bookmarkStart w:id="397" w:name="_Ref114583018"/>
    </w:p>
    <w:p>
      <w:pPr>
        <w:pStyle w:val="2"/>
        <w:ind w:firstLine="560"/>
        <w:rPr>
          <w:sz w:val="28"/>
          <w:szCs w:val="28"/>
          <w:lang w:bidi="ar"/>
        </w:rPr>
      </w:pPr>
    </w:p>
    <w:p>
      <w:pPr>
        <w:pStyle w:val="2"/>
        <w:ind w:firstLine="560"/>
        <w:rPr>
          <w:sz w:val="28"/>
          <w:szCs w:val="28"/>
          <w:lang w:bidi="ar"/>
        </w:rPr>
      </w:pPr>
    </w:p>
    <w:p>
      <w:pPr>
        <w:pStyle w:val="2"/>
        <w:ind w:firstLine="560"/>
        <w:rPr>
          <w:sz w:val="28"/>
          <w:szCs w:val="28"/>
          <w:lang w:bidi="ar"/>
        </w:rPr>
      </w:pPr>
    </w:p>
    <w:p>
      <w:pPr>
        <w:pStyle w:val="2"/>
        <w:ind w:firstLine="560"/>
        <w:rPr>
          <w:sz w:val="28"/>
          <w:szCs w:val="28"/>
          <w:lang w:bidi="ar"/>
        </w:rPr>
      </w:pPr>
    </w:p>
    <w:p>
      <w:pPr>
        <w:pStyle w:val="2"/>
        <w:ind w:firstLine="560"/>
        <w:rPr>
          <w:sz w:val="28"/>
          <w:szCs w:val="28"/>
          <w:lang w:bidi="ar"/>
        </w:rPr>
      </w:pPr>
    </w:p>
    <w:p>
      <w:pPr>
        <w:pStyle w:val="2"/>
        <w:ind w:firstLine="560"/>
        <w:rPr>
          <w:sz w:val="28"/>
          <w:szCs w:val="28"/>
          <w:lang w:bidi="ar"/>
        </w:rPr>
      </w:pPr>
    </w:p>
    <w:p>
      <w:pPr>
        <w:pStyle w:val="2"/>
        <w:ind w:firstLine="560"/>
        <w:rPr>
          <w:sz w:val="28"/>
          <w:szCs w:val="28"/>
          <w:lang w:bidi="ar"/>
        </w:rPr>
      </w:pPr>
    </w:p>
    <w:p>
      <w:pPr>
        <w:pStyle w:val="7"/>
        <w:keepNext/>
        <w:spacing w:line="576" w:lineRule="exact"/>
        <w:rPr>
          <w:rFonts w:hint="eastAsia" w:ascii="Times New Roman" w:hAnsi="Times New Roman" w:eastAsia="方正黑体_GBK" w:cs="Times New Roman"/>
          <w:sz w:val="32"/>
          <w:szCs w:val="32"/>
          <w:lang w:val="en-US" w:eastAsia="zh-CN" w:bidi="ar"/>
        </w:rPr>
      </w:pPr>
      <w:bookmarkStart w:id="398" w:name="_Toc158043571"/>
      <w:bookmarkStart w:id="399" w:name="_Toc156308090"/>
      <w:r>
        <w:rPr>
          <w:rFonts w:hint="default" w:ascii="Times New Roman" w:hAnsi="Times New Roman" w:eastAsia="方正黑体_GBK" w:cs="Times New Roman"/>
          <w:sz w:val="32"/>
          <w:szCs w:val="32"/>
          <w:lang w:bidi="ar"/>
        </w:rPr>
        <w:t>附表</w:t>
      </w:r>
      <w:r>
        <w:rPr>
          <w:rFonts w:hint="eastAsia" w:ascii="Times New Roman" w:hAnsi="Times New Roman" w:eastAsia="方正黑体_GBK" w:cs="Times New Roman"/>
          <w:sz w:val="32"/>
          <w:szCs w:val="32"/>
          <w:lang w:val="en-US" w:eastAsia="zh-CN" w:bidi="ar"/>
        </w:rPr>
        <w:t xml:space="preserve">14 </w:t>
      </w:r>
    </w:p>
    <w:p>
      <w:pPr>
        <w:pStyle w:val="7"/>
        <w:keepNext/>
        <w:spacing w:line="576" w:lineRule="exact"/>
        <w:jc w:val="center"/>
        <w:rPr>
          <w:rFonts w:hint="default" w:ascii="Times New Roman" w:hAnsi="Times New Roman" w:eastAsia="方正黑体_GBK" w:cs="Times New Roman"/>
          <w:sz w:val="32"/>
          <w:szCs w:val="32"/>
          <w:lang w:bidi="ar"/>
        </w:rPr>
      </w:pPr>
      <w:r>
        <w:rPr>
          <w:rFonts w:hint="default" w:ascii="Times New Roman" w:hAnsi="Times New Roman" w:eastAsia="方正黑体_GBK" w:cs="Times New Roman"/>
          <w:sz w:val="32"/>
          <w:szCs w:val="32"/>
          <w:lang w:bidi="ar"/>
        </w:rPr>
        <w:t>綦江中心城区近期建筑加固改造策略一览表</w:t>
      </w:r>
      <w:bookmarkEnd w:id="398"/>
      <w:bookmarkEnd w:id="399"/>
    </w:p>
    <w:p>
      <w:pPr>
        <w:rPr>
          <w:rFonts w:hint="default"/>
        </w:rPr>
      </w:pPr>
    </w:p>
    <w:tbl>
      <w:tblPr>
        <w:tblStyle w:val="18"/>
        <w:tblW w:w="8900" w:type="dxa"/>
        <w:tblInd w:w="0" w:type="dxa"/>
        <w:tblLayout w:type="fixed"/>
        <w:tblCellMar>
          <w:top w:w="0" w:type="dxa"/>
          <w:left w:w="28" w:type="dxa"/>
          <w:bottom w:w="0" w:type="dxa"/>
          <w:right w:w="28" w:type="dxa"/>
        </w:tblCellMar>
      </w:tblPr>
      <w:tblGrid>
        <w:gridCol w:w="1201"/>
        <w:gridCol w:w="1456"/>
        <w:gridCol w:w="3629"/>
        <w:gridCol w:w="2614"/>
      </w:tblGrid>
      <w:tr>
        <w:tblPrEx>
          <w:tblLayout w:type="fixed"/>
          <w:tblCellMar>
            <w:top w:w="0" w:type="dxa"/>
            <w:left w:w="28" w:type="dxa"/>
            <w:bottom w:w="0" w:type="dxa"/>
            <w:right w:w="28" w:type="dxa"/>
          </w:tblCellMar>
        </w:tblPrEx>
        <w:trPr>
          <w:trHeight w:val="20" w:hRule="atLeast"/>
          <w:tblHeader/>
        </w:trPr>
        <w:tc>
          <w:tcPr>
            <w:tcW w:w="1201" w:type="dxa"/>
            <w:tcBorders>
              <w:top w:val="single" w:color="auto" w:sz="4" w:space="0"/>
              <w:left w:val="single" w:color="auto" w:sz="4" w:space="0"/>
              <w:bottom w:val="single" w:color="auto" w:sz="4" w:space="0"/>
              <w:right w:val="single" w:color="auto" w:sz="4" w:space="0"/>
            </w:tcBorders>
            <w:vAlign w:val="center"/>
          </w:tcPr>
          <w:p>
            <w:pPr>
              <w:keepNext/>
              <w:spacing w:line="480" w:lineRule="exact"/>
              <w:jc w:val="center"/>
              <w:rPr>
                <w:rFonts w:hint="eastAsia" w:ascii="方正黑体_GBK" w:hAnsi="方正黑体_GBK" w:eastAsia="方正黑体_GBK" w:cs="方正黑体_GBK"/>
                <w:b w:val="0"/>
                <w:bCs w:val="0"/>
                <w:color w:val="000000"/>
                <w:kern w:val="0"/>
                <w:sz w:val="28"/>
                <w:szCs w:val="28"/>
              </w:rPr>
            </w:pPr>
            <w:r>
              <w:rPr>
                <w:rFonts w:hint="eastAsia" w:ascii="方正黑体_GBK" w:hAnsi="方正黑体_GBK" w:eastAsia="方正黑体_GBK" w:cs="方正黑体_GBK"/>
                <w:b w:val="0"/>
                <w:bCs w:val="0"/>
                <w:color w:val="000000"/>
                <w:kern w:val="0"/>
                <w:sz w:val="28"/>
                <w:szCs w:val="28"/>
              </w:rPr>
              <w:t>序号</w:t>
            </w:r>
          </w:p>
        </w:tc>
        <w:tc>
          <w:tcPr>
            <w:tcW w:w="1456" w:type="dxa"/>
            <w:tcBorders>
              <w:top w:val="single" w:color="auto" w:sz="4" w:space="0"/>
              <w:left w:val="nil"/>
              <w:bottom w:val="single" w:color="auto" w:sz="4" w:space="0"/>
              <w:right w:val="single" w:color="auto" w:sz="4" w:space="0"/>
            </w:tcBorders>
            <w:vAlign w:val="center"/>
          </w:tcPr>
          <w:p>
            <w:pPr>
              <w:keepNext/>
              <w:spacing w:line="480" w:lineRule="exact"/>
              <w:jc w:val="center"/>
              <w:rPr>
                <w:rFonts w:hint="eastAsia" w:ascii="方正黑体_GBK" w:hAnsi="方正黑体_GBK" w:eastAsia="方正黑体_GBK" w:cs="方正黑体_GBK"/>
                <w:b w:val="0"/>
                <w:bCs w:val="0"/>
                <w:color w:val="000000"/>
                <w:kern w:val="0"/>
                <w:sz w:val="28"/>
                <w:szCs w:val="28"/>
              </w:rPr>
            </w:pPr>
            <w:r>
              <w:rPr>
                <w:rFonts w:hint="eastAsia" w:ascii="方正黑体_GBK" w:hAnsi="方正黑体_GBK" w:eastAsia="方正黑体_GBK" w:cs="方正黑体_GBK"/>
                <w:b w:val="0"/>
                <w:bCs w:val="0"/>
                <w:color w:val="000000"/>
                <w:kern w:val="0"/>
                <w:sz w:val="28"/>
                <w:szCs w:val="28"/>
              </w:rPr>
              <w:t>类别</w:t>
            </w:r>
          </w:p>
        </w:tc>
        <w:tc>
          <w:tcPr>
            <w:tcW w:w="3629" w:type="dxa"/>
            <w:tcBorders>
              <w:top w:val="single" w:color="auto" w:sz="4" w:space="0"/>
              <w:left w:val="nil"/>
              <w:bottom w:val="single" w:color="auto" w:sz="4" w:space="0"/>
              <w:right w:val="single" w:color="auto" w:sz="4" w:space="0"/>
            </w:tcBorders>
            <w:vAlign w:val="center"/>
          </w:tcPr>
          <w:p>
            <w:pPr>
              <w:keepNext/>
              <w:spacing w:line="480" w:lineRule="exact"/>
              <w:jc w:val="center"/>
              <w:rPr>
                <w:rFonts w:hint="eastAsia" w:ascii="方正黑体_GBK" w:hAnsi="方正黑体_GBK" w:eastAsia="方正黑体_GBK" w:cs="方正黑体_GBK"/>
                <w:b w:val="0"/>
                <w:bCs w:val="0"/>
                <w:color w:val="000000"/>
                <w:kern w:val="0"/>
                <w:sz w:val="28"/>
                <w:szCs w:val="28"/>
              </w:rPr>
            </w:pPr>
            <w:r>
              <w:rPr>
                <w:rFonts w:hint="eastAsia" w:ascii="方正黑体_GBK" w:hAnsi="方正黑体_GBK" w:eastAsia="方正黑体_GBK" w:cs="方正黑体_GBK"/>
                <w:b w:val="0"/>
                <w:bCs w:val="0"/>
                <w:color w:val="000000"/>
                <w:kern w:val="0"/>
                <w:sz w:val="28"/>
                <w:szCs w:val="28"/>
              </w:rPr>
              <w:t>名称</w:t>
            </w:r>
          </w:p>
        </w:tc>
        <w:tc>
          <w:tcPr>
            <w:tcW w:w="2614" w:type="dxa"/>
            <w:tcBorders>
              <w:top w:val="single" w:color="auto" w:sz="4" w:space="0"/>
              <w:left w:val="nil"/>
              <w:bottom w:val="single" w:color="auto" w:sz="4" w:space="0"/>
              <w:right w:val="single" w:color="auto" w:sz="4" w:space="0"/>
            </w:tcBorders>
            <w:vAlign w:val="center"/>
          </w:tcPr>
          <w:p>
            <w:pPr>
              <w:keepNext/>
              <w:spacing w:line="480" w:lineRule="exact"/>
              <w:jc w:val="center"/>
              <w:rPr>
                <w:rFonts w:hint="eastAsia" w:ascii="方正黑体_GBK" w:hAnsi="方正黑体_GBK" w:eastAsia="方正黑体_GBK" w:cs="方正黑体_GBK"/>
                <w:b w:val="0"/>
                <w:bCs w:val="0"/>
                <w:color w:val="000000"/>
                <w:kern w:val="0"/>
                <w:sz w:val="28"/>
                <w:szCs w:val="28"/>
              </w:rPr>
            </w:pPr>
            <w:r>
              <w:rPr>
                <w:rFonts w:hint="eastAsia" w:ascii="方正黑体_GBK" w:hAnsi="方正黑体_GBK" w:eastAsia="方正黑体_GBK" w:cs="方正黑体_GBK"/>
                <w:b w:val="0"/>
                <w:bCs w:val="0"/>
                <w:color w:val="000000"/>
                <w:kern w:val="0"/>
                <w:sz w:val="28"/>
                <w:szCs w:val="28"/>
              </w:rPr>
              <w:t>处理意见</w:t>
            </w:r>
          </w:p>
        </w:tc>
      </w:tr>
      <w:tr>
        <w:tblPrEx>
          <w:tblLayout w:type="fixed"/>
          <w:tblCellMar>
            <w:top w:w="0" w:type="dxa"/>
            <w:left w:w="28" w:type="dxa"/>
            <w:bottom w:w="0" w:type="dxa"/>
            <w:right w:w="28" w:type="dxa"/>
          </w:tblCellMar>
        </w:tblPrEx>
        <w:trPr>
          <w:trHeight w:val="20" w:hRule="atLeast"/>
        </w:trPr>
        <w:tc>
          <w:tcPr>
            <w:tcW w:w="1201" w:type="dxa"/>
            <w:tcBorders>
              <w:top w:val="nil"/>
              <w:left w:val="single" w:color="auto" w:sz="4" w:space="0"/>
              <w:bottom w:val="single" w:color="auto" w:sz="4" w:space="0"/>
              <w:right w:val="single" w:color="auto" w:sz="4" w:space="0"/>
            </w:tcBorders>
            <w:vAlign w:val="center"/>
          </w:tcPr>
          <w:p>
            <w:pPr>
              <w:keepNext/>
              <w:widowControl/>
              <w:spacing w:line="480" w:lineRule="exact"/>
              <w:jc w:val="center"/>
              <w:rPr>
                <w:color w:val="000000"/>
                <w:kern w:val="0"/>
                <w:sz w:val="28"/>
                <w:szCs w:val="28"/>
              </w:rPr>
            </w:pPr>
            <w:r>
              <w:rPr>
                <w:color w:val="000000"/>
                <w:kern w:val="0"/>
                <w:sz w:val="28"/>
                <w:szCs w:val="28"/>
              </w:rPr>
              <w:t>1</w:t>
            </w:r>
          </w:p>
        </w:tc>
        <w:tc>
          <w:tcPr>
            <w:tcW w:w="1456" w:type="dxa"/>
            <w:vMerge w:val="restart"/>
            <w:tcBorders>
              <w:top w:val="nil"/>
              <w:left w:val="single" w:color="auto" w:sz="4" w:space="0"/>
              <w:bottom w:val="single" w:color="auto" w:sz="4" w:space="0"/>
              <w:right w:val="single" w:color="auto" w:sz="4" w:space="0"/>
            </w:tcBorders>
            <w:vAlign w:val="center"/>
          </w:tcPr>
          <w:p>
            <w:pPr>
              <w:keepNext/>
              <w:widowControl/>
              <w:spacing w:line="480" w:lineRule="exact"/>
              <w:jc w:val="center"/>
              <w:rPr>
                <w:color w:val="000000"/>
                <w:kern w:val="0"/>
                <w:sz w:val="28"/>
                <w:szCs w:val="28"/>
              </w:rPr>
            </w:pPr>
            <w:r>
              <w:rPr>
                <w:color w:val="000000"/>
                <w:kern w:val="0"/>
                <w:sz w:val="28"/>
                <w:szCs w:val="28"/>
              </w:rPr>
              <w:t>重要建筑物</w:t>
            </w:r>
          </w:p>
        </w:tc>
        <w:tc>
          <w:tcPr>
            <w:tcW w:w="3629" w:type="dxa"/>
            <w:tcBorders>
              <w:top w:val="nil"/>
              <w:left w:val="nil"/>
              <w:bottom w:val="single" w:color="auto" w:sz="4" w:space="0"/>
              <w:right w:val="single" w:color="auto" w:sz="4" w:space="0"/>
            </w:tcBorders>
            <w:vAlign w:val="center"/>
          </w:tcPr>
          <w:p>
            <w:pPr>
              <w:keepNext/>
              <w:widowControl/>
              <w:spacing w:line="480" w:lineRule="exact"/>
              <w:jc w:val="center"/>
              <w:rPr>
                <w:color w:val="000000"/>
                <w:kern w:val="0"/>
                <w:sz w:val="28"/>
                <w:szCs w:val="28"/>
              </w:rPr>
            </w:pPr>
            <w:r>
              <w:rPr>
                <w:color w:val="000000"/>
                <w:kern w:val="0"/>
                <w:sz w:val="28"/>
                <w:szCs w:val="28"/>
              </w:rPr>
              <w:t>綦江区人民政府办公楼</w:t>
            </w:r>
          </w:p>
        </w:tc>
        <w:tc>
          <w:tcPr>
            <w:tcW w:w="2614" w:type="dxa"/>
            <w:vMerge w:val="restart"/>
            <w:tcBorders>
              <w:top w:val="nil"/>
              <w:left w:val="single" w:color="auto" w:sz="4" w:space="0"/>
              <w:bottom w:val="single" w:color="000000" w:sz="4" w:space="0"/>
              <w:right w:val="single" w:color="auto" w:sz="4" w:space="0"/>
            </w:tcBorders>
            <w:vAlign w:val="center"/>
          </w:tcPr>
          <w:p>
            <w:pPr>
              <w:keepNext/>
              <w:widowControl/>
              <w:spacing w:line="480" w:lineRule="exact"/>
              <w:jc w:val="center"/>
              <w:rPr>
                <w:color w:val="000000"/>
                <w:kern w:val="0"/>
                <w:sz w:val="28"/>
                <w:szCs w:val="28"/>
              </w:rPr>
            </w:pPr>
            <w:r>
              <w:rPr>
                <w:color w:val="000000"/>
                <w:kern w:val="0"/>
                <w:sz w:val="28"/>
                <w:szCs w:val="28"/>
              </w:rPr>
              <w:t>按照重点设防类建筑进行抗震加固</w:t>
            </w:r>
          </w:p>
        </w:tc>
      </w:tr>
      <w:tr>
        <w:tblPrEx>
          <w:tblLayout w:type="fixed"/>
          <w:tblCellMar>
            <w:top w:w="0" w:type="dxa"/>
            <w:left w:w="28" w:type="dxa"/>
            <w:bottom w:w="0" w:type="dxa"/>
            <w:right w:w="28" w:type="dxa"/>
          </w:tblCellMar>
        </w:tblPrEx>
        <w:trPr>
          <w:trHeight w:val="20" w:hRule="atLeast"/>
        </w:trPr>
        <w:tc>
          <w:tcPr>
            <w:tcW w:w="1201"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2</w:t>
            </w:r>
          </w:p>
        </w:tc>
        <w:tc>
          <w:tcPr>
            <w:tcW w:w="1456" w:type="dxa"/>
            <w:vMerge w:val="continue"/>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p>
        </w:tc>
        <w:tc>
          <w:tcPr>
            <w:tcW w:w="3629"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文龙街道办事处</w:t>
            </w:r>
          </w:p>
        </w:tc>
        <w:tc>
          <w:tcPr>
            <w:tcW w:w="2614"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center"/>
              <w:rPr>
                <w:color w:val="000000"/>
                <w:kern w:val="0"/>
                <w:sz w:val="28"/>
                <w:szCs w:val="28"/>
              </w:rPr>
            </w:pPr>
          </w:p>
        </w:tc>
      </w:tr>
      <w:tr>
        <w:tblPrEx>
          <w:tblLayout w:type="fixed"/>
          <w:tblCellMar>
            <w:top w:w="0" w:type="dxa"/>
            <w:left w:w="28" w:type="dxa"/>
            <w:bottom w:w="0" w:type="dxa"/>
            <w:right w:w="28" w:type="dxa"/>
          </w:tblCellMar>
        </w:tblPrEx>
        <w:trPr>
          <w:trHeight w:val="20" w:hRule="atLeast"/>
        </w:trPr>
        <w:tc>
          <w:tcPr>
            <w:tcW w:w="1201"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3</w:t>
            </w:r>
          </w:p>
        </w:tc>
        <w:tc>
          <w:tcPr>
            <w:tcW w:w="1456" w:type="dxa"/>
            <w:vMerge w:val="continue"/>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p>
        </w:tc>
        <w:tc>
          <w:tcPr>
            <w:tcW w:w="3629"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版画院</w:t>
            </w:r>
          </w:p>
        </w:tc>
        <w:tc>
          <w:tcPr>
            <w:tcW w:w="2614"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center"/>
              <w:rPr>
                <w:color w:val="000000"/>
                <w:kern w:val="0"/>
                <w:sz w:val="28"/>
                <w:szCs w:val="28"/>
              </w:rPr>
            </w:pPr>
          </w:p>
        </w:tc>
      </w:tr>
      <w:tr>
        <w:tblPrEx>
          <w:tblLayout w:type="fixed"/>
          <w:tblCellMar>
            <w:top w:w="0" w:type="dxa"/>
            <w:left w:w="28" w:type="dxa"/>
            <w:bottom w:w="0" w:type="dxa"/>
            <w:right w:w="28" w:type="dxa"/>
          </w:tblCellMar>
        </w:tblPrEx>
        <w:trPr>
          <w:trHeight w:val="20" w:hRule="atLeast"/>
        </w:trPr>
        <w:tc>
          <w:tcPr>
            <w:tcW w:w="1201"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4</w:t>
            </w:r>
          </w:p>
        </w:tc>
        <w:tc>
          <w:tcPr>
            <w:tcW w:w="1456" w:type="dxa"/>
            <w:vMerge w:val="continue"/>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p>
        </w:tc>
        <w:tc>
          <w:tcPr>
            <w:tcW w:w="3629"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公交首末站候车大厅</w:t>
            </w:r>
          </w:p>
        </w:tc>
        <w:tc>
          <w:tcPr>
            <w:tcW w:w="2614"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center"/>
              <w:rPr>
                <w:color w:val="000000"/>
                <w:kern w:val="0"/>
                <w:sz w:val="28"/>
                <w:szCs w:val="28"/>
              </w:rPr>
            </w:pPr>
          </w:p>
        </w:tc>
      </w:tr>
      <w:tr>
        <w:tblPrEx>
          <w:tblLayout w:type="fixed"/>
          <w:tblCellMar>
            <w:top w:w="0" w:type="dxa"/>
            <w:left w:w="28" w:type="dxa"/>
            <w:bottom w:w="0" w:type="dxa"/>
            <w:right w:w="28" w:type="dxa"/>
          </w:tblCellMar>
        </w:tblPrEx>
        <w:trPr>
          <w:trHeight w:val="20" w:hRule="atLeast"/>
        </w:trPr>
        <w:tc>
          <w:tcPr>
            <w:tcW w:w="1201"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5</w:t>
            </w:r>
          </w:p>
        </w:tc>
        <w:tc>
          <w:tcPr>
            <w:tcW w:w="1456" w:type="dxa"/>
            <w:vMerge w:val="continue"/>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p>
        </w:tc>
        <w:tc>
          <w:tcPr>
            <w:tcW w:w="3629"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三江街道社区卫生服务中心</w:t>
            </w:r>
          </w:p>
        </w:tc>
        <w:tc>
          <w:tcPr>
            <w:tcW w:w="2614"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center"/>
              <w:rPr>
                <w:color w:val="000000"/>
                <w:kern w:val="0"/>
                <w:sz w:val="28"/>
                <w:szCs w:val="28"/>
              </w:rPr>
            </w:pPr>
          </w:p>
        </w:tc>
      </w:tr>
      <w:tr>
        <w:tblPrEx>
          <w:tblLayout w:type="fixed"/>
          <w:tblCellMar>
            <w:top w:w="0" w:type="dxa"/>
            <w:left w:w="28" w:type="dxa"/>
            <w:bottom w:w="0" w:type="dxa"/>
            <w:right w:w="28" w:type="dxa"/>
          </w:tblCellMar>
        </w:tblPrEx>
        <w:trPr>
          <w:trHeight w:val="20" w:hRule="atLeast"/>
        </w:trPr>
        <w:tc>
          <w:tcPr>
            <w:tcW w:w="1201"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6</w:t>
            </w:r>
          </w:p>
        </w:tc>
        <w:tc>
          <w:tcPr>
            <w:tcW w:w="1456" w:type="dxa"/>
            <w:vMerge w:val="continue"/>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p>
        </w:tc>
        <w:tc>
          <w:tcPr>
            <w:tcW w:w="3629"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綦南供电局检修公司办公楼</w:t>
            </w:r>
          </w:p>
        </w:tc>
        <w:tc>
          <w:tcPr>
            <w:tcW w:w="2614"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center"/>
              <w:rPr>
                <w:color w:val="000000"/>
                <w:kern w:val="0"/>
                <w:sz w:val="28"/>
                <w:szCs w:val="28"/>
              </w:rPr>
            </w:pPr>
          </w:p>
        </w:tc>
      </w:tr>
      <w:tr>
        <w:tblPrEx>
          <w:tblLayout w:type="fixed"/>
          <w:tblCellMar>
            <w:top w:w="0" w:type="dxa"/>
            <w:left w:w="28" w:type="dxa"/>
            <w:bottom w:w="0" w:type="dxa"/>
            <w:right w:w="28" w:type="dxa"/>
          </w:tblCellMar>
        </w:tblPrEx>
        <w:trPr>
          <w:trHeight w:val="20" w:hRule="atLeast"/>
        </w:trPr>
        <w:tc>
          <w:tcPr>
            <w:tcW w:w="1201"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7</w:t>
            </w:r>
          </w:p>
        </w:tc>
        <w:tc>
          <w:tcPr>
            <w:tcW w:w="1456" w:type="dxa"/>
            <w:vMerge w:val="continue"/>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p>
        </w:tc>
        <w:tc>
          <w:tcPr>
            <w:tcW w:w="3629"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四钢自来水厂水池</w:t>
            </w:r>
          </w:p>
        </w:tc>
        <w:tc>
          <w:tcPr>
            <w:tcW w:w="2614"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center"/>
              <w:rPr>
                <w:color w:val="000000"/>
                <w:kern w:val="0"/>
                <w:sz w:val="28"/>
                <w:szCs w:val="28"/>
              </w:rPr>
            </w:pPr>
          </w:p>
        </w:tc>
      </w:tr>
      <w:tr>
        <w:tblPrEx>
          <w:tblLayout w:type="fixed"/>
          <w:tblCellMar>
            <w:top w:w="0" w:type="dxa"/>
            <w:left w:w="28" w:type="dxa"/>
            <w:bottom w:w="0" w:type="dxa"/>
            <w:right w:w="28" w:type="dxa"/>
          </w:tblCellMar>
        </w:tblPrEx>
        <w:trPr>
          <w:trHeight w:val="20" w:hRule="atLeast"/>
        </w:trPr>
        <w:tc>
          <w:tcPr>
            <w:tcW w:w="1201"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8</w:t>
            </w:r>
          </w:p>
        </w:tc>
        <w:tc>
          <w:tcPr>
            <w:tcW w:w="1456" w:type="dxa"/>
            <w:vMerge w:val="continue"/>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p>
        </w:tc>
        <w:tc>
          <w:tcPr>
            <w:tcW w:w="3629"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移动公司</w:t>
            </w:r>
          </w:p>
        </w:tc>
        <w:tc>
          <w:tcPr>
            <w:tcW w:w="2614"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center"/>
              <w:rPr>
                <w:color w:val="000000"/>
                <w:kern w:val="0"/>
                <w:sz w:val="28"/>
                <w:szCs w:val="28"/>
              </w:rPr>
            </w:pPr>
          </w:p>
        </w:tc>
      </w:tr>
      <w:tr>
        <w:tblPrEx>
          <w:tblLayout w:type="fixed"/>
          <w:tblCellMar>
            <w:top w:w="0" w:type="dxa"/>
            <w:left w:w="28" w:type="dxa"/>
            <w:bottom w:w="0" w:type="dxa"/>
            <w:right w:w="28" w:type="dxa"/>
          </w:tblCellMar>
        </w:tblPrEx>
        <w:trPr>
          <w:trHeight w:val="20" w:hRule="atLeast"/>
        </w:trPr>
        <w:tc>
          <w:tcPr>
            <w:tcW w:w="1201"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9</w:t>
            </w:r>
          </w:p>
        </w:tc>
        <w:tc>
          <w:tcPr>
            <w:tcW w:w="1456" w:type="dxa"/>
            <w:vMerge w:val="restart"/>
            <w:tcBorders>
              <w:top w:val="nil"/>
              <w:left w:val="single" w:color="auto" w:sz="4" w:space="0"/>
              <w:bottom w:val="single" w:color="000000"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一般建筑物</w:t>
            </w:r>
          </w:p>
        </w:tc>
        <w:tc>
          <w:tcPr>
            <w:tcW w:w="3629"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预测单元2</w:t>
            </w:r>
          </w:p>
        </w:tc>
        <w:tc>
          <w:tcPr>
            <w:tcW w:w="2614" w:type="dxa"/>
            <w:vMerge w:val="restart"/>
            <w:tcBorders>
              <w:top w:val="nil"/>
              <w:left w:val="single" w:color="auto" w:sz="4" w:space="0"/>
              <w:bottom w:val="single" w:color="000000" w:sz="4" w:space="0"/>
              <w:right w:val="single" w:color="auto" w:sz="4" w:space="0"/>
            </w:tcBorders>
            <w:vAlign w:val="center"/>
          </w:tcPr>
          <w:p>
            <w:pPr>
              <w:widowControl/>
              <w:spacing w:line="480" w:lineRule="exact"/>
              <w:jc w:val="both"/>
              <w:rPr>
                <w:color w:val="000000"/>
                <w:kern w:val="0"/>
                <w:sz w:val="28"/>
                <w:szCs w:val="28"/>
              </w:rPr>
            </w:pPr>
            <w:r>
              <w:rPr>
                <w:color w:val="000000"/>
                <w:kern w:val="0"/>
                <w:sz w:val="28"/>
                <w:szCs w:val="28"/>
              </w:rPr>
              <w:t>对建设年代久远的建筑进行抗震性能鉴定，对不满足要求的建筑拆除重建</w:t>
            </w:r>
          </w:p>
        </w:tc>
      </w:tr>
      <w:tr>
        <w:tblPrEx>
          <w:tblLayout w:type="fixed"/>
          <w:tblCellMar>
            <w:top w:w="0" w:type="dxa"/>
            <w:left w:w="28" w:type="dxa"/>
            <w:bottom w:w="0" w:type="dxa"/>
            <w:right w:w="28" w:type="dxa"/>
          </w:tblCellMar>
        </w:tblPrEx>
        <w:trPr>
          <w:trHeight w:val="20" w:hRule="atLeast"/>
        </w:trPr>
        <w:tc>
          <w:tcPr>
            <w:tcW w:w="1201"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10</w:t>
            </w:r>
          </w:p>
        </w:tc>
        <w:tc>
          <w:tcPr>
            <w:tcW w:w="1456"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center"/>
              <w:rPr>
                <w:color w:val="000000"/>
                <w:kern w:val="0"/>
                <w:sz w:val="28"/>
                <w:szCs w:val="28"/>
              </w:rPr>
            </w:pPr>
          </w:p>
        </w:tc>
        <w:tc>
          <w:tcPr>
            <w:tcW w:w="3629"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预测单元7</w:t>
            </w:r>
          </w:p>
        </w:tc>
        <w:tc>
          <w:tcPr>
            <w:tcW w:w="2614"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center"/>
              <w:rPr>
                <w:color w:val="000000"/>
                <w:kern w:val="0"/>
                <w:sz w:val="28"/>
                <w:szCs w:val="28"/>
              </w:rPr>
            </w:pPr>
          </w:p>
        </w:tc>
      </w:tr>
      <w:tr>
        <w:tblPrEx>
          <w:tblLayout w:type="fixed"/>
          <w:tblCellMar>
            <w:top w:w="0" w:type="dxa"/>
            <w:left w:w="28" w:type="dxa"/>
            <w:bottom w:w="0" w:type="dxa"/>
            <w:right w:w="28" w:type="dxa"/>
          </w:tblCellMar>
        </w:tblPrEx>
        <w:trPr>
          <w:trHeight w:val="20" w:hRule="atLeast"/>
        </w:trPr>
        <w:tc>
          <w:tcPr>
            <w:tcW w:w="1201"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11</w:t>
            </w:r>
          </w:p>
        </w:tc>
        <w:tc>
          <w:tcPr>
            <w:tcW w:w="1456" w:type="dxa"/>
            <w:vMerge w:val="continue"/>
            <w:tcBorders>
              <w:top w:val="nil"/>
              <w:left w:val="single" w:color="auto" w:sz="4" w:space="0"/>
              <w:bottom w:val="single" w:color="000000" w:sz="4" w:space="0"/>
              <w:right w:val="single" w:color="auto" w:sz="4" w:space="0"/>
            </w:tcBorders>
            <w:vAlign w:val="center"/>
          </w:tcPr>
          <w:p>
            <w:pPr>
              <w:widowControl/>
              <w:spacing w:line="480" w:lineRule="exact"/>
              <w:jc w:val="center"/>
              <w:rPr>
                <w:color w:val="000000"/>
                <w:kern w:val="0"/>
                <w:sz w:val="28"/>
                <w:szCs w:val="28"/>
              </w:rPr>
            </w:pPr>
          </w:p>
        </w:tc>
        <w:tc>
          <w:tcPr>
            <w:tcW w:w="3629"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预测单元8</w:t>
            </w:r>
          </w:p>
        </w:tc>
        <w:tc>
          <w:tcPr>
            <w:tcW w:w="261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拆除改造</w:t>
            </w:r>
          </w:p>
        </w:tc>
      </w:tr>
      <w:tr>
        <w:tblPrEx>
          <w:tblLayout w:type="fixed"/>
          <w:tblCellMar>
            <w:top w:w="0" w:type="dxa"/>
            <w:left w:w="28" w:type="dxa"/>
            <w:bottom w:w="0" w:type="dxa"/>
            <w:right w:w="28" w:type="dxa"/>
          </w:tblCellMar>
        </w:tblPrEx>
        <w:trPr>
          <w:trHeight w:val="20" w:hRule="atLeast"/>
        </w:trPr>
        <w:tc>
          <w:tcPr>
            <w:tcW w:w="1201"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12</w:t>
            </w:r>
          </w:p>
        </w:tc>
        <w:tc>
          <w:tcPr>
            <w:tcW w:w="1456"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中小学校舍</w:t>
            </w:r>
          </w:p>
        </w:tc>
        <w:tc>
          <w:tcPr>
            <w:tcW w:w="3629"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三江中学、营盘山小学、城南中学、陵园小学沙溪校区</w:t>
            </w:r>
          </w:p>
        </w:tc>
        <w:tc>
          <w:tcPr>
            <w:tcW w:w="261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抗震加固</w:t>
            </w:r>
          </w:p>
        </w:tc>
      </w:tr>
      <w:tr>
        <w:tblPrEx>
          <w:tblLayout w:type="fixed"/>
          <w:tblCellMar>
            <w:top w:w="0" w:type="dxa"/>
            <w:left w:w="28" w:type="dxa"/>
            <w:bottom w:w="0" w:type="dxa"/>
            <w:right w:w="28" w:type="dxa"/>
          </w:tblCellMar>
        </w:tblPrEx>
        <w:trPr>
          <w:trHeight w:val="20" w:hRule="atLeast"/>
        </w:trPr>
        <w:tc>
          <w:tcPr>
            <w:tcW w:w="1201" w:type="dxa"/>
            <w:tcBorders>
              <w:top w:val="nil"/>
              <w:left w:val="single" w:color="auto" w:sz="4" w:space="0"/>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13</w:t>
            </w:r>
          </w:p>
        </w:tc>
        <w:tc>
          <w:tcPr>
            <w:tcW w:w="1456"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文保单位及历史建筑</w:t>
            </w:r>
          </w:p>
        </w:tc>
        <w:tc>
          <w:tcPr>
            <w:tcW w:w="3629" w:type="dxa"/>
            <w:tcBorders>
              <w:top w:val="nil"/>
              <w:left w:val="nil"/>
              <w:bottom w:val="single" w:color="auto" w:sz="4" w:space="0"/>
              <w:right w:val="single" w:color="auto" w:sz="4" w:space="0"/>
            </w:tcBorders>
            <w:vAlign w:val="center"/>
          </w:tcPr>
          <w:p>
            <w:pPr>
              <w:widowControl/>
              <w:spacing w:line="480" w:lineRule="exact"/>
              <w:jc w:val="both"/>
              <w:rPr>
                <w:color w:val="000000"/>
                <w:kern w:val="0"/>
                <w:sz w:val="28"/>
                <w:szCs w:val="28"/>
              </w:rPr>
            </w:pPr>
            <w:r>
              <w:rPr>
                <w:color w:val="000000"/>
                <w:kern w:val="0"/>
                <w:sz w:val="28"/>
                <w:szCs w:val="28"/>
              </w:rPr>
              <w:t>烈士陵园、中共綦江支部旧址、韩国临时政府、王良故居，历史建筑有綦江齿轮厂、重庆钢丝绳厂、重庆冶炼厂、庆江机械厂教学楼、庆江机械厂俱乐部、国营庆江机器厂旧址</w:t>
            </w:r>
          </w:p>
        </w:tc>
        <w:tc>
          <w:tcPr>
            <w:tcW w:w="2614" w:type="dxa"/>
            <w:tcBorders>
              <w:top w:val="nil"/>
              <w:left w:val="nil"/>
              <w:bottom w:val="single" w:color="auto" w:sz="4" w:space="0"/>
              <w:right w:val="single" w:color="auto" w:sz="4" w:space="0"/>
            </w:tcBorders>
            <w:vAlign w:val="center"/>
          </w:tcPr>
          <w:p>
            <w:pPr>
              <w:widowControl/>
              <w:spacing w:line="480" w:lineRule="exact"/>
              <w:jc w:val="center"/>
              <w:rPr>
                <w:color w:val="000000"/>
                <w:kern w:val="0"/>
                <w:sz w:val="28"/>
                <w:szCs w:val="28"/>
              </w:rPr>
            </w:pPr>
            <w:r>
              <w:rPr>
                <w:color w:val="000000"/>
                <w:kern w:val="0"/>
                <w:sz w:val="28"/>
                <w:szCs w:val="28"/>
              </w:rPr>
              <w:t>抗震加固</w:t>
            </w:r>
          </w:p>
        </w:tc>
      </w:tr>
    </w:tbl>
    <w:p>
      <w:pPr>
        <w:pStyle w:val="7"/>
        <w:keepNext/>
        <w:spacing w:line="576" w:lineRule="exact"/>
        <w:rPr>
          <w:rFonts w:hint="eastAsia" w:ascii="Times New Roman" w:hAnsi="Times New Roman" w:eastAsia="方正黑体_GBK" w:cs="Times New Roman"/>
          <w:sz w:val="32"/>
          <w:szCs w:val="32"/>
          <w:lang w:val="en-US" w:eastAsia="zh-CN" w:bidi="ar"/>
        </w:rPr>
      </w:pPr>
      <w:bookmarkStart w:id="400" w:name="_Ref11844"/>
      <w:bookmarkStart w:id="401" w:name="_Toc158043572"/>
      <w:bookmarkStart w:id="402" w:name="_Toc156308091"/>
      <w:r>
        <w:rPr>
          <w:rFonts w:hint="default" w:ascii="Times New Roman" w:hAnsi="Times New Roman" w:eastAsia="方正黑体_GBK" w:cs="Times New Roman"/>
          <w:sz w:val="32"/>
          <w:szCs w:val="32"/>
          <w:lang w:bidi="ar"/>
        </w:rPr>
        <w:t>附表</w:t>
      </w:r>
      <w:bookmarkEnd w:id="400"/>
      <w:r>
        <w:rPr>
          <w:rFonts w:hint="eastAsia" w:ascii="Times New Roman" w:hAnsi="Times New Roman" w:eastAsia="方正黑体_GBK" w:cs="Times New Roman"/>
          <w:sz w:val="32"/>
          <w:szCs w:val="32"/>
          <w:lang w:val="en-US" w:eastAsia="zh-CN" w:bidi="ar"/>
        </w:rPr>
        <w:t xml:space="preserve">15 </w:t>
      </w:r>
    </w:p>
    <w:p>
      <w:pPr>
        <w:pStyle w:val="7"/>
        <w:keepNext/>
        <w:spacing w:line="576" w:lineRule="exact"/>
        <w:jc w:val="center"/>
        <w:rPr>
          <w:rFonts w:hint="default" w:ascii="Times New Roman" w:hAnsi="Times New Roman" w:eastAsia="方正黑体_GBK" w:cs="Times New Roman"/>
          <w:sz w:val="32"/>
          <w:szCs w:val="32"/>
          <w:lang w:bidi="ar"/>
        </w:rPr>
      </w:pPr>
      <w:r>
        <w:rPr>
          <w:rFonts w:hint="default" w:ascii="Times New Roman" w:hAnsi="Times New Roman" w:eastAsia="方正黑体_GBK" w:cs="Times New Roman"/>
          <w:sz w:val="32"/>
          <w:szCs w:val="32"/>
          <w:lang w:bidi="ar"/>
        </w:rPr>
        <w:t>綦江中心城区近期应急避难场所对口医院一览表</w:t>
      </w:r>
      <w:bookmarkEnd w:id="401"/>
      <w:bookmarkEnd w:id="402"/>
    </w:p>
    <w:p>
      <w:pPr>
        <w:rPr>
          <w:rFonts w:hint="default"/>
        </w:rPr>
      </w:pPr>
    </w:p>
    <w:tbl>
      <w:tblPr>
        <w:tblStyle w:val="18"/>
        <w:tblW w:w="8900" w:type="dxa"/>
        <w:tblInd w:w="0" w:type="dxa"/>
        <w:tblLayout w:type="fixed"/>
        <w:tblCellMar>
          <w:top w:w="0" w:type="dxa"/>
          <w:left w:w="28" w:type="dxa"/>
          <w:bottom w:w="0" w:type="dxa"/>
          <w:right w:w="28" w:type="dxa"/>
        </w:tblCellMar>
      </w:tblPr>
      <w:tblGrid>
        <w:gridCol w:w="737"/>
        <w:gridCol w:w="2551"/>
        <w:gridCol w:w="1842"/>
        <w:gridCol w:w="3770"/>
      </w:tblGrid>
      <w:tr>
        <w:tblPrEx>
          <w:tblLayout w:type="fixed"/>
          <w:tblCellMar>
            <w:top w:w="0" w:type="dxa"/>
            <w:left w:w="28" w:type="dxa"/>
            <w:bottom w:w="0" w:type="dxa"/>
            <w:right w:w="28" w:type="dxa"/>
          </w:tblCellMar>
        </w:tblPrEx>
        <w:trPr>
          <w:trHeight w:val="372" w:hRule="atLeast"/>
          <w:tblHeader/>
        </w:trPr>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80" w:lineRule="exact"/>
              <w:jc w:val="center"/>
              <w:rPr>
                <w:rFonts w:hint="eastAsia" w:ascii="方正黑体_GBK" w:hAnsi="方正黑体_GBK" w:eastAsia="方正黑体_GBK" w:cs="方正黑体_GBK"/>
                <w:b w:val="0"/>
                <w:bCs w:val="0"/>
                <w:kern w:val="0"/>
                <w:sz w:val="28"/>
                <w:szCs w:val="28"/>
              </w:rPr>
            </w:pPr>
            <w:r>
              <w:rPr>
                <w:rFonts w:hint="eastAsia" w:ascii="方正黑体_GBK" w:hAnsi="方正黑体_GBK" w:eastAsia="方正黑体_GBK" w:cs="方正黑体_GBK"/>
                <w:b w:val="0"/>
                <w:bCs w:val="0"/>
                <w:kern w:val="0"/>
                <w:sz w:val="28"/>
                <w:szCs w:val="28"/>
              </w:rPr>
              <w:t>序号</w:t>
            </w:r>
          </w:p>
        </w:tc>
        <w:tc>
          <w:tcPr>
            <w:tcW w:w="2551"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center"/>
              <w:rPr>
                <w:rFonts w:hint="eastAsia" w:ascii="方正黑体_GBK" w:hAnsi="方正黑体_GBK" w:eastAsia="方正黑体_GBK" w:cs="方正黑体_GBK"/>
                <w:b w:val="0"/>
                <w:bCs w:val="0"/>
                <w:kern w:val="0"/>
                <w:sz w:val="28"/>
                <w:szCs w:val="28"/>
              </w:rPr>
            </w:pPr>
            <w:r>
              <w:rPr>
                <w:rFonts w:hint="eastAsia" w:ascii="方正黑体_GBK" w:hAnsi="方正黑体_GBK" w:eastAsia="方正黑体_GBK" w:cs="方正黑体_GBK"/>
                <w:b w:val="0"/>
                <w:bCs w:val="0"/>
                <w:kern w:val="0"/>
                <w:sz w:val="28"/>
                <w:szCs w:val="28"/>
              </w:rPr>
              <w:t>应急避难场所名称</w:t>
            </w:r>
          </w:p>
        </w:tc>
        <w:tc>
          <w:tcPr>
            <w:tcW w:w="1842"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center"/>
              <w:rPr>
                <w:rFonts w:hint="eastAsia" w:ascii="方正黑体_GBK" w:hAnsi="方正黑体_GBK" w:eastAsia="方正黑体_GBK" w:cs="方正黑体_GBK"/>
                <w:b w:val="0"/>
                <w:bCs w:val="0"/>
                <w:color w:val="000000"/>
                <w:kern w:val="0"/>
                <w:sz w:val="28"/>
                <w:szCs w:val="28"/>
              </w:rPr>
            </w:pPr>
            <w:r>
              <w:rPr>
                <w:rFonts w:hint="eastAsia" w:ascii="方正黑体_GBK" w:hAnsi="方正黑体_GBK" w:eastAsia="方正黑体_GBK" w:cs="方正黑体_GBK"/>
                <w:b w:val="0"/>
                <w:bCs w:val="0"/>
                <w:color w:val="000000"/>
                <w:kern w:val="0"/>
                <w:sz w:val="28"/>
                <w:szCs w:val="28"/>
              </w:rPr>
              <w:t>避难场所类别</w:t>
            </w:r>
          </w:p>
        </w:tc>
        <w:tc>
          <w:tcPr>
            <w:tcW w:w="3770"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center"/>
              <w:rPr>
                <w:rFonts w:hint="eastAsia" w:ascii="方正黑体_GBK" w:hAnsi="方正黑体_GBK" w:eastAsia="方正黑体_GBK" w:cs="方正黑体_GBK"/>
                <w:b w:val="0"/>
                <w:bCs w:val="0"/>
                <w:kern w:val="0"/>
                <w:sz w:val="28"/>
                <w:szCs w:val="28"/>
              </w:rPr>
            </w:pPr>
            <w:r>
              <w:rPr>
                <w:rFonts w:hint="eastAsia" w:ascii="方正黑体_GBK" w:hAnsi="方正黑体_GBK" w:eastAsia="方正黑体_GBK" w:cs="方正黑体_GBK"/>
                <w:b w:val="0"/>
                <w:bCs w:val="0"/>
                <w:kern w:val="0"/>
                <w:sz w:val="28"/>
                <w:szCs w:val="28"/>
              </w:rPr>
              <w:t>对口救援医院名称</w:t>
            </w:r>
          </w:p>
        </w:tc>
      </w:tr>
      <w:tr>
        <w:tblPrEx>
          <w:tblLayout w:type="fixed"/>
          <w:tblCellMar>
            <w:top w:w="0" w:type="dxa"/>
            <w:left w:w="28" w:type="dxa"/>
            <w:bottom w:w="0" w:type="dxa"/>
            <w:right w:w="28" w:type="dxa"/>
          </w:tblCellMar>
        </w:tblPrEx>
        <w:trPr>
          <w:trHeight w:val="567" w:hRule="exact"/>
        </w:trPr>
        <w:tc>
          <w:tcPr>
            <w:tcW w:w="737"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1</w:t>
            </w:r>
          </w:p>
        </w:tc>
        <w:tc>
          <w:tcPr>
            <w:tcW w:w="255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外语外事学院</w:t>
            </w:r>
          </w:p>
        </w:tc>
        <w:tc>
          <w:tcPr>
            <w:tcW w:w="184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中长期</w:t>
            </w:r>
          </w:p>
        </w:tc>
        <w:tc>
          <w:tcPr>
            <w:tcW w:w="377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綦江区中医院（总院）</w:t>
            </w:r>
          </w:p>
        </w:tc>
      </w:tr>
      <w:tr>
        <w:tblPrEx>
          <w:tblLayout w:type="fixed"/>
          <w:tblCellMar>
            <w:top w:w="0" w:type="dxa"/>
            <w:left w:w="28" w:type="dxa"/>
            <w:bottom w:w="0" w:type="dxa"/>
            <w:right w:w="28" w:type="dxa"/>
          </w:tblCellMar>
        </w:tblPrEx>
        <w:trPr>
          <w:trHeight w:val="567" w:hRule="exact"/>
        </w:trPr>
        <w:tc>
          <w:tcPr>
            <w:tcW w:w="737"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2</w:t>
            </w:r>
          </w:p>
        </w:tc>
        <w:tc>
          <w:tcPr>
            <w:tcW w:w="255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綦江体育中心</w:t>
            </w:r>
          </w:p>
        </w:tc>
        <w:tc>
          <w:tcPr>
            <w:tcW w:w="184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短期</w:t>
            </w:r>
          </w:p>
        </w:tc>
        <w:tc>
          <w:tcPr>
            <w:tcW w:w="377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心新医院</w:t>
            </w:r>
          </w:p>
        </w:tc>
      </w:tr>
      <w:tr>
        <w:tblPrEx>
          <w:tblLayout w:type="fixed"/>
          <w:tblCellMar>
            <w:top w:w="0" w:type="dxa"/>
            <w:left w:w="28" w:type="dxa"/>
            <w:bottom w:w="0" w:type="dxa"/>
            <w:right w:w="28" w:type="dxa"/>
          </w:tblCellMar>
        </w:tblPrEx>
        <w:trPr>
          <w:trHeight w:val="567" w:hRule="exact"/>
        </w:trPr>
        <w:tc>
          <w:tcPr>
            <w:tcW w:w="737"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3</w:t>
            </w:r>
          </w:p>
        </w:tc>
        <w:tc>
          <w:tcPr>
            <w:tcW w:w="255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南州中学</w:t>
            </w:r>
          </w:p>
        </w:tc>
        <w:tc>
          <w:tcPr>
            <w:tcW w:w="184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短期</w:t>
            </w:r>
          </w:p>
        </w:tc>
        <w:tc>
          <w:tcPr>
            <w:tcW w:w="377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綦江爱康康复医院</w:t>
            </w:r>
          </w:p>
        </w:tc>
      </w:tr>
      <w:tr>
        <w:tblPrEx>
          <w:tblLayout w:type="fixed"/>
          <w:tblCellMar>
            <w:top w:w="0" w:type="dxa"/>
            <w:left w:w="28" w:type="dxa"/>
            <w:bottom w:w="0" w:type="dxa"/>
            <w:right w:w="28" w:type="dxa"/>
          </w:tblCellMar>
        </w:tblPrEx>
        <w:trPr>
          <w:trHeight w:val="567" w:hRule="exact"/>
        </w:trPr>
        <w:tc>
          <w:tcPr>
            <w:tcW w:w="737"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4</w:t>
            </w:r>
          </w:p>
        </w:tc>
        <w:tc>
          <w:tcPr>
            <w:tcW w:w="255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营盘山公园</w:t>
            </w:r>
          </w:p>
        </w:tc>
        <w:tc>
          <w:tcPr>
            <w:tcW w:w="184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短期</w:t>
            </w:r>
          </w:p>
        </w:tc>
        <w:tc>
          <w:tcPr>
            <w:tcW w:w="377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綦江区中医院（九龙院区）</w:t>
            </w:r>
          </w:p>
        </w:tc>
      </w:tr>
      <w:tr>
        <w:tblPrEx>
          <w:tblLayout w:type="fixed"/>
          <w:tblCellMar>
            <w:top w:w="0" w:type="dxa"/>
            <w:left w:w="28" w:type="dxa"/>
            <w:bottom w:w="0" w:type="dxa"/>
            <w:right w:w="28" w:type="dxa"/>
          </w:tblCellMar>
        </w:tblPrEx>
        <w:trPr>
          <w:trHeight w:val="567" w:hRule="exact"/>
        </w:trPr>
        <w:tc>
          <w:tcPr>
            <w:tcW w:w="737"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5</w:t>
            </w:r>
          </w:p>
        </w:tc>
        <w:tc>
          <w:tcPr>
            <w:tcW w:w="255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綦江实验中学</w:t>
            </w:r>
          </w:p>
        </w:tc>
        <w:tc>
          <w:tcPr>
            <w:tcW w:w="184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短期</w:t>
            </w:r>
          </w:p>
        </w:tc>
        <w:tc>
          <w:tcPr>
            <w:tcW w:w="377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綦江区人民医院及东城分院</w:t>
            </w:r>
          </w:p>
        </w:tc>
      </w:tr>
      <w:tr>
        <w:tblPrEx>
          <w:tblLayout w:type="fixed"/>
          <w:tblCellMar>
            <w:top w:w="0" w:type="dxa"/>
            <w:left w:w="28" w:type="dxa"/>
            <w:bottom w:w="0" w:type="dxa"/>
            <w:right w:w="28" w:type="dxa"/>
          </w:tblCellMar>
        </w:tblPrEx>
        <w:trPr>
          <w:trHeight w:val="20" w:hRule="atLeast"/>
        </w:trPr>
        <w:tc>
          <w:tcPr>
            <w:tcW w:w="737"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6</w:t>
            </w:r>
          </w:p>
        </w:tc>
        <w:tc>
          <w:tcPr>
            <w:tcW w:w="2551"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三江中学</w:t>
            </w:r>
          </w:p>
        </w:tc>
        <w:tc>
          <w:tcPr>
            <w:tcW w:w="1842"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短期</w:t>
            </w:r>
          </w:p>
        </w:tc>
        <w:tc>
          <w:tcPr>
            <w:tcW w:w="3770" w:type="dxa"/>
            <w:tcBorders>
              <w:top w:val="nil"/>
              <w:left w:val="nil"/>
              <w:bottom w:val="single" w:color="auto" w:sz="4" w:space="0"/>
              <w:right w:val="single" w:color="auto" w:sz="4" w:space="0"/>
            </w:tcBorders>
            <w:shd w:val="clear" w:color="auto" w:fill="auto"/>
            <w:vAlign w:val="center"/>
          </w:tcPr>
          <w:p>
            <w:pPr>
              <w:widowControl/>
              <w:spacing w:line="480" w:lineRule="exact"/>
              <w:jc w:val="center"/>
              <w:rPr>
                <w:kern w:val="0"/>
                <w:sz w:val="28"/>
                <w:szCs w:val="28"/>
              </w:rPr>
            </w:pPr>
            <w:r>
              <w:rPr>
                <w:kern w:val="0"/>
                <w:sz w:val="28"/>
                <w:szCs w:val="28"/>
              </w:rPr>
              <w:t>重庆冶炼集团有限责任公司职工医院</w:t>
            </w:r>
          </w:p>
        </w:tc>
      </w:tr>
    </w:tbl>
    <w:p>
      <w:pPr>
        <w:spacing w:line="576" w:lineRule="exact"/>
        <w:rPr>
          <w:lang w:bidi="ar"/>
        </w:rPr>
      </w:pPr>
      <w:bookmarkStart w:id="403" w:name="_Ref3324"/>
    </w:p>
    <w:p>
      <w:pPr>
        <w:pStyle w:val="2"/>
        <w:rPr>
          <w:lang w:bidi="ar"/>
        </w:rPr>
      </w:pPr>
    </w:p>
    <w:p>
      <w:pPr>
        <w:pStyle w:val="2"/>
        <w:rPr>
          <w:lang w:bidi="ar"/>
        </w:rPr>
      </w:pPr>
    </w:p>
    <w:p>
      <w:pPr>
        <w:pStyle w:val="2"/>
        <w:rPr>
          <w:lang w:bidi="ar"/>
        </w:rPr>
      </w:pPr>
    </w:p>
    <w:p>
      <w:pPr>
        <w:pStyle w:val="2"/>
        <w:rPr>
          <w:lang w:bidi="ar"/>
        </w:rPr>
      </w:pPr>
    </w:p>
    <w:p>
      <w:pPr>
        <w:pStyle w:val="2"/>
        <w:rPr>
          <w:lang w:bidi="ar"/>
        </w:rPr>
      </w:pPr>
    </w:p>
    <w:p>
      <w:pPr>
        <w:pStyle w:val="2"/>
        <w:rPr>
          <w:lang w:bidi="ar"/>
        </w:rPr>
      </w:pPr>
    </w:p>
    <w:p>
      <w:pPr>
        <w:pStyle w:val="2"/>
        <w:rPr>
          <w:lang w:bidi="ar"/>
        </w:rPr>
      </w:pPr>
    </w:p>
    <w:p>
      <w:pPr>
        <w:pStyle w:val="2"/>
        <w:rPr>
          <w:lang w:bidi="ar"/>
        </w:rPr>
      </w:pPr>
    </w:p>
    <w:p>
      <w:pPr>
        <w:pStyle w:val="2"/>
        <w:rPr>
          <w:lang w:bidi="ar"/>
        </w:rPr>
      </w:pPr>
    </w:p>
    <w:p>
      <w:pPr>
        <w:pStyle w:val="2"/>
        <w:rPr>
          <w:lang w:bidi="ar"/>
        </w:rPr>
      </w:pPr>
    </w:p>
    <w:p>
      <w:pPr>
        <w:pStyle w:val="7"/>
        <w:keepNext/>
        <w:spacing w:line="576" w:lineRule="exact"/>
        <w:rPr>
          <w:rFonts w:hint="eastAsia" w:ascii="Times New Roman" w:hAnsi="Times New Roman" w:eastAsia="方正黑体_GBK" w:cs="Times New Roman"/>
          <w:sz w:val="32"/>
          <w:szCs w:val="32"/>
          <w:lang w:val="en-US" w:eastAsia="zh-CN" w:bidi="ar"/>
        </w:rPr>
      </w:pPr>
      <w:bookmarkStart w:id="404" w:name="_Ref4271"/>
      <w:bookmarkStart w:id="405" w:name="_Toc158043573"/>
      <w:bookmarkStart w:id="406" w:name="_Toc156308092"/>
      <w:r>
        <w:rPr>
          <w:rFonts w:hint="default" w:ascii="Times New Roman" w:hAnsi="Times New Roman" w:eastAsia="方正黑体_GBK" w:cs="Times New Roman"/>
          <w:sz w:val="32"/>
          <w:szCs w:val="32"/>
          <w:lang w:bidi="ar"/>
        </w:rPr>
        <w:t>附表</w:t>
      </w:r>
      <w:bookmarkEnd w:id="397"/>
      <w:bookmarkEnd w:id="403"/>
      <w:bookmarkEnd w:id="404"/>
      <w:r>
        <w:rPr>
          <w:rFonts w:hint="eastAsia" w:ascii="Times New Roman" w:hAnsi="Times New Roman" w:eastAsia="方正黑体_GBK" w:cs="Times New Roman"/>
          <w:sz w:val="32"/>
          <w:szCs w:val="32"/>
          <w:lang w:val="en-US" w:eastAsia="zh-CN" w:bidi="ar"/>
        </w:rPr>
        <w:t xml:space="preserve">16 </w:t>
      </w:r>
    </w:p>
    <w:p>
      <w:pPr>
        <w:pStyle w:val="7"/>
        <w:keepNext/>
        <w:spacing w:line="576" w:lineRule="exact"/>
        <w:jc w:val="center"/>
        <w:rPr>
          <w:rFonts w:hint="default" w:ascii="Times New Roman" w:hAnsi="Times New Roman" w:eastAsia="方正黑体_GBK" w:cs="Times New Roman"/>
          <w:sz w:val="32"/>
          <w:szCs w:val="32"/>
          <w:lang w:bidi="ar"/>
        </w:rPr>
      </w:pPr>
      <w:r>
        <w:rPr>
          <w:rFonts w:hint="default" w:ascii="Times New Roman" w:hAnsi="Times New Roman" w:eastAsia="方正黑体_GBK" w:cs="Times New Roman"/>
          <w:sz w:val="32"/>
          <w:szCs w:val="32"/>
          <w:lang w:bidi="ar"/>
        </w:rPr>
        <w:t>綦江中心城区近期给水设施规划一览表</w:t>
      </w:r>
      <w:bookmarkEnd w:id="405"/>
      <w:bookmarkEnd w:id="406"/>
    </w:p>
    <w:p>
      <w:pPr>
        <w:rPr>
          <w:rFonts w:hint="default"/>
        </w:rPr>
      </w:pPr>
    </w:p>
    <w:tbl>
      <w:tblPr>
        <w:tblStyle w:val="18"/>
        <w:tblW w:w="8900" w:type="dxa"/>
        <w:tblInd w:w="0" w:type="dxa"/>
        <w:tblLayout w:type="fixed"/>
        <w:tblCellMar>
          <w:top w:w="0" w:type="dxa"/>
          <w:left w:w="28" w:type="dxa"/>
          <w:bottom w:w="0" w:type="dxa"/>
          <w:right w:w="28" w:type="dxa"/>
        </w:tblCellMar>
      </w:tblPr>
      <w:tblGrid>
        <w:gridCol w:w="619"/>
        <w:gridCol w:w="3773"/>
        <w:gridCol w:w="1526"/>
        <w:gridCol w:w="1176"/>
        <w:gridCol w:w="1806"/>
      </w:tblGrid>
      <w:tr>
        <w:tblPrEx>
          <w:tblLayout w:type="fixed"/>
          <w:tblCellMar>
            <w:top w:w="0" w:type="dxa"/>
            <w:left w:w="28" w:type="dxa"/>
            <w:bottom w:w="0" w:type="dxa"/>
            <w:right w:w="28" w:type="dxa"/>
          </w:tblCellMar>
        </w:tblPrEx>
        <w:trPr>
          <w:trHeight w:val="20" w:hRule="atLeast"/>
          <w:tblHeader/>
        </w:trPr>
        <w:tc>
          <w:tcPr>
            <w:tcW w:w="619" w:type="dxa"/>
            <w:tcBorders>
              <w:top w:val="single" w:color="auto" w:sz="4" w:space="0"/>
              <w:left w:val="single" w:color="auto" w:sz="4" w:space="0"/>
              <w:bottom w:val="single" w:color="auto" w:sz="4" w:space="0"/>
              <w:right w:val="single" w:color="auto" w:sz="4" w:space="0"/>
            </w:tcBorders>
            <w:vAlign w:val="center"/>
          </w:tcPr>
          <w:p>
            <w:pPr>
              <w:widowControl/>
              <w:spacing w:line="480" w:lineRule="exact"/>
              <w:jc w:val="center"/>
              <w:rPr>
                <w:rFonts w:hint="eastAsia" w:ascii="方正黑体_GBK" w:hAnsi="方正黑体_GBK" w:eastAsia="方正黑体_GBK" w:cs="方正黑体_GBK"/>
                <w:b w:val="0"/>
                <w:bCs w:val="0"/>
                <w:sz w:val="28"/>
                <w:szCs w:val="28"/>
              </w:rPr>
            </w:pPr>
            <w:r>
              <w:rPr>
                <w:rFonts w:hint="eastAsia" w:ascii="方正黑体_GBK" w:hAnsi="方正黑体_GBK" w:eastAsia="方正黑体_GBK" w:cs="方正黑体_GBK"/>
                <w:b w:val="0"/>
                <w:bCs w:val="0"/>
                <w:sz w:val="28"/>
                <w:szCs w:val="28"/>
              </w:rPr>
              <w:t>序号</w:t>
            </w:r>
          </w:p>
        </w:tc>
        <w:tc>
          <w:tcPr>
            <w:tcW w:w="3773" w:type="dxa"/>
            <w:tcBorders>
              <w:top w:val="single" w:color="auto" w:sz="4" w:space="0"/>
              <w:left w:val="nil"/>
              <w:bottom w:val="single" w:color="auto" w:sz="4" w:space="0"/>
              <w:right w:val="single" w:color="auto" w:sz="4" w:space="0"/>
            </w:tcBorders>
            <w:vAlign w:val="center"/>
          </w:tcPr>
          <w:p>
            <w:pPr>
              <w:widowControl/>
              <w:spacing w:line="480" w:lineRule="exact"/>
              <w:jc w:val="center"/>
              <w:rPr>
                <w:rFonts w:hint="eastAsia" w:ascii="方正黑体_GBK" w:hAnsi="方正黑体_GBK" w:eastAsia="方正黑体_GBK" w:cs="方正黑体_GBK"/>
                <w:b w:val="0"/>
                <w:bCs w:val="0"/>
                <w:sz w:val="28"/>
                <w:szCs w:val="28"/>
              </w:rPr>
            </w:pPr>
            <w:r>
              <w:rPr>
                <w:rFonts w:hint="eastAsia" w:ascii="方正黑体_GBK" w:hAnsi="方正黑体_GBK" w:eastAsia="方正黑体_GBK" w:cs="方正黑体_GBK"/>
                <w:b w:val="0"/>
                <w:bCs w:val="0"/>
                <w:sz w:val="28"/>
                <w:szCs w:val="28"/>
              </w:rPr>
              <w:t>水厂/高压水池名称</w:t>
            </w:r>
          </w:p>
        </w:tc>
        <w:tc>
          <w:tcPr>
            <w:tcW w:w="1526" w:type="dxa"/>
            <w:tcBorders>
              <w:top w:val="single" w:color="auto" w:sz="4" w:space="0"/>
              <w:left w:val="nil"/>
              <w:bottom w:val="single" w:color="auto" w:sz="4" w:space="0"/>
              <w:right w:val="single" w:color="auto" w:sz="4" w:space="0"/>
            </w:tcBorders>
            <w:vAlign w:val="center"/>
          </w:tcPr>
          <w:p>
            <w:pPr>
              <w:widowControl/>
              <w:spacing w:line="480" w:lineRule="exact"/>
              <w:jc w:val="center"/>
              <w:rPr>
                <w:rFonts w:hint="eastAsia" w:ascii="方正黑体_GBK" w:hAnsi="方正黑体_GBK" w:eastAsia="方正黑体_GBK" w:cs="方正黑体_GBK"/>
                <w:b w:val="0"/>
                <w:bCs w:val="0"/>
                <w:sz w:val="28"/>
                <w:szCs w:val="28"/>
              </w:rPr>
            </w:pPr>
            <w:r>
              <w:rPr>
                <w:rFonts w:hint="eastAsia" w:ascii="方正黑体_GBK" w:hAnsi="方正黑体_GBK" w:eastAsia="方正黑体_GBK" w:cs="方正黑体_GBK"/>
                <w:b w:val="0"/>
                <w:bCs w:val="0"/>
                <w:sz w:val="28"/>
                <w:szCs w:val="28"/>
              </w:rPr>
              <w:t>规模</w:t>
            </w:r>
          </w:p>
        </w:tc>
        <w:tc>
          <w:tcPr>
            <w:tcW w:w="1176" w:type="dxa"/>
            <w:tcBorders>
              <w:top w:val="single" w:color="auto" w:sz="4" w:space="0"/>
              <w:left w:val="nil"/>
              <w:bottom w:val="single" w:color="auto" w:sz="4" w:space="0"/>
              <w:right w:val="single" w:color="auto" w:sz="4" w:space="0"/>
            </w:tcBorders>
            <w:vAlign w:val="center"/>
          </w:tcPr>
          <w:p>
            <w:pPr>
              <w:widowControl/>
              <w:spacing w:line="480" w:lineRule="exact"/>
              <w:jc w:val="center"/>
              <w:rPr>
                <w:rFonts w:hint="eastAsia" w:ascii="方正黑体_GBK" w:hAnsi="方正黑体_GBK" w:eastAsia="方正黑体_GBK" w:cs="方正黑体_GBK"/>
                <w:b w:val="0"/>
                <w:bCs w:val="0"/>
                <w:sz w:val="28"/>
                <w:szCs w:val="28"/>
              </w:rPr>
            </w:pPr>
            <w:r>
              <w:rPr>
                <w:rFonts w:hint="eastAsia" w:ascii="方正黑体_GBK" w:hAnsi="方正黑体_GBK" w:eastAsia="方正黑体_GBK" w:cs="方正黑体_GBK"/>
                <w:b w:val="0"/>
                <w:bCs w:val="0"/>
                <w:sz w:val="28"/>
                <w:szCs w:val="28"/>
              </w:rPr>
              <w:t>备注</w:t>
            </w:r>
          </w:p>
        </w:tc>
        <w:tc>
          <w:tcPr>
            <w:tcW w:w="1806" w:type="dxa"/>
            <w:tcBorders>
              <w:top w:val="single" w:color="auto" w:sz="4" w:space="0"/>
              <w:left w:val="nil"/>
              <w:bottom w:val="single" w:color="auto" w:sz="4" w:space="0"/>
              <w:right w:val="single" w:color="auto" w:sz="4" w:space="0"/>
            </w:tcBorders>
            <w:vAlign w:val="center"/>
          </w:tcPr>
          <w:p>
            <w:pPr>
              <w:widowControl/>
              <w:spacing w:line="480" w:lineRule="exact"/>
              <w:jc w:val="center"/>
              <w:rPr>
                <w:rFonts w:hint="eastAsia" w:ascii="方正黑体_GBK" w:hAnsi="方正黑体_GBK" w:eastAsia="方正黑体_GBK" w:cs="方正黑体_GBK"/>
                <w:b w:val="0"/>
                <w:bCs w:val="0"/>
                <w:sz w:val="28"/>
                <w:szCs w:val="28"/>
              </w:rPr>
            </w:pPr>
            <w:r>
              <w:rPr>
                <w:rFonts w:hint="eastAsia" w:ascii="方正黑体_GBK" w:hAnsi="方正黑体_GBK" w:eastAsia="方正黑体_GBK" w:cs="方正黑体_GBK"/>
                <w:b w:val="0"/>
                <w:bCs w:val="0"/>
                <w:sz w:val="28"/>
                <w:szCs w:val="28"/>
              </w:rPr>
              <w:t>建设时序</w:t>
            </w:r>
          </w:p>
        </w:tc>
      </w:tr>
      <w:tr>
        <w:tblPrEx>
          <w:tblLayout w:type="fixed"/>
          <w:tblCellMar>
            <w:top w:w="0" w:type="dxa"/>
            <w:left w:w="28" w:type="dxa"/>
            <w:bottom w:w="0" w:type="dxa"/>
            <w:right w:w="28" w:type="dxa"/>
          </w:tblCellMar>
        </w:tblPrEx>
        <w:trPr>
          <w:trHeight w:val="567" w:hRule="exact"/>
        </w:trPr>
        <w:tc>
          <w:tcPr>
            <w:tcW w:w="619" w:type="dxa"/>
            <w:tcBorders>
              <w:top w:val="nil"/>
              <w:left w:val="single" w:color="auto" w:sz="4" w:space="0"/>
              <w:bottom w:val="single" w:color="auto" w:sz="4" w:space="0"/>
              <w:right w:val="single" w:color="auto" w:sz="4" w:space="0"/>
            </w:tcBorders>
            <w:vAlign w:val="center"/>
          </w:tcPr>
          <w:p>
            <w:pPr>
              <w:widowControl/>
              <w:spacing w:line="480" w:lineRule="exact"/>
              <w:jc w:val="center"/>
              <w:rPr>
                <w:sz w:val="28"/>
                <w:szCs w:val="28"/>
              </w:rPr>
            </w:pPr>
            <w:r>
              <w:rPr>
                <w:sz w:val="28"/>
                <w:szCs w:val="28"/>
              </w:rPr>
              <w:t>1</w:t>
            </w:r>
          </w:p>
        </w:tc>
        <w:tc>
          <w:tcPr>
            <w:tcW w:w="3773" w:type="dxa"/>
            <w:tcBorders>
              <w:top w:val="nil"/>
              <w:left w:val="nil"/>
              <w:bottom w:val="single" w:color="auto" w:sz="4" w:space="0"/>
              <w:right w:val="single" w:color="auto" w:sz="4" w:space="0"/>
            </w:tcBorders>
            <w:vAlign w:val="center"/>
          </w:tcPr>
          <w:p>
            <w:pPr>
              <w:widowControl/>
              <w:spacing w:line="480" w:lineRule="exact"/>
              <w:jc w:val="center"/>
              <w:rPr>
                <w:sz w:val="28"/>
                <w:szCs w:val="28"/>
              </w:rPr>
            </w:pPr>
            <w:r>
              <w:rPr>
                <w:sz w:val="28"/>
                <w:szCs w:val="28"/>
              </w:rPr>
              <w:t>东部新城水厂</w:t>
            </w:r>
          </w:p>
        </w:tc>
        <w:tc>
          <w:tcPr>
            <w:tcW w:w="1526" w:type="dxa"/>
            <w:tcBorders>
              <w:top w:val="nil"/>
              <w:left w:val="nil"/>
              <w:bottom w:val="single" w:color="auto" w:sz="4" w:space="0"/>
              <w:right w:val="single" w:color="auto" w:sz="4" w:space="0"/>
            </w:tcBorders>
            <w:vAlign w:val="center"/>
          </w:tcPr>
          <w:p>
            <w:pPr>
              <w:widowControl/>
              <w:spacing w:line="480" w:lineRule="exact"/>
              <w:jc w:val="center"/>
              <w:rPr>
                <w:sz w:val="28"/>
                <w:szCs w:val="28"/>
              </w:rPr>
            </w:pPr>
            <w:r>
              <w:rPr>
                <w:sz w:val="28"/>
                <w:szCs w:val="28"/>
              </w:rPr>
              <w:t>5万吨/天</w:t>
            </w:r>
          </w:p>
        </w:tc>
        <w:tc>
          <w:tcPr>
            <w:tcW w:w="1176" w:type="dxa"/>
            <w:tcBorders>
              <w:top w:val="nil"/>
              <w:left w:val="nil"/>
              <w:bottom w:val="single" w:color="auto" w:sz="4" w:space="0"/>
              <w:right w:val="single" w:color="auto" w:sz="4" w:space="0"/>
            </w:tcBorders>
            <w:vAlign w:val="center"/>
          </w:tcPr>
          <w:p>
            <w:pPr>
              <w:widowControl/>
              <w:spacing w:line="480" w:lineRule="exact"/>
              <w:jc w:val="center"/>
              <w:rPr>
                <w:sz w:val="28"/>
                <w:szCs w:val="28"/>
              </w:rPr>
            </w:pPr>
            <w:r>
              <w:rPr>
                <w:sz w:val="28"/>
                <w:szCs w:val="28"/>
              </w:rPr>
              <w:t>在建</w:t>
            </w:r>
          </w:p>
        </w:tc>
        <w:tc>
          <w:tcPr>
            <w:tcW w:w="1806" w:type="dxa"/>
            <w:tcBorders>
              <w:top w:val="nil"/>
              <w:left w:val="nil"/>
              <w:bottom w:val="single" w:color="auto" w:sz="4" w:space="0"/>
              <w:right w:val="single" w:color="auto" w:sz="4" w:space="0"/>
            </w:tcBorders>
            <w:vAlign w:val="center"/>
          </w:tcPr>
          <w:p>
            <w:pPr>
              <w:widowControl/>
              <w:spacing w:line="480" w:lineRule="exact"/>
              <w:jc w:val="center"/>
              <w:rPr>
                <w:sz w:val="28"/>
                <w:szCs w:val="28"/>
              </w:rPr>
            </w:pPr>
            <w:r>
              <w:rPr>
                <w:sz w:val="28"/>
                <w:szCs w:val="28"/>
              </w:rPr>
              <w:t>2022</w:t>
            </w:r>
            <w:r>
              <w:rPr>
                <w:rFonts w:hint="eastAsia"/>
                <w:sz w:val="28"/>
                <w:szCs w:val="28"/>
              </w:rPr>
              <w:t>—</w:t>
            </w:r>
            <w:r>
              <w:rPr>
                <w:sz w:val="28"/>
                <w:szCs w:val="28"/>
              </w:rPr>
              <w:t>2025年</w:t>
            </w:r>
          </w:p>
        </w:tc>
      </w:tr>
      <w:tr>
        <w:tblPrEx>
          <w:tblLayout w:type="fixed"/>
          <w:tblCellMar>
            <w:top w:w="0" w:type="dxa"/>
            <w:left w:w="28" w:type="dxa"/>
            <w:bottom w:w="0" w:type="dxa"/>
            <w:right w:w="28" w:type="dxa"/>
          </w:tblCellMar>
        </w:tblPrEx>
        <w:trPr>
          <w:trHeight w:val="567" w:hRule="exact"/>
        </w:trPr>
        <w:tc>
          <w:tcPr>
            <w:tcW w:w="619" w:type="dxa"/>
            <w:tcBorders>
              <w:top w:val="nil"/>
              <w:left w:val="single" w:color="auto" w:sz="4" w:space="0"/>
              <w:bottom w:val="single" w:color="auto" w:sz="4" w:space="0"/>
              <w:right w:val="single" w:color="auto" w:sz="4" w:space="0"/>
            </w:tcBorders>
            <w:vAlign w:val="center"/>
          </w:tcPr>
          <w:p>
            <w:pPr>
              <w:widowControl/>
              <w:spacing w:line="480" w:lineRule="exact"/>
              <w:jc w:val="center"/>
              <w:rPr>
                <w:sz w:val="28"/>
                <w:szCs w:val="28"/>
              </w:rPr>
            </w:pPr>
            <w:r>
              <w:rPr>
                <w:sz w:val="28"/>
                <w:szCs w:val="28"/>
              </w:rPr>
              <w:t>2</w:t>
            </w:r>
          </w:p>
        </w:tc>
        <w:tc>
          <w:tcPr>
            <w:tcW w:w="3773" w:type="dxa"/>
            <w:tcBorders>
              <w:top w:val="nil"/>
              <w:left w:val="nil"/>
              <w:bottom w:val="single" w:color="auto" w:sz="4" w:space="0"/>
              <w:right w:val="single" w:color="auto" w:sz="4" w:space="0"/>
            </w:tcBorders>
            <w:vAlign w:val="center"/>
          </w:tcPr>
          <w:p>
            <w:pPr>
              <w:widowControl/>
              <w:spacing w:line="480" w:lineRule="exact"/>
              <w:jc w:val="center"/>
              <w:rPr>
                <w:sz w:val="28"/>
                <w:szCs w:val="28"/>
              </w:rPr>
            </w:pPr>
            <w:r>
              <w:rPr>
                <w:sz w:val="28"/>
                <w:szCs w:val="28"/>
              </w:rPr>
              <w:t>永桐新城水厂</w:t>
            </w:r>
          </w:p>
        </w:tc>
        <w:tc>
          <w:tcPr>
            <w:tcW w:w="1526" w:type="dxa"/>
            <w:tcBorders>
              <w:top w:val="nil"/>
              <w:left w:val="nil"/>
              <w:bottom w:val="single" w:color="auto" w:sz="4" w:space="0"/>
              <w:right w:val="single" w:color="auto" w:sz="4" w:space="0"/>
            </w:tcBorders>
            <w:vAlign w:val="center"/>
          </w:tcPr>
          <w:p>
            <w:pPr>
              <w:widowControl/>
              <w:spacing w:line="480" w:lineRule="exact"/>
              <w:jc w:val="center"/>
              <w:rPr>
                <w:sz w:val="28"/>
                <w:szCs w:val="28"/>
              </w:rPr>
            </w:pPr>
            <w:r>
              <w:rPr>
                <w:sz w:val="28"/>
                <w:szCs w:val="28"/>
              </w:rPr>
              <w:t>5万吨/天</w:t>
            </w:r>
          </w:p>
        </w:tc>
        <w:tc>
          <w:tcPr>
            <w:tcW w:w="1176" w:type="dxa"/>
            <w:tcBorders>
              <w:top w:val="nil"/>
              <w:left w:val="nil"/>
              <w:bottom w:val="single" w:color="auto" w:sz="4" w:space="0"/>
              <w:right w:val="single" w:color="auto" w:sz="4" w:space="0"/>
            </w:tcBorders>
            <w:vAlign w:val="center"/>
          </w:tcPr>
          <w:p>
            <w:pPr>
              <w:widowControl/>
              <w:spacing w:line="480" w:lineRule="exact"/>
              <w:jc w:val="center"/>
              <w:rPr>
                <w:sz w:val="28"/>
                <w:szCs w:val="28"/>
              </w:rPr>
            </w:pPr>
            <w:r>
              <w:rPr>
                <w:sz w:val="28"/>
                <w:szCs w:val="28"/>
              </w:rPr>
              <w:t>近期规划</w:t>
            </w:r>
          </w:p>
        </w:tc>
        <w:tc>
          <w:tcPr>
            <w:tcW w:w="1806" w:type="dxa"/>
            <w:tcBorders>
              <w:top w:val="nil"/>
              <w:left w:val="nil"/>
              <w:bottom w:val="single" w:color="auto" w:sz="4" w:space="0"/>
              <w:right w:val="single" w:color="auto" w:sz="4" w:space="0"/>
            </w:tcBorders>
            <w:vAlign w:val="center"/>
          </w:tcPr>
          <w:p>
            <w:pPr>
              <w:widowControl/>
              <w:spacing w:line="480" w:lineRule="exact"/>
              <w:jc w:val="center"/>
              <w:rPr>
                <w:sz w:val="28"/>
                <w:szCs w:val="28"/>
              </w:rPr>
            </w:pPr>
            <w:r>
              <w:rPr>
                <w:sz w:val="28"/>
                <w:szCs w:val="28"/>
              </w:rPr>
              <w:t>2022</w:t>
            </w:r>
            <w:r>
              <w:rPr>
                <w:rFonts w:hint="eastAsia"/>
                <w:sz w:val="28"/>
                <w:szCs w:val="28"/>
              </w:rPr>
              <w:t>—</w:t>
            </w:r>
            <w:r>
              <w:rPr>
                <w:sz w:val="28"/>
                <w:szCs w:val="28"/>
              </w:rPr>
              <w:t>2025年</w:t>
            </w:r>
          </w:p>
        </w:tc>
      </w:tr>
      <w:tr>
        <w:tblPrEx>
          <w:tblLayout w:type="fixed"/>
          <w:tblCellMar>
            <w:top w:w="0" w:type="dxa"/>
            <w:left w:w="28" w:type="dxa"/>
            <w:bottom w:w="0" w:type="dxa"/>
            <w:right w:w="28" w:type="dxa"/>
          </w:tblCellMar>
        </w:tblPrEx>
        <w:trPr>
          <w:trHeight w:val="567" w:hRule="exact"/>
        </w:trPr>
        <w:tc>
          <w:tcPr>
            <w:tcW w:w="619" w:type="dxa"/>
            <w:tcBorders>
              <w:top w:val="nil"/>
              <w:left w:val="single" w:color="auto" w:sz="4" w:space="0"/>
              <w:bottom w:val="single" w:color="auto" w:sz="4" w:space="0"/>
              <w:right w:val="single" w:color="auto" w:sz="4" w:space="0"/>
            </w:tcBorders>
            <w:vAlign w:val="center"/>
          </w:tcPr>
          <w:p>
            <w:pPr>
              <w:widowControl/>
              <w:spacing w:line="480" w:lineRule="exact"/>
              <w:jc w:val="center"/>
              <w:rPr>
                <w:sz w:val="28"/>
                <w:szCs w:val="28"/>
              </w:rPr>
            </w:pPr>
            <w:r>
              <w:rPr>
                <w:sz w:val="28"/>
                <w:szCs w:val="28"/>
              </w:rPr>
              <w:t>3</w:t>
            </w:r>
          </w:p>
        </w:tc>
        <w:tc>
          <w:tcPr>
            <w:tcW w:w="3773" w:type="dxa"/>
            <w:tcBorders>
              <w:top w:val="nil"/>
              <w:left w:val="nil"/>
              <w:bottom w:val="single" w:color="auto" w:sz="4" w:space="0"/>
              <w:right w:val="single" w:color="auto" w:sz="4" w:space="0"/>
            </w:tcBorders>
            <w:vAlign w:val="center"/>
          </w:tcPr>
          <w:p>
            <w:pPr>
              <w:widowControl/>
              <w:spacing w:line="480" w:lineRule="exact"/>
              <w:jc w:val="center"/>
              <w:rPr>
                <w:sz w:val="28"/>
                <w:szCs w:val="28"/>
              </w:rPr>
            </w:pPr>
            <w:r>
              <w:rPr>
                <w:sz w:val="28"/>
                <w:szCs w:val="28"/>
              </w:rPr>
              <w:t>新建董家岩高位水池</w:t>
            </w:r>
          </w:p>
        </w:tc>
        <w:tc>
          <w:tcPr>
            <w:tcW w:w="1526" w:type="dxa"/>
            <w:tcBorders>
              <w:top w:val="nil"/>
              <w:left w:val="nil"/>
              <w:bottom w:val="single" w:color="auto" w:sz="4" w:space="0"/>
              <w:right w:val="single" w:color="auto" w:sz="4" w:space="0"/>
            </w:tcBorders>
            <w:vAlign w:val="center"/>
          </w:tcPr>
          <w:p>
            <w:pPr>
              <w:widowControl/>
              <w:spacing w:line="480" w:lineRule="exact"/>
              <w:jc w:val="center"/>
              <w:rPr>
                <w:sz w:val="28"/>
                <w:szCs w:val="28"/>
              </w:rPr>
            </w:pPr>
            <w:r>
              <w:rPr>
                <w:sz w:val="28"/>
                <w:szCs w:val="28"/>
              </w:rPr>
              <w:t>1000立方米</w:t>
            </w:r>
          </w:p>
        </w:tc>
        <w:tc>
          <w:tcPr>
            <w:tcW w:w="1176" w:type="dxa"/>
            <w:tcBorders>
              <w:top w:val="nil"/>
              <w:left w:val="nil"/>
              <w:bottom w:val="single" w:color="auto" w:sz="4" w:space="0"/>
              <w:right w:val="single" w:color="auto" w:sz="4" w:space="0"/>
            </w:tcBorders>
            <w:vAlign w:val="center"/>
          </w:tcPr>
          <w:p>
            <w:pPr>
              <w:widowControl/>
              <w:spacing w:line="480" w:lineRule="exact"/>
              <w:jc w:val="center"/>
              <w:rPr>
                <w:sz w:val="28"/>
                <w:szCs w:val="28"/>
              </w:rPr>
            </w:pPr>
            <w:r>
              <w:rPr>
                <w:sz w:val="28"/>
                <w:szCs w:val="28"/>
              </w:rPr>
              <w:t>近期规划</w:t>
            </w:r>
          </w:p>
        </w:tc>
        <w:tc>
          <w:tcPr>
            <w:tcW w:w="1806" w:type="dxa"/>
            <w:tcBorders>
              <w:top w:val="nil"/>
              <w:left w:val="nil"/>
              <w:bottom w:val="single" w:color="auto" w:sz="4" w:space="0"/>
              <w:right w:val="single" w:color="auto" w:sz="4" w:space="0"/>
            </w:tcBorders>
            <w:vAlign w:val="center"/>
          </w:tcPr>
          <w:p>
            <w:pPr>
              <w:widowControl/>
              <w:spacing w:line="480" w:lineRule="exact"/>
              <w:jc w:val="center"/>
              <w:rPr>
                <w:sz w:val="28"/>
                <w:szCs w:val="28"/>
              </w:rPr>
            </w:pPr>
            <w:r>
              <w:rPr>
                <w:sz w:val="28"/>
                <w:szCs w:val="28"/>
              </w:rPr>
              <w:t>2022</w:t>
            </w:r>
            <w:r>
              <w:rPr>
                <w:rFonts w:hint="eastAsia"/>
                <w:sz w:val="28"/>
                <w:szCs w:val="28"/>
              </w:rPr>
              <w:t>—</w:t>
            </w:r>
            <w:r>
              <w:rPr>
                <w:sz w:val="28"/>
                <w:szCs w:val="28"/>
              </w:rPr>
              <w:t>2025年</w:t>
            </w:r>
          </w:p>
        </w:tc>
      </w:tr>
      <w:tr>
        <w:tblPrEx>
          <w:tblLayout w:type="fixed"/>
          <w:tblCellMar>
            <w:top w:w="0" w:type="dxa"/>
            <w:left w:w="28" w:type="dxa"/>
            <w:bottom w:w="0" w:type="dxa"/>
            <w:right w:w="28" w:type="dxa"/>
          </w:tblCellMar>
        </w:tblPrEx>
        <w:trPr>
          <w:trHeight w:val="567" w:hRule="exact"/>
        </w:trPr>
        <w:tc>
          <w:tcPr>
            <w:tcW w:w="619" w:type="dxa"/>
            <w:tcBorders>
              <w:top w:val="nil"/>
              <w:left w:val="single" w:color="auto" w:sz="4" w:space="0"/>
              <w:bottom w:val="single" w:color="auto" w:sz="4" w:space="0"/>
              <w:right w:val="single" w:color="auto" w:sz="4" w:space="0"/>
            </w:tcBorders>
            <w:vAlign w:val="center"/>
          </w:tcPr>
          <w:p>
            <w:pPr>
              <w:widowControl/>
              <w:spacing w:line="480" w:lineRule="exact"/>
              <w:jc w:val="center"/>
              <w:rPr>
                <w:sz w:val="28"/>
                <w:szCs w:val="28"/>
              </w:rPr>
            </w:pPr>
            <w:r>
              <w:rPr>
                <w:sz w:val="28"/>
                <w:szCs w:val="28"/>
              </w:rPr>
              <w:t>4</w:t>
            </w:r>
          </w:p>
        </w:tc>
        <w:tc>
          <w:tcPr>
            <w:tcW w:w="3773" w:type="dxa"/>
            <w:tcBorders>
              <w:top w:val="nil"/>
              <w:left w:val="nil"/>
              <w:bottom w:val="single" w:color="auto" w:sz="4" w:space="0"/>
              <w:right w:val="single" w:color="auto" w:sz="4" w:space="0"/>
            </w:tcBorders>
            <w:vAlign w:val="center"/>
          </w:tcPr>
          <w:p>
            <w:pPr>
              <w:widowControl/>
              <w:spacing w:line="480" w:lineRule="exact"/>
              <w:jc w:val="center"/>
              <w:rPr>
                <w:sz w:val="28"/>
                <w:szCs w:val="28"/>
              </w:rPr>
            </w:pPr>
            <w:r>
              <w:rPr>
                <w:sz w:val="28"/>
                <w:szCs w:val="28"/>
              </w:rPr>
              <w:t>新建共同片区高位水池</w:t>
            </w:r>
          </w:p>
        </w:tc>
        <w:tc>
          <w:tcPr>
            <w:tcW w:w="1526" w:type="dxa"/>
            <w:tcBorders>
              <w:top w:val="nil"/>
              <w:left w:val="nil"/>
              <w:bottom w:val="single" w:color="auto" w:sz="4" w:space="0"/>
              <w:right w:val="single" w:color="auto" w:sz="4" w:space="0"/>
            </w:tcBorders>
            <w:vAlign w:val="center"/>
          </w:tcPr>
          <w:p>
            <w:pPr>
              <w:widowControl/>
              <w:spacing w:line="480" w:lineRule="exact"/>
              <w:jc w:val="center"/>
              <w:rPr>
                <w:sz w:val="28"/>
                <w:szCs w:val="28"/>
              </w:rPr>
            </w:pPr>
            <w:r>
              <w:rPr>
                <w:sz w:val="28"/>
                <w:szCs w:val="28"/>
              </w:rPr>
              <w:t>2000立方米</w:t>
            </w:r>
          </w:p>
        </w:tc>
        <w:tc>
          <w:tcPr>
            <w:tcW w:w="1176" w:type="dxa"/>
            <w:tcBorders>
              <w:top w:val="nil"/>
              <w:left w:val="nil"/>
              <w:bottom w:val="single" w:color="auto" w:sz="4" w:space="0"/>
              <w:right w:val="single" w:color="auto" w:sz="4" w:space="0"/>
            </w:tcBorders>
            <w:vAlign w:val="center"/>
          </w:tcPr>
          <w:p>
            <w:pPr>
              <w:widowControl/>
              <w:spacing w:line="480" w:lineRule="exact"/>
              <w:jc w:val="center"/>
              <w:rPr>
                <w:sz w:val="28"/>
                <w:szCs w:val="28"/>
              </w:rPr>
            </w:pPr>
            <w:r>
              <w:rPr>
                <w:sz w:val="28"/>
                <w:szCs w:val="28"/>
              </w:rPr>
              <w:t>近期规划</w:t>
            </w:r>
          </w:p>
        </w:tc>
        <w:tc>
          <w:tcPr>
            <w:tcW w:w="1806" w:type="dxa"/>
            <w:tcBorders>
              <w:top w:val="nil"/>
              <w:left w:val="nil"/>
              <w:bottom w:val="single" w:color="auto" w:sz="4" w:space="0"/>
              <w:right w:val="single" w:color="auto" w:sz="4" w:space="0"/>
            </w:tcBorders>
            <w:vAlign w:val="center"/>
          </w:tcPr>
          <w:p>
            <w:pPr>
              <w:widowControl/>
              <w:spacing w:line="480" w:lineRule="exact"/>
              <w:jc w:val="center"/>
              <w:rPr>
                <w:sz w:val="28"/>
                <w:szCs w:val="28"/>
              </w:rPr>
            </w:pPr>
            <w:r>
              <w:rPr>
                <w:sz w:val="28"/>
                <w:szCs w:val="28"/>
              </w:rPr>
              <w:t>2022</w:t>
            </w:r>
            <w:r>
              <w:rPr>
                <w:rFonts w:hint="eastAsia"/>
                <w:sz w:val="28"/>
                <w:szCs w:val="28"/>
              </w:rPr>
              <w:t>—</w:t>
            </w:r>
            <w:r>
              <w:rPr>
                <w:sz w:val="28"/>
                <w:szCs w:val="28"/>
              </w:rPr>
              <w:t>2025年</w:t>
            </w:r>
          </w:p>
        </w:tc>
      </w:tr>
      <w:tr>
        <w:tblPrEx>
          <w:tblLayout w:type="fixed"/>
          <w:tblCellMar>
            <w:top w:w="0" w:type="dxa"/>
            <w:left w:w="28" w:type="dxa"/>
            <w:bottom w:w="0" w:type="dxa"/>
            <w:right w:w="28" w:type="dxa"/>
          </w:tblCellMar>
        </w:tblPrEx>
        <w:trPr>
          <w:trHeight w:val="20" w:hRule="atLeast"/>
        </w:trPr>
        <w:tc>
          <w:tcPr>
            <w:tcW w:w="619" w:type="dxa"/>
            <w:tcBorders>
              <w:top w:val="nil"/>
              <w:left w:val="single" w:color="auto" w:sz="4" w:space="0"/>
              <w:bottom w:val="single" w:color="auto" w:sz="4" w:space="0"/>
              <w:right w:val="single" w:color="auto" w:sz="4" w:space="0"/>
            </w:tcBorders>
            <w:vAlign w:val="center"/>
          </w:tcPr>
          <w:p>
            <w:pPr>
              <w:widowControl/>
              <w:spacing w:line="480" w:lineRule="exact"/>
              <w:jc w:val="center"/>
              <w:rPr>
                <w:sz w:val="28"/>
                <w:szCs w:val="28"/>
              </w:rPr>
            </w:pPr>
            <w:r>
              <w:rPr>
                <w:sz w:val="28"/>
                <w:szCs w:val="28"/>
              </w:rPr>
              <w:t>5</w:t>
            </w:r>
          </w:p>
        </w:tc>
        <w:tc>
          <w:tcPr>
            <w:tcW w:w="3773" w:type="dxa"/>
            <w:tcBorders>
              <w:top w:val="nil"/>
              <w:left w:val="nil"/>
              <w:bottom w:val="single" w:color="auto" w:sz="4" w:space="0"/>
              <w:right w:val="single" w:color="auto" w:sz="4" w:space="0"/>
            </w:tcBorders>
            <w:vAlign w:val="center"/>
          </w:tcPr>
          <w:p>
            <w:pPr>
              <w:widowControl/>
              <w:spacing w:line="480" w:lineRule="exact"/>
              <w:jc w:val="center"/>
              <w:rPr>
                <w:sz w:val="28"/>
                <w:szCs w:val="28"/>
              </w:rPr>
            </w:pPr>
            <w:r>
              <w:rPr>
                <w:sz w:val="28"/>
                <w:szCs w:val="28"/>
              </w:rPr>
              <w:t>鱼栏咀水库至城区水厂备用输水管道工程</w:t>
            </w:r>
          </w:p>
        </w:tc>
        <w:tc>
          <w:tcPr>
            <w:tcW w:w="1526" w:type="dxa"/>
            <w:tcBorders>
              <w:top w:val="nil"/>
              <w:left w:val="nil"/>
              <w:bottom w:val="single" w:color="auto" w:sz="4" w:space="0"/>
              <w:right w:val="single" w:color="auto" w:sz="4" w:space="0"/>
            </w:tcBorders>
            <w:vAlign w:val="center"/>
          </w:tcPr>
          <w:p>
            <w:pPr>
              <w:widowControl/>
              <w:spacing w:line="480" w:lineRule="exact"/>
              <w:jc w:val="center"/>
              <w:rPr>
                <w:sz w:val="28"/>
                <w:szCs w:val="28"/>
              </w:rPr>
            </w:pPr>
            <w:r>
              <w:rPr>
                <w:sz w:val="28"/>
                <w:szCs w:val="28"/>
              </w:rPr>
              <w:t>12000m</w:t>
            </w:r>
          </w:p>
        </w:tc>
        <w:tc>
          <w:tcPr>
            <w:tcW w:w="1176" w:type="dxa"/>
            <w:tcBorders>
              <w:top w:val="nil"/>
              <w:left w:val="nil"/>
              <w:bottom w:val="single" w:color="auto" w:sz="4" w:space="0"/>
              <w:right w:val="single" w:color="auto" w:sz="4" w:space="0"/>
            </w:tcBorders>
            <w:vAlign w:val="center"/>
          </w:tcPr>
          <w:p>
            <w:pPr>
              <w:widowControl/>
              <w:spacing w:line="480" w:lineRule="exact"/>
              <w:jc w:val="center"/>
              <w:rPr>
                <w:sz w:val="28"/>
                <w:szCs w:val="28"/>
              </w:rPr>
            </w:pPr>
            <w:r>
              <w:rPr>
                <w:sz w:val="28"/>
                <w:szCs w:val="28"/>
              </w:rPr>
              <w:t>近期规划</w:t>
            </w:r>
          </w:p>
        </w:tc>
        <w:tc>
          <w:tcPr>
            <w:tcW w:w="1806" w:type="dxa"/>
            <w:tcBorders>
              <w:top w:val="nil"/>
              <w:left w:val="nil"/>
              <w:bottom w:val="single" w:color="auto" w:sz="4" w:space="0"/>
              <w:right w:val="single" w:color="auto" w:sz="4" w:space="0"/>
            </w:tcBorders>
            <w:vAlign w:val="center"/>
          </w:tcPr>
          <w:p>
            <w:pPr>
              <w:widowControl/>
              <w:spacing w:line="480" w:lineRule="exact"/>
              <w:jc w:val="center"/>
              <w:rPr>
                <w:sz w:val="28"/>
                <w:szCs w:val="28"/>
              </w:rPr>
            </w:pPr>
            <w:r>
              <w:rPr>
                <w:sz w:val="28"/>
                <w:szCs w:val="28"/>
              </w:rPr>
              <w:t>2022</w:t>
            </w:r>
            <w:r>
              <w:rPr>
                <w:rFonts w:hint="eastAsia"/>
                <w:sz w:val="28"/>
                <w:szCs w:val="28"/>
              </w:rPr>
              <w:t>—</w:t>
            </w:r>
            <w:r>
              <w:rPr>
                <w:sz w:val="28"/>
                <w:szCs w:val="28"/>
              </w:rPr>
              <w:t>2025年</w:t>
            </w:r>
          </w:p>
        </w:tc>
      </w:tr>
      <w:tr>
        <w:tblPrEx>
          <w:tblLayout w:type="fixed"/>
          <w:tblCellMar>
            <w:top w:w="0" w:type="dxa"/>
            <w:left w:w="28" w:type="dxa"/>
            <w:bottom w:w="0" w:type="dxa"/>
            <w:right w:w="28" w:type="dxa"/>
          </w:tblCellMar>
        </w:tblPrEx>
        <w:trPr>
          <w:trHeight w:val="20" w:hRule="atLeast"/>
        </w:trPr>
        <w:tc>
          <w:tcPr>
            <w:tcW w:w="619" w:type="dxa"/>
            <w:tcBorders>
              <w:top w:val="nil"/>
              <w:left w:val="single" w:color="auto" w:sz="4" w:space="0"/>
              <w:bottom w:val="single" w:color="auto" w:sz="4" w:space="0"/>
              <w:right w:val="single" w:color="auto" w:sz="4" w:space="0"/>
            </w:tcBorders>
            <w:vAlign w:val="center"/>
          </w:tcPr>
          <w:p>
            <w:pPr>
              <w:widowControl/>
              <w:spacing w:line="480" w:lineRule="exact"/>
              <w:jc w:val="center"/>
              <w:rPr>
                <w:sz w:val="28"/>
                <w:szCs w:val="28"/>
              </w:rPr>
            </w:pPr>
            <w:r>
              <w:rPr>
                <w:sz w:val="28"/>
                <w:szCs w:val="28"/>
              </w:rPr>
              <w:t>6</w:t>
            </w:r>
          </w:p>
        </w:tc>
        <w:tc>
          <w:tcPr>
            <w:tcW w:w="3773" w:type="dxa"/>
            <w:tcBorders>
              <w:top w:val="nil"/>
              <w:left w:val="nil"/>
              <w:bottom w:val="single" w:color="auto" w:sz="4" w:space="0"/>
              <w:right w:val="single" w:color="auto" w:sz="4" w:space="0"/>
            </w:tcBorders>
            <w:vAlign w:val="center"/>
          </w:tcPr>
          <w:p>
            <w:pPr>
              <w:widowControl/>
              <w:spacing w:line="480" w:lineRule="exact"/>
              <w:jc w:val="center"/>
              <w:rPr>
                <w:sz w:val="28"/>
                <w:szCs w:val="28"/>
              </w:rPr>
            </w:pPr>
            <w:r>
              <w:rPr>
                <w:sz w:val="28"/>
                <w:szCs w:val="28"/>
              </w:rPr>
              <w:t>珠滩取水口至东部新城水厂引水管道工程</w:t>
            </w:r>
          </w:p>
        </w:tc>
        <w:tc>
          <w:tcPr>
            <w:tcW w:w="1526" w:type="dxa"/>
            <w:tcBorders>
              <w:top w:val="nil"/>
              <w:left w:val="nil"/>
              <w:bottom w:val="single" w:color="auto" w:sz="4" w:space="0"/>
              <w:right w:val="single" w:color="auto" w:sz="4" w:space="0"/>
            </w:tcBorders>
            <w:vAlign w:val="center"/>
          </w:tcPr>
          <w:p>
            <w:pPr>
              <w:widowControl/>
              <w:spacing w:line="480" w:lineRule="exact"/>
              <w:jc w:val="center"/>
              <w:rPr>
                <w:sz w:val="28"/>
                <w:szCs w:val="28"/>
              </w:rPr>
            </w:pPr>
            <w:r>
              <w:rPr>
                <w:sz w:val="28"/>
                <w:szCs w:val="28"/>
              </w:rPr>
              <w:t>20000m</w:t>
            </w:r>
          </w:p>
        </w:tc>
        <w:tc>
          <w:tcPr>
            <w:tcW w:w="1176" w:type="dxa"/>
            <w:tcBorders>
              <w:top w:val="nil"/>
              <w:left w:val="nil"/>
              <w:bottom w:val="single" w:color="auto" w:sz="4" w:space="0"/>
              <w:right w:val="single" w:color="auto" w:sz="4" w:space="0"/>
            </w:tcBorders>
            <w:vAlign w:val="center"/>
          </w:tcPr>
          <w:p>
            <w:pPr>
              <w:widowControl/>
              <w:spacing w:line="480" w:lineRule="exact"/>
              <w:jc w:val="center"/>
              <w:rPr>
                <w:sz w:val="28"/>
                <w:szCs w:val="28"/>
              </w:rPr>
            </w:pPr>
            <w:r>
              <w:rPr>
                <w:sz w:val="28"/>
                <w:szCs w:val="28"/>
              </w:rPr>
              <w:t>近期规划</w:t>
            </w:r>
          </w:p>
        </w:tc>
        <w:tc>
          <w:tcPr>
            <w:tcW w:w="1806" w:type="dxa"/>
            <w:tcBorders>
              <w:top w:val="nil"/>
              <w:left w:val="nil"/>
              <w:bottom w:val="single" w:color="auto" w:sz="4" w:space="0"/>
              <w:right w:val="single" w:color="auto" w:sz="4" w:space="0"/>
            </w:tcBorders>
            <w:vAlign w:val="center"/>
          </w:tcPr>
          <w:p>
            <w:pPr>
              <w:widowControl/>
              <w:spacing w:line="480" w:lineRule="exact"/>
              <w:jc w:val="center"/>
              <w:rPr>
                <w:sz w:val="28"/>
                <w:szCs w:val="28"/>
              </w:rPr>
            </w:pPr>
            <w:r>
              <w:rPr>
                <w:sz w:val="28"/>
                <w:szCs w:val="28"/>
              </w:rPr>
              <w:t>2022</w:t>
            </w:r>
            <w:r>
              <w:rPr>
                <w:rFonts w:hint="eastAsia"/>
                <w:sz w:val="28"/>
                <w:szCs w:val="28"/>
              </w:rPr>
              <w:t>—</w:t>
            </w:r>
            <w:r>
              <w:rPr>
                <w:sz w:val="28"/>
                <w:szCs w:val="28"/>
              </w:rPr>
              <w:t>2025年</w:t>
            </w:r>
          </w:p>
        </w:tc>
      </w:tr>
    </w:tbl>
    <w:p>
      <w:pPr>
        <w:spacing w:line="576" w:lineRule="exact"/>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7"/>
        <w:keepNext/>
        <w:spacing w:line="576" w:lineRule="exact"/>
        <w:rPr>
          <w:rFonts w:hint="eastAsia" w:ascii="Times New Roman" w:hAnsi="Times New Roman" w:eastAsia="方正黑体_GBK" w:cs="Times New Roman"/>
          <w:sz w:val="32"/>
          <w:szCs w:val="32"/>
          <w:lang w:val="en-US" w:eastAsia="zh-CN" w:bidi="ar"/>
        </w:rPr>
      </w:pPr>
      <w:bookmarkStart w:id="407" w:name="_Ref113970155"/>
      <w:bookmarkStart w:id="408" w:name="_Toc156308093"/>
      <w:bookmarkStart w:id="409" w:name="_Toc158043574"/>
      <w:r>
        <w:rPr>
          <w:rFonts w:hint="default" w:ascii="Times New Roman" w:hAnsi="Times New Roman" w:eastAsia="方正黑体_GBK" w:cs="Times New Roman"/>
          <w:sz w:val="32"/>
          <w:szCs w:val="32"/>
          <w:lang w:bidi="ar"/>
        </w:rPr>
        <w:t>附表</w:t>
      </w:r>
      <w:bookmarkEnd w:id="407"/>
      <w:r>
        <w:rPr>
          <w:rFonts w:hint="eastAsia" w:ascii="Times New Roman" w:hAnsi="Times New Roman" w:eastAsia="方正黑体_GBK" w:cs="Times New Roman"/>
          <w:sz w:val="32"/>
          <w:szCs w:val="32"/>
          <w:lang w:val="en-US" w:eastAsia="zh-CN" w:bidi="ar"/>
        </w:rPr>
        <w:t>17</w:t>
      </w:r>
    </w:p>
    <w:p>
      <w:pPr>
        <w:pStyle w:val="7"/>
        <w:keepNext/>
        <w:spacing w:line="576" w:lineRule="exact"/>
        <w:jc w:val="center"/>
        <w:rPr>
          <w:rFonts w:hint="default" w:ascii="Times New Roman" w:hAnsi="Times New Roman" w:eastAsia="方正黑体_GBK" w:cs="Times New Roman"/>
          <w:sz w:val="32"/>
          <w:szCs w:val="32"/>
          <w:lang w:bidi="ar"/>
        </w:rPr>
      </w:pPr>
      <w:r>
        <w:rPr>
          <w:rFonts w:hint="default" w:ascii="Times New Roman" w:hAnsi="Times New Roman" w:eastAsia="方正黑体_GBK" w:cs="Times New Roman"/>
          <w:sz w:val="32"/>
          <w:szCs w:val="32"/>
          <w:lang w:bidi="ar"/>
        </w:rPr>
        <w:t>綦江中心城区近期应急避难场所对口消防站一览表</w:t>
      </w:r>
      <w:bookmarkEnd w:id="408"/>
      <w:bookmarkEnd w:id="409"/>
    </w:p>
    <w:p>
      <w:pPr>
        <w:rPr>
          <w:rFonts w:hint="default"/>
        </w:rPr>
      </w:pPr>
    </w:p>
    <w:tbl>
      <w:tblPr>
        <w:tblStyle w:val="18"/>
        <w:tblW w:w="8854" w:type="dxa"/>
        <w:tblInd w:w="11" w:type="dxa"/>
        <w:tblLayout w:type="fixed"/>
        <w:tblCellMar>
          <w:top w:w="0" w:type="dxa"/>
          <w:left w:w="0" w:type="dxa"/>
          <w:bottom w:w="0" w:type="dxa"/>
          <w:right w:w="0" w:type="dxa"/>
        </w:tblCellMar>
      </w:tblPr>
      <w:tblGrid>
        <w:gridCol w:w="613"/>
        <w:gridCol w:w="2433"/>
        <w:gridCol w:w="2047"/>
        <w:gridCol w:w="3761"/>
      </w:tblGrid>
      <w:tr>
        <w:tblPrEx>
          <w:tblLayout w:type="fixed"/>
          <w:tblCellMar>
            <w:top w:w="0" w:type="dxa"/>
            <w:left w:w="0" w:type="dxa"/>
            <w:bottom w:w="0" w:type="dxa"/>
            <w:right w:w="0" w:type="dxa"/>
          </w:tblCellMar>
        </w:tblPrEx>
        <w:trPr>
          <w:trHeight w:val="285" w:hRule="atLeast"/>
          <w:tblHeader/>
        </w:trPr>
        <w:tc>
          <w:tcPr>
            <w:tcW w:w="613" w:type="dxa"/>
            <w:tcBorders>
              <w:top w:val="single" w:color="auto" w:sz="4" w:space="0"/>
              <w:left w:val="single" w:color="auto" w:sz="4" w:space="0"/>
              <w:bottom w:val="single" w:color="auto" w:sz="4" w:space="0"/>
              <w:right w:val="single" w:color="auto" w:sz="4" w:space="0"/>
            </w:tcBorders>
          </w:tcPr>
          <w:p>
            <w:pPr>
              <w:widowControl/>
              <w:spacing w:line="480" w:lineRule="exact"/>
              <w:jc w:val="center"/>
              <w:textAlignment w:val="center"/>
              <w:rPr>
                <w:rFonts w:hint="eastAsia" w:ascii="方正黑体_GBK" w:hAnsi="方正黑体_GBK" w:eastAsia="方正黑体_GBK" w:cs="方正黑体_GBK"/>
                <w:b w:val="0"/>
                <w:bCs w:val="0"/>
                <w:kern w:val="0"/>
                <w:sz w:val="28"/>
                <w:szCs w:val="28"/>
                <w:lang w:bidi="ar"/>
              </w:rPr>
            </w:pPr>
            <w:r>
              <w:rPr>
                <w:rFonts w:hint="eastAsia" w:ascii="方正黑体_GBK" w:hAnsi="方正黑体_GBK" w:eastAsia="方正黑体_GBK" w:cs="方正黑体_GBK"/>
                <w:b w:val="0"/>
                <w:bCs w:val="0"/>
                <w:kern w:val="0"/>
                <w:sz w:val="28"/>
                <w:szCs w:val="28"/>
                <w:lang w:bidi="ar"/>
              </w:rPr>
              <w:t>序号</w:t>
            </w:r>
          </w:p>
        </w:tc>
        <w:tc>
          <w:tcPr>
            <w:tcW w:w="24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80" w:lineRule="exact"/>
              <w:jc w:val="center"/>
              <w:textAlignment w:val="center"/>
              <w:rPr>
                <w:rFonts w:hint="eastAsia" w:ascii="方正黑体_GBK" w:hAnsi="方正黑体_GBK" w:eastAsia="方正黑体_GBK" w:cs="方正黑体_GBK"/>
                <w:b w:val="0"/>
                <w:bCs w:val="0"/>
                <w:sz w:val="28"/>
                <w:szCs w:val="28"/>
              </w:rPr>
            </w:pPr>
            <w:bookmarkStart w:id="410" w:name="_Hlk113973810"/>
            <w:r>
              <w:rPr>
                <w:rFonts w:hint="eastAsia" w:ascii="方正黑体_GBK" w:hAnsi="方正黑体_GBK" w:eastAsia="方正黑体_GBK" w:cs="方正黑体_GBK"/>
                <w:b w:val="0"/>
                <w:bCs w:val="0"/>
                <w:kern w:val="0"/>
                <w:sz w:val="28"/>
                <w:szCs w:val="28"/>
                <w:lang w:bidi="ar"/>
              </w:rPr>
              <w:t>类别</w:t>
            </w:r>
          </w:p>
        </w:tc>
        <w:tc>
          <w:tcPr>
            <w:tcW w:w="2047"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center"/>
              <w:textAlignment w:val="center"/>
              <w:rPr>
                <w:rFonts w:hint="eastAsia" w:ascii="方正黑体_GBK" w:hAnsi="方正黑体_GBK" w:eastAsia="方正黑体_GBK" w:cs="方正黑体_GBK"/>
                <w:b w:val="0"/>
                <w:bCs w:val="0"/>
                <w:sz w:val="28"/>
                <w:szCs w:val="28"/>
              </w:rPr>
            </w:pPr>
            <w:r>
              <w:rPr>
                <w:rFonts w:hint="eastAsia" w:ascii="方正黑体_GBK" w:hAnsi="方正黑体_GBK" w:eastAsia="方正黑体_GBK" w:cs="方正黑体_GBK"/>
                <w:b w:val="0"/>
                <w:bCs w:val="0"/>
                <w:color w:val="000000"/>
                <w:kern w:val="0"/>
                <w:sz w:val="28"/>
                <w:szCs w:val="28"/>
              </w:rPr>
              <w:t>避难场所类别</w:t>
            </w:r>
          </w:p>
        </w:tc>
        <w:tc>
          <w:tcPr>
            <w:tcW w:w="3761" w:type="dxa"/>
            <w:tcBorders>
              <w:top w:val="single" w:color="auto" w:sz="4" w:space="0"/>
              <w:left w:val="nil"/>
              <w:bottom w:val="single" w:color="auto" w:sz="4" w:space="0"/>
              <w:right w:val="single" w:color="auto" w:sz="4" w:space="0"/>
            </w:tcBorders>
            <w:shd w:val="clear" w:color="auto" w:fill="auto"/>
            <w:vAlign w:val="center"/>
          </w:tcPr>
          <w:p>
            <w:pPr>
              <w:widowControl/>
              <w:spacing w:line="480" w:lineRule="exact"/>
              <w:jc w:val="center"/>
              <w:textAlignment w:val="center"/>
              <w:rPr>
                <w:rFonts w:hint="eastAsia" w:ascii="方正黑体_GBK" w:hAnsi="方正黑体_GBK" w:eastAsia="方正黑体_GBK" w:cs="方正黑体_GBK"/>
                <w:b w:val="0"/>
                <w:bCs w:val="0"/>
                <w:sz w:val="28"/>
                <w:szCs w:val="28"/>
              </w:rPr>
            </w:pPr>
            <w:r>
              <w:rPr>
                <w:rFonts w:hint="eastAsia" w:ascii="方正黑体_GBK" w:hAnsi="方正黑体_GBK" w:eastAsia="方正黑体_GBK" w:cs="方正黑体_GBK"/>
                <w:b w:val="0"/>
                <w:bCs w:val="0"/>
                <w:kern w:val="0"/>
                <w:sz w:val="28"/>
                <w:szCs w:val="28"/>
                <w:lang w:bidi="ar"/>
              </w:rPr>
              <w:t>消防站名称</w:t>
            </w:r>
          </w:p>
        </w:tc>
      </w:tr>
      <w:tr>
        <w:tblPrEx>
          <w:tblLayout w:type="fixed"/>
          <w:tblCellMar>
            <w:top w:w="0" w:type="dxa"/>
            <w:left w:w="0" w:type="dxa"/>
            <w:bottom w:w="0" w:type="dxa"/>
            <w:right w:w="0" w:type="dxa"/>
          </w:tblCellMar>
        </w:tblPrEx>
        <w:trPr>
          <w:trHeight w:val="567" w:hRule="exact"/>
        </w:trPr>
        <w:tc>
          <w:tcPr>
            <w:tcW w:w="613" w:type="dxa"/>
            <w:tcBorders>
              <w:top w:val="single" w:color="auto" w:sz="4" w:space="0"/>
              <w:left w:val="single" w:color="auto" w:sz="4" w:space="0"/>
              <w:bottom w:val="single" w:color="auto" w:sz="4" w:space="0"/>
              <w:right w:val="single" w:color="auto" w:sz="4" w:space="0"/>
            </w:tcBorders>
          </w:tcPr>
          <w:p>
            <w:pPr>
              <w:widowControl/>
              <w:spacing w:line="480" w:lineRule="exact"/>
              <w:jc w:val="center"/>
              <w:textAlignment w:val="center"/>
              <w:rPr>
                <w:kern w:val="0"/>
                <w:sz w:val="28"/>
                <w:szCs w:val="28"/>
                <w:lang w:bidi="ar"/>
              </w:rPr>
            </w:pPr>
            <w:r>
              <w:rPr>
                <w:kern w:val="0"/>
                <w:sz w:val="28"/>
                <w:szCs w:val="28"/>
                <w:lang w:bidi="ar"/>
              </w:rPr>
              <w:t>1</w:t>
            </w:r>
          </w:p>
        </w:tc>
        <w:tc>
          <w:tcPr>
            <w:tcW w:w="24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80" w:lineRule="exact"/>
              <w:jc w:val="center"/>
              <w:textAlignment w:val="center"/>
              <w:rPr>
                <w:sz w:val="28"/>
                <w:szCs w:val="28"/>
              </w:rPr>
            </w:pPr>
            <w:r>
              <w:rPr>
                <w:bCs/>
                <w:kern w:val="44"/>
                <w:sz w:val="28"/>
                <w:szCs w:val="28"/>
              </w:rPr>
              <w:t>外语外事学院</w:t>
            </w:r>
          </w:p>
        </w:tc>
        <w:tc>
          <w:tcPr>
            <w:tcW w:w="2047" w:type="dxa"/>
            <w:tcBorders>
              <w:top w:val="nil"/>
              <w:left w:val="nil"/>
              <w:bottom w:val="single" w:color="auto" w:sz="4" w:space="0"/>
              <w:right w:val="single" w:color="auto" w:sz="4" w:space="0"/>
            </w:tcBorders>
            <w:shd w:val="clear" w:color="auto" w:fill="auto"/>
            <w:vAlign w:val="center"/>
          </w:tcPr>
          <w:p>
            <w:pPr>
              <w:widowControl/>
              <w:spacing w:line="480" w:lineRule="exact"/>
              <w:jc w:val="center"/>
              <w:textAlignment w:val="center"/>
              <w:rPr>
                <w:sz w:val="28"/>
                <w:szCs w:val="28"/>
              </w:rPr>
            </w:pPr>
            <w:r>
              <w:rPr>
                <w:kern w:val="0"/>
                <w:sz w:val="28"/>
                <w:szCs w:val="28"/>
              </w:rPr>
              <w:t>中长期</w:t>
            </w:r>
          </w:p>
        </w:tc>
        <w:tc>
          <w:tcPr>
            <w:tcW w:w="3761" w:type="dxa"/>
            <w:tcBorders>
              <w:top w:val="nil"/>
              <w:left w:val="nil"/>
              <w:bottom w:val="single" w:color="auto" w:sz="4" w:space="0"/>
              <w:right w:val="single" w:color="auto" w:sz="4" w:space="0"/>
            </w:tcBorders>
            <w:shd w:val="clear" w:color="auto" w:fill="auto"/>
            <w:vAlign w:val="center"/>
          </w:tcPr>
          <w:p>
            <w:pPr>
              <w:widowControl/>
              <w:spacing w:line="480" w:lineRule="exact"/>
              <w:jc w:val="center"/>
              <w:textAlignment w:val="center"/>
              <w:rPr>
                <w:sz w:val="28"/>
                <w:szCs w:val="28"/>
              </w:rPr>
            </w:pPr>
            <w:r>
              <w:rPr>
                <w:kern w:val="0"/>
                <w:sz w:val="28"/>
                <w:szCs w:val="28"/>
                <w:lang w:bidi="ar"/>
              </w:rPr>
              <w:t>通惠消防救援站</w:t>
            </w:r>
          </w:p>
        </w:tc>
      </w:tr>
      <w:tr>
        <w:tblPrEx>
          <w:tblLayout w:type="fixed"/>
          <w:tblCellMar>
            <w:top w:w="0" w:type="dxa"/>
            <w:left w:w="0" w:type="dxa"/>
            <w:bottom w:w="0" w:type="dxa"/>
            <w:right w:w="0" w:type="dxa"/>
          </w:tblCellMar>
        </w:tblPrEx>
        <w:trPr>
          <w:trHeight w:val="567" w:hRule="exact"/>
        </w:trPr>
        <w:tc>
          <w:tcPr>
            <w:tcW w:w="613" w:type="dxa"/>
            <w:tcBorders>
              <w:top w:val="single" w:color="auto" w:sz="4" w:space="0"/>
              <w:left w:val="single" w:color="auto" w:sz="4" w:space="0"/>
              <w:bottom w:val="single" w:color="auto" w:sz="4" w:space="0"/>
              <w:right w:val="single" w:color="auto" w:sz="4" w:space="0"/>
            </w:tcBorders>
          </w:tcPr>
          <w:p>
            <w:pPr>
              <w:spacing w:line="480" w:lineRule="exact"/>
              <w:jc w:val="center"/>
              <w:rPr>
                <w:sz w:val="28"/>
                <w:szCs w:val="28"/>
              </w:rPr>
            </w:pPr>
            <w:r>
              <w:rPr>
                <w:kern w:val="0"/>
                <w:sz w:val="28"/>
                <w:szCs w:val="28"/>
                <w:lang w:bidi="ar"/>
              </w:rPr>
              <w:t>2</w:t>
            </w:r>
          </w:p>
        </w:tc>
        <w:tc>
          <w:tcPr>
            <w:tcW w:w="243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80" w:lineRule="exact"/>
              <w:jc w:val="center"/>
              <w:textAlignment w:val="center"/>
              <w:rPr>
                <w:sz w:val="28"/>
                <w:szCs w:val="28"/>
              </w:rPr>
            </w:pPr>
            <w:r>
              <w:rPr>
                <w:bCs/>
                <w:kern w:val="44"/>
                <w:sz w:val="28"/>
                <w:szCs w:val="28"/>
              </w:rPr>
              <w:t>綦江体育中心</w:t>
            </w:r>
          </w:p>
        </w:tc>
        <w:tc>
          <w:tcPr>
            <w:tcW w:w="2047" w:type="dxa"/>
            <w:tcBorders>
              <w:top w:val="nil"/>
              <w:left w:val="nil"/>
              <w:bottom w:val="single" w:color="auto" w:sz="4" w:space="0"/>
              <w:right w:val="single" w:color="auto" w:sz="4" w:space="0"/>
            </w:tcBorders>
            <w:shd w:val="clear" w:color="auto" w:fill="auto"/>
            <w:vAlign w:val="center"/>
          </w:tcPr>
          <w:p>
            <w:pPr>
              <w:widowControl/>
              <w:spacing w:line="480" w:lineRule="exact"/>
              <w:jc w:val="center"/>
              <w:textAlignment w:val="center"/>
              <w:rPr>
                <w:sz w:val="28"/>
                <w:szCs w:val="28"/>
              </w:rPr>
            </w:pPr>
            <w:r>
              <w:rPr>
                <w:kern w:val="0"/>
                <w:sz w:val="28"/>
                <w:szCs w:val="28"/>
              </w:rPr>
              <w:t>短期</w:t>
            </w:r>
          </w:p>
        </w:tc>
        <w:tc>
          <w:tcPr>
            <w:tcW w:w="3761" w:type="dxa"/>
            <w:tcBorders>
              <w:top w:val="nil"/>
              <w:left w:val="nil"/>
              <w:bottom w:val="single" w:color="auto" w:sz="4" w:space="0"/>
              <w:right w:val="single" w:color="auto" w:sz="4" w:space="0"/>
            </w:tcBorders>
            <w:shd w:val="clear" w:color="auto" w:fill="auto"/>
            <w:vAlign w:val="center"/>
          </w:tcPr>
          <w:p>
            <w:pPr>
              <w:widowControl/>
              <w:spacing w:line="480" w:lineRule="exact"/>
              <w:jc w:val="center"/>
              <w:textAlignment w:val="center"/>
              <w:rPr>
                <w:sz w:val="28"/>
                <w:szCs w:val="28"/>
              </w:rPr>
            </w:pPr>
            <w:r>
              <w:rPr>
                <w:kern w:val="0"/>
                <w:sz w:val="28"/>
                <w:szCs w:val="28"/>
                <w:lang w:bidi="ar"/>
              </w:rPr>
              <w:t>通惠消防救援站</w:t>
            </w:r>
          </w:p>
        </w:tc>
      </w:tr>
      <w:tr>
        <w:tblPrEx>
          <w:tblLayout w:type="fixed"/>
          <w:tblCellMar>
            <w:top w:w="0" w:type="dxa"/>
            <w:left w:w="0" w:type="dxa"/>
            <w:bottom w:w="0" w:type="dxa"/>
            <w:right w:w="0" w:type="dxa"/>
          </w:tblCellMar>
        </w:tblPrEx>
        <w:trPr>
          <w:trHeight w:val="567" w:hRule="exact"/>
        </w:trPr>
        <w:tc>
          <w:tcPr>
            <w:tcW w:w="613" w:type="dxa"/>
            <w:tcBorders>
              <w:top w:val="single" w:color="auto" w:sz="4" w:space="0"/>
              <w:left w:val="single" w:color="auto" w:sz="4" w:space="0"/>
              <w:bottom w:val="single" w:color="auto" w:sz="4" w:space="0"/>
              <w:right w:val="single" w:color="auto" w:sz="4" w:space="0"/>
            </w:tcBorders>
          </w:tcPr>
          <w:p>
            <w:pPr>
              <w:spacing w:line="480" w:lineRule="exact"/>
              <w:jc w:val="center"/>
              <w:rPr>
                <w:sz w:val="28"/>
                <w:szCs w:val="28"/>
              </w:rPr>
            </w:pPr>
            <w:r>
              <w:rPr>
                <w:sz w:val="28"/>
                <w:szCs w:val="28"/>
              </w:rPr>
              <w:t>3</w:t>
            </w:r>
          </w:p>
        </w:tc>
        <w:tc>
          <w:tcPr>
            <w:tcW w:w="243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80" w:lineRule="exact"/>
              <w:jc w:val="center"/>
              <w:textAlignment w:val="center"/>
              <w:rPr>
                <w:sz w:val="28"/>
                <w:szCs w:val="28"/>
              </w:rPr>
            </w:pPr>
            <w:r>
              <w:rPr>
                <w:bCs/>
                <w:kern w:val="44"/>
                <w:sz w:val="28"/>
                <w:szCs w:val="28"/>
              </w:rPr>
              <w:t>南州中学</w:t>
            </w:r>
          </w:p>
        </w:tc>
        <w:tc>
          <w:tcPr>
            <w:tcW w:w="2047" w:type="dxa"/>
            <w:tcBorders>
              <w:top w:val="nil"/>
              <w:left w:val="nil"/>
              <w:bottom w:val="single" w:color="auto" w:sz="4" w:space="0"/>
              <w:right w:val="single" w:color="auto" w:sz="4" w:space="0"/>
            </w:tcBorders>
            <w:shd w:val="clear" w:color="auto" w:fill="auto"/>
            <w:vAlign w:val="center"/>
          </w:tcPr>
          <w:p>
            <w:pPr>
              <w:widowControl/>
              <w:spacing w:line="480" w:lineRule="exact"/>
              <w:jc w:val="center"/>
              <w:textAlignment w:val="center"/>
              <w:rPr>
                <w:sz w:val="28"/>
                <w:szCs w:val="28"/>
              </w:rPr>
            </w:pPr>
            <w:r>
              <w:rPr>
                <w:kern w:val="0"/>
                <w:sz w:val="28"/>
                <w:szCs w:val="28"/>
              </w:rPr>
              <w:t>短期</w:t>
            </w:r>
          </w:p>
        </w:tc>
        <w:tc>
          <w:tcPr>
            <w:tcW w:w="3761" w:type="dxa"/>
            <w:tcBorders>
              <w:top w:val="nil"/>
              <w:left w:val="nil"/>
              <w:bottom w:val="single" w:color="auto" w:sz="4" w:space="0"/>
              <w:right w:val="single" w:color="auto" w:sz="4" w:space="0"/>
            </w:tcBorders>
            <w:shd w:val="clear" w:color="auto" w:fill="auto"/>
            <w:vAlign w:val="center"/>
          </w:tcPr>
          <w:p>
            <w:pPr>
              <w:widowControl/>
              <w:spacing w:line="480" w:lineRule="exact"/>
              <w:jc w:val="center"/>
              <w:textAlignment w:val="center"/>
              <w:rPr>
                <w:sz w:val="28"/>
                <w:szCs w:val="28"/>
              </w:rPr>
            </w:pPr>
            <w:r>
              <w:rPr>
                <w:kern w:val="0"/>
                <w:sz w:val="28"/>
                <w:szCs w:val="28"/>
                <w:lang w:bidi="ar"/>
              </w:rPr>
              <w:t>九龙消防救援站</w:t>
            </w:r>
          </w:p>
        </w:tc>
      </w:tr>
      <w:tr>
        <w:tblPrEx>
          <w:tblLayout w:type="fixed"/>
          <w:tblCellMar>
            <w:top w:w="0" w:type="dxa"/>
            <w:left w:w="0" w:type="dxa"/>
            <w:bottom w:w="0" w:type="dxa"/>
            <w:right w:w="0" w:type="dxa"/>
          </w:tblCellMar>
        </w:tblPrEx>
        <w:trPr>
          <w:trHeight w:val="567" w:hRule="exact"/>
        </w:trPr>
        <w:tc>
          <w:tcPr>
            <w:tcW w:w="613" w:type="dxa"/>
            <w:tcBorders>
              <w:top w:val="single" w:color="auto" w:sz="4" w:space="0"/>
              <w:left w:val="single" w:color="auto" w:sz="4" w:space="0"/>
              <w:bottom w:val="single" w:color="auto" w:sz="4" w:space="0"/>
              <w:right w:val="single" w:color="auto" w:sz="4" w:space="0"/>
            </w:tcBorders>
          </w:tcPr>
          <w:p>
            <w:pPr>
              <w:spacing w:line="480" w:lineRule="exact"/>
              <w:jc w:val="center"/>
              <w:textAlignment w:val="center"/>
              <w:rPr>
                <w:kern w:val="0"/>
                <w:sz w:val="28"/>
                <w:szCs w:val="28"/>
                <w:lang w:bidi="ar"/>
              </w:rPr>
            </w:pPr>
            <w:r>
              <w:rPr>
                <w:sz w:val="28"/>
                <w:szCs w:val="28"/>
              </w:rPr>
              <w:t>4</w:t>
            </w:r>
          </w:p>
        </w:tc>
        <w:tc>
          <w:tcPr>
            <w:tcW w:w="243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80" w:lineRule="exact"/>
              <w:jc w:val="center"/>
              <w:textAlignment w:val="center"/>
              <w:rPr>
                <w:sz w:val="28"/>
                <w:szCs w:val="28"/>
              </w:rPr>
            </w:pPr>
            <w:r>
              <w:rPr>
                <w:bCs/>
                <w:kern w:val="44"/>
                <w:sz w:val="28"/>
                <w:szCs w:val="28"/>
              </w:rPr>
              <w:t>营盘山公园</w:t>
            </w:r>
          </w:p>
        </w:tc>
        <w:tc>
          <w:tcPr>
            <w:tcW w:w="2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80" w:lineRule="exact"/>
              <w:jc w:val="center"/>
              <w:textAlignment w:val="center"/>
              <w:rPr>
                <w:kern w:val="0"/>
                <w:sz w:val="28"/>
                <w:szCs w:val="28"/>
                <w:lang w:bidi="ar"/>
              </w:rPr>
            </w:pPr>
            <w:r>
              <w:rPr>
                <w:kern w:val="0"/>
                <w:sz w:val="28"/>
                <w:szCs w:val="28"/>
              </w:rPr>
              <w:t>短期</w:t>
            </w:r>
          </w:p>
        </w:tc>
        <w:tc>
          <w:tcPr>
            <w:tcW w:w="3761" w:type="dxa"/>
            <w:tcBorders>
              <w:top w:val="single" w:color="auto" w:sz="4" w:space="0"/>
              <w:left w:val="nil"/>
              <w:bottom w:val="single" w:color="auto" w:sz="4" w:space="0"/>
              <w:right w:val="single" w:color="auto" w:sz="4" w:space="0"/>
            </w:tcBorders>
            <w:shd w:val="clear" w:color="auto" w:fill="auto"/>
            <w:vAlign w:val="center"/>
          </w:tcPr>
          <w:p>
            <w:pPr>
              <w:spacing w:line="480" w:lineRule="exact"/>
              <w:jc w:val="center"/>
              <w:textAlignment w:val="center"/>
              <w:rPr>
                <w:kern w:val="0"/>
                <w:sz w:val="28"/>
                <w:szCs w:val="28"/>
                <w:lang w:bidi="ar"/>
              </w:rPr>
            </w:pPr>
            <w:r>
              <w:rPr>
                <w:kern w:val="0"/>
                <w:sz w:val="28"/>
                <w:szCs w:val="28"/>
                <w:lang w:bidi="ar"/>
              </w:rPr>
              <w:t>九龙消防救援站</w:t>
            </w:r>
          </w:p>
        </w:tc>
      </w:tr>
      <w:tr>
        <w:tblPrEx>
          <w:tblLayout w:type="fixed"/>
          <w:tblCellMar>
            <w:top w:w="0" w:type="dxa"/>
            <w:left w:w="0" w:type="dxa"/>
            <w:bottom w:w="0" w:type="dxa"/>
            <w:right w:w="0" w:type="dxa"/>
          </w:tblCellMar>
        </w:tblPrEx>
        <w:trPr>
          <w:trHeight w:val="567" w:hRule="exact"/>
        </w:trPr>
        <w:tc>
          <w:tcPr>
            <w:tcW w:w="613" w:type="dxa"/>
            <w:tcBorders>
              <w:top w:val="single" w:color="auto" w:sz="4" w:space="0"/>
              <w:left w:val="single" w:color="auto" w:sz="4" w:space="0"/>
              <w:bottom w:val="single" w:color="auto" w:sz="4" w:space="0"/>
              <w:right w:val="single" w:color="auto" w:sz="4" w:space="0"/>
            </w:tcBorders>
          </w:tcPr>
          <w:p>
            <w:pPr>
              <w:widowControl/>
              <w:spacing w:line="480" w:lineRule="exact"/>
              <w:jc w:val="center"/>
              <w:textAlignment w:val="center"/>
              <w:rPr>
                <w:sz w:val="28"/>
                <w:szCs w:val="28"/>
              </w:rPr>
            </w:pPr>
            <w:r>
              <w:rPr>
                <w:sz w:val="28"/>
                <w:szCs w:val="28"/>
              </w:rPr>
              <w:t>5</w:t>
            </w:r>
          </w:p>
        </w:tc>
        <w:tc>
          <w:tcPr>
            <w:tcW w:w="24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80" w:lineRule="exact"/>
              <w:jc w:val="center"/>
              <w:textAlignment w:val="center"/>
              <w:rPr>
                <w:sz w:val="28"/>
                <w:szCs w:val="28"/>
              </w:rPr>
            </w:pPr>
            <w:r>
              <w:rPr>
                <w:bCs/>
                <w:kern w:val="44"/>
                <w:sz w:val="28"/>
                <w:szCs w:val="28"/>
              </w:rPr>
              <w:t>綦江实验中学</w:t>
            </w:r>
          </w:p>
        </w:tc>
        <w:tc>
          <w:tcPr>
            <w:tcW w:w="2047"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textAlignment w:val="center"/>
              <w:rPr>
                <w:kern w:val="0"/>
                <w:sz w:val="28"/>
                <w:szCs w:val="28"/>
                <w:lang w:bidi="ar"/>
              </w:rPr>
            </w:pPr>
            <w:r>
              <w:rPr>
                <w:kern w:val="0"/>
                <w:sz w:val="28"/>
                <w:szCs w:val="28"/>
              </w:rPr>
              <w:t>短期</w:t>
            </w:r>
          </w:p>
        </w:tc>
        <w:tc>
          <w:tcPr>
            <w:tcW w:w="3761" w:type="dxa"/>
            <w:tcBorders>
              <w:top w:val="nil"/>
              <w:left w:val="nil"/>
              <w:bottom w:val="single" w:color="auto" w:sz="4" w:space="0"/>
              <w:right w:val="single" w:color="auto" w:sz="4" w:space="0"/>
            </w:tcBorders>
            <w:shd w:val="clear" w:color="auto" w:fill="auto"/>
            <w:vAlign w:val="center"/>
          </w:tcPr>
          <w:p>
            <w:pPr>
              <w:widowControl/>
              <w:spacing w:line="480" w:lineRule="exact"/>
              <w:jc w:val="center"/>
              <w:textAlignment w:val="center"/>
              <w:rPr>
                <w:kern w:val="0"/>
                <w:sz w:val="28"/>
                <w:szCs w:val="28"/>
                <w:lang w:bidi="ar"/>
              </w:rPr>
            </w:pPr>
            <w:r>
              <w:rPr>
                <w:kern w:val="0"/>
                <w:sz w:val="28"/>
                <w:szCs w:val="28"/>
                <w:lang w:bidi="ar"/>
              </w:rPr>
              <w:t>桥河消防救援站</w:t>
            </w:r>
          </w:p>
        </w:tc>
      </w:tr>
      <w:tr>
        <w:tblPrEx>
          <w:tblLayout w:type="fixed"/>
          <w:tblCellMar>
            <w:top w:w="0" w:type="dxa"/>
            <w:left w:w="0" w:type="dxa"/>
            <w:bottom w:w="0" w:type="dxa"/>
            <w:right w:w="0" w:type="dxa"/>
          </w:tblCellMar>
        </w:tblPrEx>
        <w:trPr>
          <w:trHeight w:val="567" w:hRule="exact"/>
        </w:trPr>
        <w:tc>
          <w:tcPr>
            <w:tcW w:w="613" w:type="dxa"/>
            <w:tcBorders>
              <w:top w:val="single" w:color="auto" w:sz="4" w:space="0"/>
              <w:left w:val="single" w:color="auto" w:sz="4" w:space="0"/>
              <w:bottom w:val="single" w:color="auto" w:sz="4" w:space="0"/>
              <w:right w:val="single" w:color="auto" w:sz="4" w:space="0"/>
            </w:tcBorders>
          </w:tcPr>
          <w:p>
            <w:pPr>
              <w:spacing w:line="480" w:lineRule="exact"/>
              <w:jc w:val="center"/>
              <w:rPr>
                <w:sz w:val="28"/>
                <w:szCs w:val="28"/>
              </w:rPr>
            </w:pPr>
            <w:r>
              <w:rPr>
                <w:sz w:val="28"/>
                <w:szCs w:val="28"/>
              </w:rPr>
              <w:t>6</w:t>
            </w:r>
          </w:p>
        </w:tc>
        <w:tc>
          <w:tcPr>
            <w:tcW w:w="243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80" w:lineRule="exact"/>
              <w:jc w:val="center"/>
              <w:rPr>
                <w:sz w:val="28"/>
                <w:szCs w:val="28"/>
              </w:rPr>
            </w:pPr>
            <w:r>
              <w:rPr>
                <w:bCs/>
                <w:kern w:val="44"/>
                <w:sz w:val="28"/>
                <w:szCs w:val="28"/>
              </w:rPr>
              <w:t>三江中学</w:t>
            </w:r>
          </w:p>
        </w:tc>
        <w:tc>
          <w:tcPr>
            <w:tcW w:w="2047" w:type="dxa"/>
            <w:tcBorders>
              <w:top w:val="nil"/>
              <w:left w:val="single" w:color="auto" w:sz="4" w:space="0"/>
              <w:bottom w:val="single" w:color="auto" w:sz="4" w:space="0"/>
              <w:right w:val="single" w:color="auto" w:sz="4" w:space="0"/>
            </w:tcBorders>
            <w:shd w:val="clear" w:color="auto" w:fill="auto"/>
            <w:vAlign w:val="center"/>
          </w:tcPr>
          <w:p>
            <w:pPr>
              <w:widowControl/>
              <w:spacing w:line="480" w:lineRule="exact"/>
              <w:jc w:val="center"/>
              <w:textAlignment w:val="center"/>
              <w:rPr>
                <w:kern w:val="0"/>
                <w:sz w:val="28"/>
                <w:szCs w:val="28"/>
                <w:lang w:bidi="ar"/>
              </w:rPr>
            </w:pPr>
            <w:r>
              <w:rPr>
                <w:kern w:val="0"/>
                <w:sz w:val="28"/>
                <w:szCs w:val="28"/>
              </w:rPr>
              <w:t>短期</w:t>
            </w:r>
          </w:p>
        </w:tc>
        <w:tc>
          <w:tcPr>
            <w:tcW w:w="3761" w:type="dxa"/>
            <w:tcBorders>
              <w:top w:val="nil"/>
              <w:left w:val="nil"/>
              <w:bottom w:val="single" w:color="auto" w:sz="4" w:space="0"/>
              <w:right w:val="single" w:color="auto" w:sz="4" w:space="0"/>
            </w:tcBorders>
            <w:shd w:val="clear" w:color="auto" w:fill="auto"/>
            <w:vAlign w:val="center"/>
          </w:tcPr>
          <w:p>
            <w:pPr>
              <w:widowControl/>
              <w:spacing w:line="480" w:lineRule="exact"/>
              <w:jc w:val="center"/>
              <w:textAlignment w:val="center"/>
              <w:rPr>
                <w:kern w:val="0"/>
                <w:sz w:val="28"/>
                <w:szCs w:val="28"/>
                <w:lang w:bidi="ar"/>
              </w:rPr>
            </w:pPr>
            <w:r>
              <w:rPr>
                <w:kern w:val="0"/>
                <w:sz w:val="28"/>
                <w:szCs w:val="28"/>
                <w:lang w:bidi="ar"/>
              </w:rPr>
              <w:t>桥河消防救援站</w:t>
            </w:r>
          </w:p>
        </w:tc>
      </w:tr>
      <w:bookmarkEnd w:id="410"/>
    </w:tbl>
    <w:p>
      <w:pPr>
        <w:spacing w:line="576" w:lineRule="exact"/>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7"/>
        <w:keepNext/>
        <w:spacing w:line="576" w:lineRule="exact"/>
        <w:rPr>
          <w:rFonts w:hint="eastAsia" w:ascii="Times New Roman" w:hAnsi="Times New Roman" w:eastAsia="方正黑体_GBK" w:cs="Times New Roman"/>
          <w:sz w:val="32"/>
          <w:szCs w:val="32"/>
          <w:lang w:val="en-US" w:eastAsia="zh-CN" w:bidi="ar"/>
        </w:rPr>
      </w:pPr>
      <w:bookmarkStart w:id="411" w:name="_Ref113969430"/>
      <w:bookmarkStart w:id="412" w:name="_Ref156309424"/>
      <w:bookmarkStart w:id="413" w:name="_Toc156308094"/>
      <w:bookmarkStart w:id="414" w:name="_Toc158043575"/>
      <w:r>
        <w:rPr>
          <w:rFonts w:hint="default" w:ascii="Times New Roman" w:hAnsi="Times New Roman" w:eastAsia="方正黑体_GBK" w:cs="Times New Roman"/>
          <w:sz w:val="32"/>
          <w:szCs w:val="32"/>
          <w:lang w:bidi="ar"/>
        </w:rPr>
        <w:t>附表</w:t>
      </w:r>
      <w:bookmarkEnd w:id="411"/>
      <w:r>
        <w:rPr>
          <w:rFonts w:hint="eastAsia" w:ascii="Times New Roman" w:hAnsi="Times New Roman" w:eastAsia="方正黑体_GBK" w:cs="Times New Roman"/>
          <w:sz w:val="32"/>
          <w:szCs w:val="32"/>
          <w:lang w:val="en-US" w:eastAsia="zh-CN" w:bidi="ar"/>
        </w:rPr>
        <w:t xml:space="preserve">18 </w:t>
      </w:r>
    </w:p>
    <w:p>
      <w:pPr>
        <w:pStyle w:val="7"/>
        <w:keepNext/>
        <w:spacing w:line="576" w:lineRule="exact"/>
        <w:jc w:val="center"/>
        <w:rPr>
          <w:rFonts w:hint="default" w:ascii="Times New Roman" w:hAnsi="Times New Roman" w:eastAsia="方正黑体_GBK" w:cs="Times New Roman"/>
          <w:sz w:val="32"/>
          <w:szCs w:val="32"/>
          <w:lang w:bidi="ar"/>
        </w:rPr>
      </w:pPr>
      <w:r>
        <w:rPr>
          <w:rFonts w:hint="default" w:ascii="Times New Roman" w:hAnsi="Times New Roman" w:eastAsia="方正黑体_GBK" w:cs="Times New Roman"/>
          <w:sz w:val="32"/>
          <w:szCs w:val="32"/>
          <w:lang w:bidi="ar"/>
        </w:rPr>
        <w:t>綦江中心城区近期应急避难场所一览表</w:t>
      </w:r>
      <w:bookmarkEnd w:id="412"/>
      <w:bookmarkEnd w:id="413"/>
      <w:bookmarkEnd w:id="414"/>
    </w:p>
    <w:p/>
    <w:tbl>
      <w:tblPr>
        <w:tblStyle w:val="18"/>
        <w:tblW w:w="8849" w:type="dxa"/>
        <w:tblInd w:w="0" w:type="dxa"/>
        <w:tblLayout w:type="fixed"/>
        <w:tblCellMar>
          <w:top w:w="0" w:type="dxa"/>
          <w:left w:w="0" w:type="dxa"/>
          <w:bottom w:w="0" w:type="dxa"/>
          <w:right w:w="0" w:type="dxa"/>
        </w:tblCellMar>
      </w:tblPr>
      <w:tblGrid>
        <w:gridCol w:w="573"/>
        <w:gridCol w:w="990"/>
        <w:gridCol w:w="1697"/>
        <w:gridCol w:w="1145"/>
        <w:gridCol w:w="1417"/>
        <w:gridCol w:w="1701"/>
        <w:gridCol w:w="1326"/>
      </w:tblGrid>
      <w:tr>
        <w:tblPrEx>
          <w:tblLayout w:type="fixed"/>
          <w:tblCellMar>
            <w:top w:w="0" w:type="dxa"/>
            <w:left w:w="0" w:type="dxa"/>
            <w:bottom w:w="0" w:type="dxa"/>
            <w:right w:w="0" w:type="dxa"/>
          </w:tblCellMar>
        </w:tblPrEx>
        <w:trPr>
          <w:trHeight w:val="885" w:hRule="atLeast"/>
          <w:tblHeader/>
        </w:trPr>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rFonts w:hint="default" w:ascii="Times New Roman" w:hAnsi="Times New Roman" w:eastAsia="方正黑体_GBK" w:cs="Times New Roman"/>
                <w:b w:val="0"/>
                <w:bCs/>
                <w:color w:val="000000"/>
                <w:kern w:val="0"/>
                <w:sz w:val="28"/>
                <w:szCs w:val="28"/>
              </w:rPr>
            </w:pPr>
            <w:r>
              <w:rPr>
                <w:rFonts w:hint="default" w:ascii="Times New Roman" w:hAnsi="Times New Roman" w:eastAsia="方正黑体_GBK" w:cs="Times New Roman"/>
                <w:b w:val="0"/>
                <w:bCs/>
                <w:color w:val="000000"/>
                <w:kern w:val="0"/>
                <w:sz w:val="28"/>
                <w:szCs w:val="28"/>
              </w:rPr>
              <w:t>序号</w:t>
            </w:r>
          </w:p>
        </w:tc>
        <w:tc>
          <w:tcPr>
            <w:tcW w:w="990"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rFonts w:hint="default" w:ascii="Times New Roman" w:hAnsi="Times New Roman" w:eastAsia="方正黑体_GBK" w:cs="Times New Roman"/>
                <w:b w:val="0"/>
                <w:bCs/>
                <w:color w:val="000000"/>
                <w:kern w:val="0"/>
                <w:sz w:val="28"/>
                <w:szCs w:val="28"/>
              </w:rPr>
            </w:pPr>
            <w:r>
              <w:rPr>
                <w:rFonts w:hint="default" w:ascii="Times New Roman" w:hAnsi="Times New Roman" w:eastAsia="方正黑体_GBK" w:cs="Times New Roman"/>
                <w:b w:val="0"/>
                <w:bCs/>
                <w:color w:val="000000"/>
                <w:kern w:val="0"/>
                <w:sz w:val="28"/>
                <w:szCs w:val="28"/>
              </w:rPr>
              <w:t>避难</w:t>
            </w:r>
          </w:p>
          <w:p>
            <w:pPr>
              <w:widowControl/>
              <w:adjustRightInd w:val="0"/>
              <w:snapToGrid w:val="0"/>
              <w:spacing w:line="480" w:lineRule="exact"/>
              <w:jc w:val="center"/>
              <w:rPr>
                <w:rFonts w:hint="default" w:ascii="Times New Roman" w:hAnsi="Times New Roman" w:eastAsia="方正黑体_GBK" w:cs="Times New Roman"/>
                <w:b w:val="0"/>
                <w:bCs/>
                <w:color w:val="000000"/>
                <w:kern w:val="0"/>
                <w:sz w:val="28"/>
                <w:szCs w:val="28"/>
              </w:rPr>
            </w:pPr>
            <w:r>
              <w:rPr>
                <w:rFonts w:hint="default" w:ascii="Times New Roman" w:hAnsi="Times New Roman" w:eastAsia="方正黑体_GBK" w:cs="Times New Roman"/>
                <w:b w:val="0"/>
                <w:bCs/>
                <w:color w:val="000000"/>
                <w:kern w:val="0"/>
                <w:sz w:val="28"/>
                <w:szCs w:val="28"/>
              </w:rPr>
              <w:t>类型</w:t>
            </w:r>
          </w:p>
        </w:tc>
        <w:tc>
          <w:tcPr>
            <w:tcW w:w="1697"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rFonts w:hint="default" w:ascii="Times New Roman" w:hAnsi="Times New Roman" w:eastAsia="方正黑体_GBK" w:cs="Times New Roman"/>
                <w:b w:val="0"/>
                <w:bCs/>
                <w:color w:val="000000"/>
                <w:kern w:val="0"/>
                <w:sz w:val="28"/>
                <w:szCs w:val="28"/>
              </w:rPr>
            </w:pPr>
            <w:r>
              <w:rPr>
                <w:rFonts w:hint="default" w:ascii="Times New Roman" w:hAnsi="Times New Roman" w:eastAsia="方正黑体_GBK" w:cs="Times New Roman"/>
                <w:b w:val="0"/>
                <w:bCs/>
                <w:color w:val="000000"/>
                <w:kern w:val="0"/>
                <w:sz w:val="28"/>
                <w:szCs w:val="28"/>
              </w:rPr>
              <w:t>避难场所名称</w:t>
            </w:r>
          </w:p>
        </w:tc>
        <w:tc>
          <w:tcPr>
            <w:tcW w:w="1145"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rFonts w:hint="default" w:ascii="Times New Roman" w:hAnsi="Times New Roman" w:eastAsia="方正黑体_GBK" w:cs="Times New Roman"/>
                <w:b w:val="0"/>
                <w:bCs/>
                <w:color w:val="000000"/>
                <w:kern w:val="0"/>
                <w:sz w:val="28"/>
                <w:szCs w:val="28"/>
              </w:rPr>
            </w:pPr>
            <w:r>
              <w:rPr>
                <w:rFonts w:hint="default" w:ascii="Times New Roman" w:hAnsi="Times New Roman" w:eastAsia="方正黑体_GBK" w:cs="Times New Roman"/>
                <w:b w:val="0"/>
                <w:bCs/>
                <w:color w:val="000000"/>
                <w:kern w:val="0"/>
                <w:sz w:val="28"/>
                <w:szCs w:val="28"/>
              </w:rPr>
              <w:t>用地面积（ha）</w:t>
            </w: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rFonts w:hint="default" w:ascii="Times New Roman" w:hAnsi="Times New Roman" w:eastAsia="方正黑体_GBK" w:cs="Times New Roman"/>
                <w:b w:val="0"/>
                <w:bCs/>
                <w:color w:val="000000"/>
                <w:kern w:val="0"/>
                <w:sz w:val="28"/>
                <w:szCs w:val="28"/>
              </w:rPr>
            </w:pPr>
            <w:r>
              <w:rPr>
                <w:rFonts w:hint="default" w:ascii="Times New Roman" w:hAnsi="Times New Roman" w:eastAsia="方正黑体_GBK" w:cs="Times New Roman"/>
                <w:b w:val="0"/>
                <w:bCs/>
                <w:color w:val="000000"/>
                <w:kern w:val="0"/>
                <w:sz w:val="28"/>
                <w:szCs w:val="28"/>
              </w:rPr>
              <w:t>有效用地面积（ha）</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rFonts w:hint="default" w:ascii="Times New Roman" w:hAnsi="Times New Roman" w:eastAsia="方正黑体_GBK" w:cs="Times New Roman"/>
                <w:b w:val="0"/>
                <w:bCs/>
                <w:color w:val="000000"/>
                <w:kern w:val="0"/>
                <w:sz w:val="28"/>
                <w:szCs w:val="28"/>
              </w:rPr>
            </w:pPr>
            <w:r>
              <w:rPr>
                <w:rFonts w:hint="default" w:ascii="Times New Roman" w:hAnsi="Times New Roman" w:eastAsia="方正黑体_GBK" w:cs="Times New Roman"/>
                <w:b w:val="0"/>
                <w:bCs/>
                <w:color w:val="000000"/>
                <w:kern w:val="0"/>
                <w:sz w:val="28"/>
                <w:szCs w:val="28"/>
              </w:rPr>
              <w:t>可容纳住宿人口（万人）</w:t>
            </w:r>
          </w:p>
        </w:tc>
        <w:tc>
          <w:tcPr>
            <w:tcW w:w="1326"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rFonts w:hint="default" w:ascii="Times New Roman" w:hAnsi="Times New Roman" w:eastAsia="方正黑体_GBK" w:cs="Times New Roman"/>
                <w:b w:val="0"/>
                <w:bCs/>
                <w:color w:val="000000"/>
                <w:kern w:val="0"/>
                <w:sz w:val="28"/>
                <w:szCs w:val="28"/>
              </w:rPr>
            </w:pPr>
            <w:r>
              <w:rPr>
                <w:rFonts w:hint="default" w:ascii="Times New Roman" w:hAnsi="Times New Roman" w:eastAsia="方正黑体_GBK" w:cs="Times New Roman"/>
                <w:b w:val="0"/>
                <w:bCs/>
                <w:color w:val="000000"/>
                <w:kern w:val="0"/>
                <w:sz w:val="28"/>
                <w:szCs w:val="28"/>
              </w:rPr>
              <w:t>所属防灾分区</w:t>
            </w:r>
          </w:p>
        </w:tc>
      </w:tr>
      <w:tr>
        <w:tblPrEx>
          <w:tblLayout w:type="fixed"/>
          <w:tblCellMar>
            <w:top w:w="0" w:type="dxa"/>
            <w:left w:w="0" w:type="dxa"/>
            <w:bottom w:w="0" w:type="dxa"/>
            <w:right w:w="0" w:type="dxa"/>
          </w:tblCellMar>
        </w:tblPrEx>
        <w:trPr>
          <w:trHeight w:val="315" w:hRule="atLeast"/>
        </w:trPr>
        <w:tc>
          <w:tcPr>
            <w:tcW w:w="57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1</w:t>
            </w:r>
          </w:p>
        </w:tc>
        <w:tc>
          <w:tcPr>
            <w:tcW w:w="99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中长期</w:t>
            </w:r>
          </w:p>
        </w:tc>
        <w:tc>
          <w:tcPr>
            <w:tcW w:w="169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外语外事学院</w:t>
            </w:r>
          </w:p>
        </w:tc>
        <w:tc>
          <w:tcPr>
            <w:tcW w:w="11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61.61</w:t>
            </w:r>
          </w:p>
        </w:tc>
        <w:tc>
          <w:tcPr>
            <w:tcW w:w="14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24.64</w:t>
            </w:r>
          </w:p>
        </w:tc>
        <w:tc>
          <w:tcPr>
            <w:tcW w:w="170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4.93</w:t>
            </w:r>
          </w:p>
        </w:tc>
        <w:tc>
          <w:tcPr>
            <w:tcW w:w="132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东部新城片区</w:t>
            </w:r>
          </w:p>
        </w:tc>
      </w:tr>
      <w:tr>
        <w:tblPrEx>
          <w:tblLayout w:type="fixed"/>
          <w:tblCellMar>
            <w:top w:w="0" w:type="dxa"/>
            <w:left w:w="0" w:type="dxa"/>
            <w:bottom w:w="0" w:type="dxa"/>
            <w:right w:w="0" w:type="dxa"/>
          </w:tblCellMar>
        </w:tblPrEx>
        <w:trPr>
          <w:trHeight w:val="315" w:hRule="atLeast"/>
        </w:trPr>
        <w:tc>
          <w:tcPr>
            <w:tcW w:w="57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2</w:t>
            </w:r>
          </w:p>
        </w:tc>
        <w:tc>
          <w:tcPr>
            <w:tcW w:w="99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短期</w:t>
            </w:r>
          </w:p>
        </w:tc>
        <w:tc>
          <w:tcPr>
            <w:tcW w:w="169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綦江体育中心</w:t>
            </w:r>
          </w:p>
        </w:tc>
        <w:tc>
          <w:tcPr>
            <w:tcW w:w="11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10.47</w:t>
            </w:r>
          </w:p>
        </w:tc>
        <w:tc>
          <w:tcPr>
            <w:tcW w:w="14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6.28</w:t>
            </w:r>
          </w:p>
        </w:tc>
        <w:tc>
          <w:tcPr>
            <w:tcW w:w="170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2.09</w:t>
            </w:r>
          </w:p>
        </w:tc>
        <w:tc>
          <w:tcPr>
            <w:tcW w:w="132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东部新城片区</w:t>
            </w:r>
          </w:p>
        </w:tc>
      </w:tr>
      <w:tr>
        <w:tblPrEx>
          <w:tblLayout w:type="fixed"/>
          <w:tblCellMar>
            <w:top w:w="0" w:type="dxa"/>
            <w:left w:w="0" w:type="dxa"/>
            <w:bottom w:w="0" w:type="dxa"/>
            <w:right w:w="0" w:type="dxa"/>
          </w:tblCellMar>
        </w:tblPrEx>
        <w:trPr>
          <w:trHeight w:val="315" w:hRule="atLeast"/>
        </w:trPr>
        <w:tc>
          <w:tcPr>
            <w:tcW w:w="57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3</w:t>
            </w:r>
          </w:p>
        </w:tc>
        <w:tc>
          <w:tcPr>
            <w:tcW w:w="99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短期</w:t>
            </w:r>
          </w:p>
        </w:tc>
        <w:tc>
          <w:tcPr>
            <w:tcW w:w="169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南州中学</w:t>
            </w:r>
          </w:p>
        </w:tc>
        <w:tc>
          <w:tcPr>
            <w:tcW w:w="11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9.83</w:t>
            </w:r>
          </w:p>
        </w:tc>
        <w:tc>
          <w:tcPr>
            <w:tcW w:w="14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3.93</w:t>
            </w:r>
          </w:p>
        </w:tc>
        <w:tc>
          <w:tcPr>
            <w:tcW w:w="170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1.31</w:t>
            </w:r>
          </w:p>
        </w:tc>
        <w:tc>
          <w:tcPr>
            <w:tcW w:w="132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九龙片区</w:t>
            </w:r>
          </w:p>
        </w:tc>
      </w:tr>
      <w:tr>
        <w:tblPrEx>
          <w:tblLayout w:type="fixed"/>
          <w:tblCellMar>
            <w:top w:w="0" w:type="dxa"/>
            <w:left w:w="0" w:type="dxa"/>
            <w:bottom w:w="0" w:type="dxa"/>
            <w:right w:w="0" w:type="dxa"/>
          </w:tblCellMar>
        </w:tblPrEx>
        <w:trPr>
          <w:trHeight w:val="315" w:hRule="atLeast"/>
        </w:trPr>
        <w:tc>
          <w:tcPr>
            <w:tcW w:w="57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4</w:t>
            </w:r>
          </w:p>
        </w:tc>
        <w:tc>
          <w:tcPr>
            <w:tcW w:w="99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短期</w:t>
            </w:r>
          </w:p>
        </w:tc>
        <w:tc>
          <w:tcPr>
            <w:tcW w:w="169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营盘山公园</w:t>
            </w:r>
          </w:p>
        </w:tc>
        <w:tc>
          <w:tcPr>
            <w:tcW w:w="11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35.3</w:t>
            </w:r>
          </w:p>
        </w:tc>
        <w:tc>
          <w:tcPr>
            <w:tcW w:w="14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7.06</w:t>
            </w:r>
          </w:p>
        </w:tc>
        <w:tc>
          <w:tcPr>
            <w:tcW w:w="170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2.35</w:t>
            </w:r>
          </w:p>
        </w:tc>
        <w:tc>
          <w:tcPr>
            <w:tcW w:w="132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沙溪片区</w:t>
            </w:r>
          </w:p>
        </w:tc>
      </w:tr>
      <w:tr>
        <w:tblPrEx>
          <w:tblLayout w:type="fixed"/>
          <w:tblCellMar>
            <w:top w:w="0" w:type="dxa"/>
            <w:left w:w="0" w:type="dxa"/>
            <w:bottom w:w="0" w:type="dxa"/>
            <w:right w:w="0" w:type="dxa"/>
          </w:tblCellMar>
        </w:tblPrEx>
        <w:trPr>
          <w:trHeight w:val="315" w:hRule="atLeast"/>
        </w:trPr>
        <w:tc>
          <w:tcPr>
            <w:tcW w:w="57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5</w:t>
            </w:r>
          </w:p>
        </w:tc>
        <w:tc>
          <w:tcPr>
            <w:tcW w:w="99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短期</w:t>
            </w:r>
          </w:p>
        </w:tc>
        <w:tc>
          <w:tcPr>
            <w:tcW w:w="169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綦江实验中学</w:t>
            </w:r>
          </w:p>
        </w:tc>
        <w:tc>
          <w:tcPr>
            <w:tcW w:w="11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6.46</w:t>
            </w:r>
          </w:p>
        </w:tc>
        <w:tc>
          <w:tcPr>
            <w:tcW w:w="14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2.58</w:t>
            </w:r>
          </w:p>
        </w:tc>
        <w:tc>
          <w:tcPr>
            <w:tcW w:w="170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0.86</w:t>
            </w:r>
          </w:p>
        </w:tc>
        <w:tc>
          <w:tcPr>
            <w:tcW w:w="132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龙脊山片区</w:t>
            </w:r>
          </w:p>
        </w:tc>
      </w:tr>
      <w:tr>
        <w:tblPrEx>
          <w:tblLayout w:type="fixed"/>
          <w:tblCellMar>
            <w:top w:w="0" w:type="dxa"/>
            <w:left w:w="0" w:type="dxa"/>
            <w:bottom w:w="0" w:type="dxa"/>
            <w:right w:w="0" w:type="dxa"/>
          </w:tblCellMar>
        </w:tblPrEx>
        <w:trPr>
          <w:trHeight w:val="315" w:hRule="atLeast"/>
        </w:trPr>
        <w:tc>
          <w:tcPr>
            <w:tcW w:w="57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6</w:t>
            </w:r>
          </w:p>
        </w:tc>
        <w:tc>
          <w:tcPr>
            <w:tcW w:w="99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短期</w:t>
            </w:r>
          </w:p>
        </w:tc>
        <w:tc>
          <w:tcPr>
            <w:tcW w:w="169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三江中学</w:t>
            </w:r>
          </w:p>
        </w:tc>
        <w:tc>
          <w:tcPr>
            <w:tcW w:w="11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3.89</w:t>
            </w:r>
          </w:p>
        </w:tc>
        <w:tc>
          <w:tcPr>
            <w:tcW w:w="14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1.56</w:t>
            </w:r>
          </w:p>
        </w:tc>
        <w:tc>
          <w:tcPr>
            <w:tcW w:w="170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0.52</w:t>
            </w:r>
          </w:p>
        </w:tc>
        <w:tc>
          <w:tcPr>
            <w:tcW w:w="132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color w:val="000000"/>
                <w:kern w:val="0"/>
                <w:sz w:val="28"/>
                <w:szCs w:val="28"/>
              </w:rPr>
            </w:pPr>
            <w:r>
              <w:rPr>
                <w:color w:val="000000"/>
                <w:kern w:val="0"/>
                <w:sz w:val="28"/>
                <w:szCs w:val="28"/>
              </w:rPr>
              <w:t>三江片区</w:t>
            </w:r>
          </w:p>
        </w:tc>
      </w:tr>
      <w:tr>
        <w:tblPrEx>
          <w:tblLayout w:type="fixed"/>
          <w:tblCellMar>
            <w:top w:w="0" w:type="dxa"/>
            <w:left w:w="0" w:type="dxa"/>
            <w:bottom w:w="0" w:type="dxa"/>
            <w:right w:w="0" w:type="dxa"/>
          </w:tblCellMar>
        </w:tblPrEx>
        <w:trPr>
          <w:trHeight w:val="315" w:hRule="atLeast"/>
        </w:trPr>
        <w:tc>
          <w:tcPr>
            <w:tcW w:w="3260" w:type="dxa"/>
            <w:gridSpan w:val="3"/>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480" w:lineRule="exact"/>
              <w:jc w:val="center"/>
              <w:rPr>
                <w:b w:val="0"/>
                <w:bCs/>
                <w:color w:val="000000"/>
                <w:kern w:val="0"/>
                <w:sz w:val="28"/>
                <w:szCs w:val="28"/>
              </w:rPr>
            </w:pPr>
            <w:r>
              <w:rPr>
                <w:b w:val="0"/>
                <w:bCs/>
                <w:color w:val="000000"/>
                <w:kern w:val="0"/>
                <w:sz w:val="28"/>
                <w:szCs w:val="28"/>
              </w:rPr>
              <w:t>合</w:t>
            </w:r>
            <w:r>
              <w:rPr>
                <w:rFonts w:hint="eastAsia"/>
                <w:b w:val="0"/>
                <w:bCs/>
                <w:color w:val="000000"/>
                <w:kern w:val="0"/>
                <w:sz w:val="28"/>
                <w:szCs w:val="28"/>
                <w:lang w:val="en-US" w:eastAsia="zh-CN"/>
              </w:rPr>
              <w:t xml:space="preserve">  </w:t>
            </w:r>
            <w:r>
              <w:rPr>
                <w:b w:val="0"/>
                <w:bCs/>
                <w:color w:val="000000"/>
                <w:kern w:val="0"/>
                <w:sz w:val="28"/>
                <w:szCs w:val="28"/>
              </w:rPr>
              <w:t>计</w:t>
            </w:r>
          </w:p>
        </w:tc>
        <w:tc>
          <w:tcPr>
            <w:tcW w:w="1145"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val="0"/>
                <w:bCs/>
                <w:color w:val="000000"/>
                <w:kern w:val="0"/>
                <w:sz w:val="28"/>
                <w:szCs w:val="28"/>
              </w:rPr>
            </w:pPr>
            <w:r>
              <w:rPr>
                <w:b w:val="0"/>
                <w:bCs/>
                <w:color w:val="000000"/>
                <w:kern w:val="0"/>
                <w:sz w:val="28"/>
                <w:szCs w:val="28"/>
              </w:rPr>
              <w:t>127.56</w:t>
            </w:r>
          </w:p>
        </w:tc>
        <w:tc>
          <w:tcPr>
            <w:tcW w:w="1417"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val="0"/>
                <w:bCs/>
                <w:color w:val="000000"/>
                <w:kern w:val="0"/>
                <w:sz w:val="28"/>
                <w:szCs w:val="28"/>
              </w:rPr>
            </w:pPr>
            <w:r>
              <w:rPr>
                <w:b w:val="0"/>
                <w:bCs/>
                <w:color w:val="000000"/>
                <w:kern w:val="0"/>
                <w:sz w:val="28"/>
                <w:szCs w:val="28"/>
              </w:rPr>
              <w:t>46.05</w:t>
            </w:r>
          </w:p>
        </w:tc>
        <w:tc>
          <w:tcPr>
            <w:tcW w:w="170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val="0"/>
                <w:bCs/>
                <w:color w:val="000000"/>
                <w:kern w:val="0"/>
                <w:sz w:val="28"/>
                <w:szCs w:val="28"/>
              </w:rPr>
            </w:pPr>
            <w:r>
              <w:rPr>
                <w:b w:val="0"/>
                <w:bCs/>
                <w:color w:val="000000"/>
                <w:kern w:val="0"/>
                <w:sz w:val="28"/>
                <w:szCs w:val="28"/>
              </w:rPr>
              <w:t>12.06</w:t>
            </w:r>
          </w:p>
        </w:tc>
        <w:tc>
          <w:tcPr>
            <w:tcW w:w="132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480" w:lineRule="exact"/>
              <w:jc w:val="center"/>
              <w:rPr>
                <w:b w:val="0"/>
                <w:bCs/>
                <w:color w:val="000000"/>
                <w:kern w:val="0"/>
                <w:sz w:val="28"/>
                <w:szCs w:val="28"/>
              </w:rPr>
            </w:pPr>
            <w:r>
              <w:rPr>
                <w:b w:val="0"/>
                <w:bCs/>
                <w:color w:val="000000"/>
                <w:kern w:val="0"/>
                <w:sz w:val="28"/>
                <w:szCs w:val="28"/>
              </w:rPr>
              <w:t>　</w:t>
            </w:r>
          </w:p>
        </w:tc>
      </w:tr>
    </w:tbl>
    <w:p>
      <w:pPr>
        <w:spacing w:line="576" w:lineRule="exact"/>
      </w:pPr>
    </w:p>
    <w:p>
      <w:pPr>
        <w:pStyle w:val="2"/>
        <w:rPr>
          <w:szCs w:val="32"/>
        </w:rPr>
        <w:sectPr>
          <w:pgSz w:w="11906" w:h="16838"/>
          <w:pgMar w:top="2155" w:right="1474" w:bottom="2098" w:left="1588" w:header="851" w:footer="680" w:gutter="0"/>
          <w:pgNumType w:fmt="decimal"/>
          <w:cols w:space="720" w:num="1"/>
          <w:docGrid w:linePitch="579" w:charSpace="-849"/>
        </w:sectPr>
      </w:pPr>
    </w:p>
    <w:p>
      <w:pPr>
        <w:pStyle w:val="2"/>
        <w:keepNext/>
        <w:ind w:firstLine="0" w:firstLineChars="0"/>
        <w:rPr>
          <w:rFonts w:hint="eastAsia" w:ascii="Times New Roman" w:hAnsi="Times New Roman" w:eastAsia="方正黑体_GBK" w:cs="Times New Roman"/>
          <w:szCs w:val="32"/>
          <w:lang w:val="en-US" w:eastAsia="zh-CN"/>
        </w:rPr>
      </w:pPr>
      <w:bookmarkStart w:id="415" w:name="_Toc158044917"/>
      <w:r>
        <w:rPr>
          <w:rFonts w:hint="default" w:ascii="Times New Roman" w:hAnsi="Times New Roman" w:eastAsia="方正黑体_GBK" w:cs="Times New Roman"/>
          <w:szCs w:val="32"/>
        </w:rPr>
        <w:t>附图</w:t>
      </w:r>
      <w:r>
        <w:rPr>
          <w:rFonts w:hint="eastAsia" w:ascii="Times New Roman" w:hAnsi="Times New Roman" w:eastAsia="方正黑体_GBK" w:cs="Times New Roman"/>
          <w:szCs w:val="32"/>
          <w:lang w:val="en-US" w:eastAsia="zh-CN"/>
        </w:rPr>
        <w:t xml:space="preserve">1 </w:t>
      </w:r>
    </w:p>
    <w:p>
      <w:pPr>
        <w:pStyle w:val="2"/>
        <w:keepNext/>
        <w:ind w:firstLine="0" w:firstLineChars="0"/>
        <w:jc w:val="center"/>
        <w:rPr>
          <w:rFonts w:hint="default" w:ascii="Times New Roman" w:hAnsi="Times New Roman" w:eastAsia="方正黑体_GBK" w:cs="Times New Roman"/>
          <w:szCs w:val="32"/>
        </w:rPr>
      </w:pPr>
      <w:r>
        <w:rPr>
          <w:rFonts w:hint="default" w:ascii="Times New Roman" w:hAnsi="Times New Roman" w:eastAsia="方正黑体_GBK" w:cs="Times New Roman"/>
          <w:szCs w:val="32"/>
        </w:rPr>
        <w:t>城市区位关系图</w:t>
      </w:r>
      <w:bookmarkEnd w:id="415"/>
    </w:p>
    <w:p>
      <w:pPr>
        <w:pStyle w:val="2"/>
        <w:spacing w:line="240" w:lineRule="auto"/>
        <w:ind w:firstLine="0" w:firstLineChars="0"/>
        <w:jc w:val="center"/>
        <w:rPr>
          <w:szCs w:val="32"/>
        </w:rPr>
      </w:pPr>
      <w:r>
        <w:rPr>
          <w:szCs w:val="32"/>
        </w:rPr>
        <w:drawing>
          <wp:inline distT="0" distB="0" distL="0" distR="0">
            <wp:extent cx="8652510" cy="5701030"/>
            <wp:effectExtent l="0" t="0" r="15240"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cstate="hqprint"/>
                    <a:stretch>
                      <a:fillRect/>
                    </a:stretch>
                  </pic:blipFill>
                  <pic:spPr>
                    <a:xfrm>
                      <a:off x="0" y="0"/>
                      <a:ext cx="8652510" cy="5701030"/>
                    </a:xfrm>
                    <a:prstGeom prst="rect">
                      <a:avLst/>
                    </a:prstGeom>
                  </pic:spPr>
                </pic:pic>
              </a:graphicData>
            </a:graphic>
          </wp:inline>
        </w:drawing>
      </w:r>
    </w:p>
    <w:p>
      <w:pPr>
        <w:pStyle w:val="2"/>
        <w:keepNext/>
        <w:ind w:firstLine="0" w:firstLineChars="0"/>
        <w:rPr>
          <w:rFonts w:hint="eastAsia" w:ascii="方正黑体_GBK" w:eastAsia="方正黑体_GBK"/>
          <w:szCs w:val="32"/>
          <w:lang w:val="en-US" w:eastAsia="zh-CN"/>
        </w:rPr>
      </w:pPr>
      <w:bookmarkStart w:id="416" w:name="_Toc158044918"/>
      <w:r>
        <w:rPr>
          <w:rFonts w:hint="default" w:ascii="Times New Roman" w:hAnsi="Times New Roman" w:eastAsia="方正黑体_GBK" w:cs="Times New Roman"/>
          <w:szCs w:val="32"/>
        </w:rPr>
        <w:t>附图</w:t>
      </w:r>
      <w:r>
        <w:rPr>
          <w:rFonts w:hint="default" w:ascii="Times New Roman" w:hAnsi="Times New Roman" w:eastAsia="方正黑体_GBK" w:cs="Times New Roman"/>
          <w:szCs w:val="32"/>
          <w:lang w:val="en-US" w:eastAsia="zh-CN"/>
        </w:rPr>
        <w:t>2</w:t>
      </w:r>
      <w:r>
        <w:rPr>
          <w:rFonts w:hint="eastAsia" w:ascii="方正黑体_GBK" w:eastAsia="方正黑体_GBK"/>
          <w:szCs w:val="32"/>
          <w:lang w:val="en-US" w:eastAsia="zh-CN"/>
        </w:rPr>
        <w:t xml:space="preserve"> </w:t>
      </w:r>
    </w:p>
    <w:p>
      <w:pPr>
        <w:pStyle w:val="2"/>
        <w:keepNext/>
        <w:ind w:firstLine="0" w:firstLineChars="0"/>
        <w:jc w:val="center"/>
        <w:rPr>
          <w:rFonts w:ascii="方正黑体_GBK" w:eastAsia="方正黑体_GBK"/>
          <w:szCs w:val="32"/>
        </w:rPr>
      </w:pPr>
      <w:r>
        <w:rPr>
          <w:rFonts w:hint="eastAsia" w:ascii="方正黑体_GBK" w:eastAsia="方正黑体_GBK"/>
          <w:szCs w:val="32"/>
        </w:rPr>
        <w:t>中心城区地震动参数区规划图</w:t>
      </w:r>
      <w:bookmarkEnd w:id="416"/>
    </w:p>
    <w:p>
      <w:pPr>
        <w:pStyle w:val="2"/>
        <w:spacing w:line="240" w:lineRule="auto"/>
        <w:ind w:firstLine="0" w:firstLineChars="0"/>
        <w:jc w:val="center"/>
        <w:rPr>
          <w:szCs w:val="32"/>
        </w:rPr>
      </w:pPr>
      <w:r>
        <w:rPr>
          <w:szCs w:val="32"/>
        </w:rPr>
        <w:drawing>
          <wp:inline distT="0" distB="0" distL="0" distR="0">
            <wp:extent cx="8651875" cy="5854065"/>
            <wp:effectExtent l="0" t="0" r="15875" b="133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5" cstate="hqprint"/>
                    <a:stretch>
                      <a:fillRect/>
                    </a:stretch>
                  </pic:blipFill>
                  <pic:spPr>
                    <a:xfrm>
                      <a:off x="0" y="0"/>
                      <a:ext cx="8652031" cy="5854065"/>
                    </a:xfrm>
                    <a:prstGeom prst="rect">
                      <a:avLst/>
                    </a:prstGeom>
                  </pic:spPr>
                </pic:pic>
              </a:graphicData>
            </a:graphic>
          </wp:inline>
        </w:drawing>
      </w:r>
    </w:p>
    <w:p>
      <w:pPr>
        <w:pStyle w:val="2"/>
        <w:keepNext/>
        <w:ind w:firstLine="0" w:firstLineChars="0"/>
        <w:rPr>
          <w:rFonts w:hint="eastAsia" w:eastAsia="方正黑体_GBK"/>
          <w:szCs w:val="32"/>
          <w:lang w:val="en-US" w:eastAsia="zh-CN"/>
        </w:rPr>
      </w:pPr>
      <w:bookmarkStart w:id="417" w:name="_Toc158044919"/>
      <w:r>
        <w:rPr>
          <w:rFonts w:hint="eastAsia" w:ascii="方正黑体_GBK" w:eastAsia="方正黑体_GBK"/>
          <w:szCs w:val="32"/>
        </w:rPr>
        <w:t>附</w:t>
      </w:r>
      <w:r>
        <w:rPr>
          <w:rFonts w:hint="default" w:ascii="Times New Roman" w:hAnsi="Times New Roman" w:eastAsia="方正黑体_GBK" w:cs="Times New Roman"/>
          <w:szCs w:val="32"/>
        </w:rPr>
        <w:t>图</w:t>
      </w:r>
      <w:r>
        <w:rPr>
          <w:rFonts w:hint="default" w:ascii="Times New Roman" w:hAnsi="Times New Roman" w:eastAsia="方正黑体_GBK" w:cs="Times New Roman"/>
          <w:szCs w:val="32"/>
          <w:lang w:val="en-US" w:eastAsia="zh-CN"/>
        </w:rPr>
        <w:t>3</w:t>
      </w:r>
      <w:r>
        <w:rPr>
          <w:rFonts w:hint="eastAsia" w:eastAsia="方正黑体_GBK"/>
          <w:szCs w:val="32"/>
          <w:lang w:val="en-US" w:eastAsia="zh-CN"/>
        </w:rPr>
        <w:t xml:space="preserve"> </w:t>
      </w:r>
    </w:p>
    <w:p>
      <w:pPr>
        <w:pStyle w:val="2"/>
        <w:keepNext/>
        <w:ind w:firstLine="0" w:firstLineChars="0"/>
        <w:jc w:val="center"/>
        <w:rPr>
          <w:rFonts w:ascii="方正黑体_GBK" w:eastAsia="方正黑体_GBK"/>
          <w:szCs w:val="32"/>
        </w:rPr>
      </w:pPr>
      <w:r>
        <w:rPr>
          <w:rFonts w:hint="eastAsia" w:ascii="方正黑体_GBK" w:eastAsia="方正黑体_GBK"/>
          <w:szCs w:val="32"/>
        </w:rPr>
        <w:t>中心城区场地类别划分图</w:t>
      </w:r>
      <w:bookmarkEnd w:id="417"/>
    </w:p>
    <w:p>
      <w:pPr>
        <w:pStyle w:val="2"/>
        <w:spacing w:line="240" w:lineRule="auto"/>
        <w:ind w:firstLine="0" w:firstLineChars="0"/>
        <w:jc w:val="center"/>
        <w:rPr>
          <w:szCs w:val="32"/>
        </w:rPr>
      </w:pPr>
      <w:r>
        <w:rPr>
          <w:szCs w:val="32"/>
        </w:rPr>
        <w:drawing>
          <wp:inline distT="0" distB="0" distL="0" distR="0">
            <wp:extent cx="8650605" cy="5833745"/>
            <wp:effectExtent l="0" t="0" r="17145"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6" cstate="hqprint"/>
                    <a:stretch>
                      <a:fillRect/>
                    </a:stretch>
                  </pic:blipFill>
                  <pic:spPr>
                    <a:xfrm>
                      <a:off x="0" y="0"/>
                      <a:ext cx="8650979" cy="5833745"/>
                    </a:xfrm>
                    <a:prstGeom prst="rect">
                      <a:avLst/>
                    </a:prstGeom>
                  </pic:spPr>
                </pic:pic>
              </a:graphicData>
            </a:graphic>
          </wp:inline>
        </w:drawing>
      </w:r>
    </w:p>
    <w:p>
      <w:pPr>
        <w:pStyle w:val="2"/>
        <w:keepNext/>
        <w:ind w:firstLine="0" w:firstLineChars="0"/>
        <w:rPr>
          <w:rFonts w:hint="eastAsia" w:ascii="方正黑体_GBK" w:eastAsia="方正黑体_GBK"/>
          <w:szCs w:val="32"/>
          <w:lang w:val="en-US" w:eastAsia="zh-CN"/>
        </w:rPr>
      </w:pPr>
      <w:bookmarkStart w:id="418" w:name="_Toc158044920"/>
      <w:r>
        <w:rPr>
          <w:rFonts w:hint="eastAsia" w:ascii="方正黑体_GBK" w:eastAsia="方正黑体_GBK"/>
          <w:szCs w:val="32"/>
        </w:rPr>
        <w:t>附图</w:t>
      </w:r>
      <w:r>
        <w:rPr>
          <w:rFonts w:hint="default" w:ascii="Times New Roman" w:hAnsi="Times New Roman" w:eastAsia="方正黑体_GBK" w:cs="Times New Roman"/>
          <w:szCs w:val="32"/>
          <w:lang w:val="en-US" w:eastAsia="zh-CN"/>
        </w:rPr>
        <w:t>4</w:t>
      </w:r>
      <w:r>
        <w:rPr>
          <w:rFonts w:hint="eastAsia" w:ascii="方正黑体_GBK" w:eastAsia="方正黑体_GBK"/>
          <w:szCs w:val="32"/>
          <w:lang w:val="en-US" w:eastAsia="zh-CN"/>
        </w:rPr>
        <w:t xml:space="preserve"> </w:t>
      </w:r>
    </w:p>
    <w:p>
      <w:pPr>
        <w:pStyle w:val="2"/>
        <w:keepNext/>
        <w:ind w:firstLine="0" w:firstLineChars="0"/>
        <w:jc w:val="center"/>
        <w:rPr>
          <w:rFonts w:ascii="方正黑体_GBK" w:eastAsia="方正黑体_GBK"/>
          <w:szCs w:val="32"/>
        </w:rPr>
      </w:pPr>
      <w:r>
        <w:rPr>
          <w:rFonts w:hint="eastAsia" w:ascii="方正黑体_GBK" w:eastAsia="方正黑体_GBK"/>
          <w:szCs w:val="32"/>
        </w:rPr>
        <w:t>中心城区用地适宜性评价图</w:t>
      </w:r>
      <w:bookmarkEnd w:id="418"/>
    </w:p>
    <w:p>
      <w:pPr>
        <w:pStyle w:val="2"/>
        <w:spacing w:line="240" w:lineRule="auto"/>
        <w:ind w:firstLine="0" w:firstLineChars="0"/>
        <w:jc w:val="center"/>
        <w:rPr>
          <w:szCs w:val="32"/>
        </w:rPr>
      </w:pPr>
      <w:r>
        <w:rPr>
          <w:szCs w:val="32"/>
        </w:rPr>
        <w:drawing>
          <wp:inline distT="0" distB="0" distL="0" distR="0">
            <wp:extent cx="8650605" cy="5825490"/>
            <wp:effectExtent l="0" t="0" r="17145"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7" cstate="hqprint"/>
                    <a:stretch>
                      <a:fillRect/>
                    </a:stretch>
                  </pic:blipFill>
                  <pic:spPr>
                    <a:xfrm>
                      <a:off x="0" y="0"/>
                      <a:ext cx="8650979" cy="5825490"/>
                    </a:xfrm>
                    <a:prstGeom prst="rect">
                      <a:avLst/>
                    </a:prstGeom>
                  </pic:spPr>
                </pic:pic>
              </a:graphicData>
            </a:graphic>
          </wp:inline>
        </w:drawing>
      </w:r>
    </w:p>
    <w:p>
      <w:pPr>
        <w:pStyle w:val="2"/>
        <w:keepNext/>
        <w:ind w:firstLine="0" w:firstLineChars="0"/>
        <w:rPr>
          <w:rFonts w:hint="eastAsia" w:ascii="方正黑体_GBK" w:eastAsia="方正黑体_GBK"/>
          <w:szCs w:val="32"/>
          <w:lang w:val="en-US" w:eastAsia="zh-CN"/>
        </w:rPr>
      </w:pPr>
      <w:bookmarkStart w:id="419" w:name="_Toc158044921"/>
      <w:r>
        <w:rPr>
          <w:rFonts w:hint="eastAsia" w:ascii="方正黑体_GBK" w:eastAsia="方正黑体_GBK"/>
          <w:szCs w:val="32"/>
        </w:rPr>
        <w:t>附图</w:t>
      </w:r>
      <w:r>
        <w:rPr>
          <w:rFonts w:hint="default" w:ascii="Times New Roman" w:hAnsi="Times New Roman" w:eastAsia="方正黑体_GBK" w:cs="Times New Roman"/>
          <w:szCs w:val="32"/>
          <w:lang w:val="en-US" w:eastAsia="zh-CN"/>
        </w:rPr>
        <w:t>5</w:t>
      </w:r>
      <w:r>
        <w:rPr>
          <w:rFonts w:hint="eastAsia" w:ascii="方正黑体_GBK" w:eastAsia="方正黑体_GBK"/>
          <w:szCs w:val="32"/>
          <w:lang w:val="en-US" w:eastAsia="zh-CN"/>
        </w:rPr>
        <w:t xml:space="preserve"> </w:t>
      </w:r>
    </w:p>
    <w:p>
      <w:pPr>
        <w:pStyle w:val="2"/>
        <w:keepNext/>
        <w:ind w:firstLine="0" w:firstLineChars="0"/>
        <w:jc w:val="center"/>
        <w:rPr>
          <w:rFonts w:ascii="方正黑体_GBK" w:eastAsia="方正黑体_GBK"/>
          <w:szCs w:val="32"/>
        </w:rPr>
      </w:pPr>
      <w:r>
        <w:rPr>
          <w:rFonts w:hint="eastAsia" w:ascii="方正黑体_GBK" w:eastAsia="方正黑体_GBK"/>
          <w:szCs w:val="32"/>
        </w:rPr>
        <w:t>中心城区用地规划图</w:t>
      </w:r>
      <w:bookmarkEnd w:id="419"/>
    </w:p>
    <w:p>
      <w:pPr>
        <w:pStyle w:val="2"/>
        <w:spacing w:line="240" w:lineRule="auto"/>
        <w:ind w:firstLine="0" w:firstLineChars="0"/>
        <w:jc w:val="center"/>
        <w:rPr>
          <w:szCs w:val="32"/>
        </w:rPr>
      </w:pPr>
      <w:r>
        <w:rPr>
          <w:szCs w:val="32"/>
        </w:rPr>
        <w:drawing>
          <wp:inline distT="0" distB="0" distL="0" distR="0">
            <wp:extent cx="8651875" cy="5814695"/>
            <wp:effectExtent l="0" t="0" r="15875"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8" cstate="hqprint"/>
                    <a:stretch>
                      <a:fillRect/>
                    </a:stretch>
                  </pic:blipFill>
                  <pic:spPr>
                    <a:xfrm>
                      <a:off x="0" y="0"/>
                      <a:ext cx="8652031" cy="5814695"/>
                    </a:xfrm>
                    <a:prstGeom prst="rect">
                      <a:avLst/>
                    </a:prstGeom>
                  </pic:spPr>
                </pic:pic>
              </a:graphicData>
            </a:graphic>
          </wp:inline>
        </w:drawing>
      </w:r>
    </w:p>
    <w:p>
      <w:pPr>
        <w:pStyle w:val="2"/>
        <w:keepNext/>
        <w:ind w:firstLine="0" w:firstLineChars="0"/>
        <w:rPr>
          <w:rFonts w:hint="eastAsia" w:ascii="方正黑体_GBK" w:eastAsia="方正黑体_GBK"/>
          <w:szCs w:val="32"/>
          <w:lang w:val="en-US" w:eastAsia="zh-CN"/>
        </w:rPr>
      </w:pPr>
      <w:bookmarkStart w:id="420" w:name="_Toc158044922"/>
      <w:r>
        <w:rPr>
          <w:rFonts w:hint="eastAsia" w:ascii="方正黑体_GBK" w:eastAsia="方正黑体_GBK"/>
          <w:szCs w:val="32"/>
        </w:rPr>
        <w:t>附图</w:t>
      </w:r>
      <w:r>
        <w:rPr>
          <w:rFonts w:hint="default" w:ascii="Times New Roman" w:hAnsi="Times New Roman" w:eastAsia="方正黑体_GBK" w:cs="Times New Roman"/>
          <w:szCs w:val="32"/>
          <w:lang w:val="en-US" w:eastAsia="zh-CN"/>
        </w:rPr>
        <w:t>6</w:t>
      </w:r>
      <w:r>
        <w:rPr>
          <w:rFonts w:hint="eastAsia" w:ascii="方正黑体_GBK" w:eastAsia="方正黑体_GBK"/>
          <w:szCs w:val="32"/>
          <w:lang w:val="en-US" w:eastAsia="zh-CN"/>
        </w:rPr>
        <w:t xml:space="preserve"> </w:t>
      </w:r>
    </w:p>
    <w:p>
      <w:pPr>
        <w:pStyle w:val="2"/>
        <w:keepNext/>
        <w:ind w:firstLine="0" w:firstLineChars="0"/>
        <w:jc w:val="center"/>
        <w:rPr>
          <w:rFonts w:ascii="方正黑体_GBK" w:eastAsia="方正黑体_GBK"/>
          <w:szCs w:val="32"/>
        </w:rPr>
      </w:pPr>
      <w:r>
        <w:rPr>
          <w:rFonts w:hint="eastAsia" w:ascii="方正黑体_GBK" w:eastAsia="方正黑体_GBK"/>
          <w:szCs w:val="32"/>
        </w:rPr>
        <w:t>中心城区防灾空间分区图</w:t>
      </w:r>
      <w:bookmarkEnd w:id="420"/>
    </w:p>
    <w:p>
      <w:pPr>
        <w:pStyle w:val="2"/>
        <w:spacing w:line="240" w:lineRule="auto"/>
        <w:ind w:firstLine="0" w:firstLineChars="0"/>
        <w:jc w:val="center"/>
        <w:rPr>
          <w:szCs w:val="32"/>
        </w:rPr>
      </w:pPr>
      <w:r>
        <w:rPr>
          <w:szCs w:val="32"/>
        </w:rPr>
        <w:drawing>
          <wp:inline distT="0" distB="0" distL="0" distR="0">
            <wp:extent cx="8651875" cy="5833745"/>
            <wp:effectExtent l="0" t="0" r="15875" b="146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9" cstate="hqprint"/>
                    <a:stretch>
                      <a:fillRect/>
                    </a:stretch>
                  </pic:blipFill>
                  <pic:spPr>
                    <a:xfrm>
                      <a:off x="0" y="0"/>
                      <a:ext cx="8652031" cy="5833745"/>
                    </a:xfrm>
                    <a:prstGeom prst="rect">
                      <a:avLst/>
                    </a:prstGeom>
                  </pic:spPr>
                </pic:pic>
              </a:graphicData>
            </a:graphic>
          </wp:inline>
        </w:drawing>
      </w:r>
    </w:p>
    <w:p>
      <w:pPr>
        <w:pStyle w:val="2"/>
        <w:keepNext/>
        <w:ind w:firstLine="0" w:firstLineChars="0"/>
        <w:rPr>
          <w:rFonts w:hint="eastAsia" w:ascii="方正黑体_GBK" w:eastAsia="方正黑体_GBK"/>
          <w:szCs w:val="32"/>
          <w:lang w:val="en-US" w:eastAsia="zh-CN"/>
        </w:rPr>
      </w:pPr>
      <w:bookmarkStart w:id="421" w:name="_Toc158044923"/>
      <w:r>
        <w:rPr>
          <w:rFonts w:hint="eastAsia" w:ascii="方正黑体_GBK" w:eastAsia="方正黑体_GBK"/>
          <w:szCs w:val="32"/>
        </w:rPr>
        <w:t>附图</w:t>
      </w:r>
      <w:r>
        <w:rPr>
          <w:rFonts w:hint="default" w:ascii="Times New Roman" w:hAnsi="Times New Roman" w:eastAsia="方正黑体_GBK" w:cs="Times New Roman"/>
          <w:szCs w:val="32"/>
          <w:lang w:val="en-US" w:eastAsia="zh-CN"/>
        </w:rPr>
        <w:t>7</w:t>
      </w:r>
      <w:r>
        <w:rPr>
          <w:rFonts w:hint="eastAsia" w:ascii="方正黑体_GBK" w:eastAsia="方正黑体_GBK"/>
          <w:szCs w:val="32"/>
          <w:lang w:val="en-US" w:eastAsia="zh-CN"/>
        </w:rPr>
        <w:t xml:space="preserve"> </w:t>
      </w:r>
    </w:p>
    <w:p>
      <w:pPr>
        <w:pStyle w:val="2"/>
        <w:keepNext/>
        <w:ind w:firstLine="0" w:firstLineChars="0"/>
        <w:jc w:val="center"/>
        <w:rPr>
          <w:rFonts w:ascii="方正黑体_GBK" w:eastAsia="方正黑体_GBK"/>
          <w:szCs w:val="32"/>
        </w:rPr>
      </w:pPr>
      <w:r>
        <w:rPr>
          <w:rFonts w:hint="eastAsia" w:ascii="方正黑体_GBK" w:eastAsia="方正黑体_GBK"/>
          <w:szCs w:val="32"/>
        </w:rPr>
        <w:t>中心城区救灾指挥机构分布图</w:t>
      </w:r>
      <w:bookmarkEnd w:id="421"/>
    </w:p>
    <w:p>
      <w:pPr>
        <w:pStyle w:val="2"/>
        <w:spacing w:line="240" w:lineRule="auto"/>
        <w:ind w:firstLine="0" w:firstLineChars="0"/>
        <w:jc w:val="center"/>
        <w:rPr>
          <w:szCs w:val="32"/>
        </w:rPr>
      </w:pPr>
      <w:r>
        <w:rPr>
          <w:szCs w:val="32"/>
        </w:rPr>
        <w:drawing>
          <wp:inline distT="0" distB="0" distL="0" distR="0">
            <wp:extent cx="8651875" cy="5739130"/>
            <wp:effectExtent l="0" t="0" r="15875" b="139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0" cstate="hqprint"/>
                    <a:stretch>
                      <a:fillRect/>
                    </a:stretch>
                  </pic:blipFill>
                  <pic:spPr>
                    <a:xfrm>
                      <a:off x="0" y="0"/>
                      <a:ext cx="8652031" cy="5739130"/>
                    </a:xfrm>
                    <a:prstGeom prst="rect">
                      <a:avLst/>
                    </a:prstGeom>
                  </pic:spPr>
                </pic:pic>
              </a:graphicData>
            </a:graphic>
          </wp:inline>
        </w:drawing>
      </w:r>
    </w:p>
    <w:p>
      <w:pPr>
        <w:pStyle w:val="2"/>
        <w:keepNext/>
        <w:ind w:firstLine="0" w:firstLineChars="0"/>
        <w:rPr>
          <w:rFonts w:hint="eastAsia" w:ascii="方正黑体_GBK" w:eastAsia="方正黑体_GBK"/>
          <w:szCs w:val="32"/>
          <w:lang w:val="en-US" w:eastAsia="zh-CN"/>
        </w:rPr>
      </w:pPr>
      <w:bookmarkStart w:id="422" w:name="_Toc158044924"/>
      <w:r>
        <w:rPr>
          <w:rFonts w:hint="eastAsia" w:ascii="方正黑体_GBK" w:eastAsia="方正黑体_GBK"/>
          <w:szCs w:val="32"/>
        </w:rPr>
        <w:t>附图</w:t>
      </w:r>
      <w:r>
        <w:rPr>
          <w:rFonts w:hint="default" w:ascii="Times New Roman" w:hAnsi="Times New Roman" w:eastAsia="方正黑体_GBK" w:cs="Times New Roman"/>
          <w:szCs w:val="32"/>
          <w:lang w:val="en-US" w:eastAsia="zh-CN"/>
        </w:rPr>
        <w:t>8</w:t>
      </w:r>
      <w:r>
        <w:rPr>
          <w:rFonts w:hint="eastAsia" w:ascii="方正黑体_GBK" w:eastAsia="方正黑体_GBK"/>
          <w:szCs w:val="32"/>
          <w:lang w:val="en-US" w:eastAsia="zh-CN"/>
        </w:rPr>
        <w:t xml:space="preserve"> </w:t>
      </w:r>
    </w:p>
    <w:p>
      <w:pPr>
        <w:pStyle w:val="2"/>
        <w:keepNext/>
        <w:ind w:firstLine="0" w:firstLineChars="0"/>
        <w:jc w:val="center"/>
        <w:rPr>
          <w:rFonts w:ascii="方正黑体_GBK" w:eastAsia="方正黑体_GBK"/>
          <w:szCs w:val="32"/>
        </w:rPr>
      </w:pPr>
      <w:r>
        <w:rPr>
          <w:rFonts w:hint="eastAsia" w:ascii="方正黑体_GBK" w:eastAsia="方正黑体_GBK"/>
          <w:szCs w:val="32"/>
        </w:rPr>
        <w:t>重要单位及超高层建筑分布图</w:t>
      </w:r>
      <w:bookmarkEnd w:id="422"/>
    </w:p>
    <w:p>
      <w:pPr>
        <w:pStyle w:val="2"/>
        <w:spacing w:line="240" w:lineRule="auto"/>
        <w:ind w:firstLine="0" w:firstLineChars="0"/>
        <w:jc w:val="center"/>
        <w:rPr>
          <w:szCs w:val="32"/>
        </w:rPr>
      </w:pPr>
      <w:r>
        <w:rPr>
          <w:szCs w:val="32"/>
        </w:rPr>
        <w:drawing>
          <wp:inline distT="0" distB="0" distL="0" distR="0">
            <wp:extent cx="8651875" cy="5710555"/>
            <wp:effectExtent l="0" t="0" r="15875"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1" cstate="hqprint"/>
                    <a:stretch>
                      <a:fillRect/>
                    </a:stretch>
                  </pic:blipFill>
                  <pic:spPr>
                    <a:xfrm>
                      <a:off x="0" y="0"/>
                      <a:ext cx="8652031" cy="5710555"/>
                    </a:xfrm>
                    <a:prstGeom prst="rect">
                      <a:avLst/>
                    </a:prstGeom>
                  </pic:spPr>
                </pic:pic>
              </a:graphicData>
            </a:graphic>
          </wp:inline>
        </w:drawing>
      </w:r>
    </w:p>
    <w:p>
      <w:pPr>
        <w:pStyle w:val="2"/>
        <w:keepNext/>
        <w:ind w:firstLine="0" w:firstLineChars="0"/>
        <w:rPr>
          <w:rFonts w:hint="default" w:ascii="Times New Roman" w:hAnsi="Times New Roman" w:eastAsia="方正黑体_GBK" w:cs="Times New Roman"/>
          <w:szCs w:val="32"/>
          <w:lang w:val="en-US" w:eastAsia="zh-CN"/>
        </w:rPr>
      </w:pPr>
      <w:bookmarkStart w:id="423" w:name="_Toc158044925"/>
      <w:r>
        <w:rPr>
          <w:rFonts w:hint="eastAsia" w:ascii="方正黑体_GBK" w:eastAsia="方正黑体_GBK"/>
          <w:szCs w:val="32"/>
        </w:rPr>
        <w:t>附图</w:t>
      </w:r>
      <w:r>
        <w:rPr>
          <w:rFonts w:hint="default" w:ascii="Times New Roman" w:hAnsi="Times New Roman" w:eastAsia="方正黑体_GBK" w:cs="Times New Roman"/>
          <w:szCs w:val="32"/>
          <w:lang w:val="en-US" w:eastAsia="zh-CN"/>
        </w:rPr>
        <w:t xml:space="preserve">9 </w:t>
      </w:r>
    </w:p>
    <w:p>
      <w:pPr>
        <w:pStyle w:val="2"/>
        <w:keepNext/>
        <w:ind w:firstLine="0" w:firstLineChars="0"/>
        <w:jc w:val="center"/>
        <w:rPr>
          <w:rFonts w:ascii="方正黑体_GBK" w:eastAsia="方正黑体_GBK"/>
          <w:szCs w:val="32"/>
        </w:rPr>
      </w:pPr>
      <w:r>
        <w:rPr>
          <w:rFonts w:hint="eastAsia" w:ascii="方正黑体_GBK" w:eastAsia="方正黑体_GBK"/>
          <w:szCs w:val="32"/>
        </w:rPr>
        <w:t>中心城区房屋抗震薄弱区分布图</w:t>
      </w:r>
      <w:bookmarkEnd w:id="423"/>
    </w:p>
    <w:p>
      <w:pPr>
        <w:pStyle w:val="2"/>
        <w:spacing w:line="240" w:lineRule="auto"/>
        <w:ind w:firstLine="0" w:firstLineChars="0"/>
        <w:jc w:val="center"/>
        <w:rPr>
          <w:szCs w:val="32"/>
        </w:rPr>
      </w:pPr>
      <w:r>
        <w:rPr>
          <w:szCs w:val="32"/>
        </w:rPr>
        <w:drawing>
          <wp:inline distT="0" distB="0" distL="0" distR="0">
            <wp:extent cx="8651875" cy="5748655"/>
            <wp:effectExtent l="0" t="0" r="15875"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2" cstate="hqprint"/>
                    <a:stretch>
                      <a:fillRect/>
                    </a:stretch>
                  </pic:blipFill>
                  <pic:spPr>
                    <a:xfrm>
                      <a:off x="0" y="0"/>
                      <a:ext cx="8652031" cy="5748655"/>
                    </a:xfrm>
                    <a:prstGeom prst="rect">
                      <a:avLst/>
                    </a:prstGeom>
                  </pic:spPr>
                </pic:pic>
              </a:graphicData>
            </a:graphic>
          </wp:inline>
        </w:drawing>
      </w:r>
    </w:p>
    <w:p>
      <w:pPr>
        <w:pStyle w:val="2"/>
        <w:keepNext/>
        <w:ind w:firstLine="0" w:firstLineChars="0"/>
        <w:rPr>
          <w:rFonts w:hint="eastAsia" w:ascii="方正黑体_GBK" w:eastAsia="方正黑体_GBK"/>
          <w:szCs w:val="32"/>
          <w:lang w:val="en-US" w:eastAsia="zh-CN"/>
        </w:rPr>
      </w:pPr>
      <w:bookmarkStart w:id="424" w:name="_Toc158044926"/>
      <w:r>
        <w:rPr>
          <w:rFonts w:hint="eastAsia" w:ascii="方正黑体_GBK" w:eastAsia="方正黑体_GBK"/>
          <w:szCs w:val="32"/>
        </w:rPr>
        <w:t>附图</w:t>
      </w:r>
      <w:r>
        <w:rPr>
          <w:rFonts w:hint="default" w:ascii="Times New Roman" w:hAnsi="Times New Roman" w:eastAsia="方正黑体_GBK" w:cs="Times New Roman"/>
          <w:szCs w:val="32"/>
          <w:lang w:val="en-US" w:eastAsia="zh-CN"/>
        </w:rPr>
        <w:t>10</w:t>
      </w:r>
      <w:r>
        <w:rPr>
          <w:rFonts w:hint="eastAsia" w:ascii="方正黑体_GBK" w:eastAsia="方正黑体_GBK"/>
          <w:szCs w:val="32"/>
          <w:lang w:val="en-US" w:eastAsia="zh-CN"/>
        </w:rPr>
        <w:t xml:space="preserve"> </w:t>
      </w:r>
    </w:p>
    <w:p>
      <w:pPr>
        <w:pStyle w:val="2"/>
        <w:keepNext/>
        <w:ind w:firstLine="0" w:firstLineChars="0"/>
        <w:jc w:val="center"/>
        <w:rPr>
          <w:rFonts w:ascii="方正黑体_GBK" w:eastAsia="方正黑体_GBK"/>
          <w:szCs w:val="32"/>
        </w:rPr>
      </w:pPr>
      <w:r>
        <w:rPr>
          <w:rFonts w:hint="eastAsia" w:ascii="方正黑体_GBK" w:eastAsia="方正黑体_GBK"/>
          <w:szCs w:val="32"/>
        </w:rPr>
        <w:t>中心城区次生灾害源分布图</w:t>
      </w:r>
      <w:bookmarkEnd w:id="424"/>
    </w:p>
    <w:p>
      <w:pPr>
        <w:pStyle w:val="2"/>
        <w:spacing w:line="240" w:lineRule="auto"/>
        <w:ind w:firstLine="0" w:firstLineChars="0"/>
        <w:jc w:val="center"/>
        <w:rPr>
          <w:szCs w:val="32"/>
        </w:rPr>
      </w:pPr>
      <w:r>
        <w:rPr>
          <w:szCs w:val="32"/>
        </w:rPr>
        <w:drawing>
          <wp:inline distT="0" distB="0" distL="0" distR="0">
            <wp:extent cx="8651875" cy="5720715"/>
            <wp:effectExtent l="0" t="0" r="15875" b="133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cstate="hqprint"/>
                    <a:stretch>
                      <a:fillRect/>
                    </a:stretch>
                  </pic:blipFill>
                  <pic:spPr>
                    <a:xfrm>
                      <a:off x="0" y="0"/>
                      <a:ext cx="8652031" cy="5720715"/>
                    </a:xfrm>
                    <a:prstGeom prst="rect">
                      <a:avLst/>
                    </a:prstGeom>
                  </pic:spPr>
                </pic:pic>
              </a:graphicData>
            </a:graphic>
          </wp:inline>
        </w:drawing>
      </w:r>
    </w:p>
    <w:p>
      <w:pPr>
        <w:pStyle w:val="2"/>
        <w:keepNext/>
        <w:ind w:firstLine="0" w:firstLineChars="0"/>
        <w:rPr>
          <w:rFonts w:hint="eastAsia" w:ascii="方正黑体_GBK" w:eastAsia="方正黑体_GBK"/>
          <w:szCs w:val="32"/>
          <w:lang w:val="en-US" w:eastAsia="zh-CN"/>
        </w:rPr>
      </w:pPr>
      <w:bookmarkStart w:id="425" w:name="_Toc158044927"/>
      <w:r>
        <w:rPr>
          <w:rFonts w:hint="eastAsia" w:ascii="方正黑体_GBK" w:eastAsia="方正黑体_GBK"/>
          <w:szCs w:val="32"/>
        </w:rPr>
        <w:t>附</w:t>
      </w:r>
      <w:r>
        <w:rPr>
          <w:rFonts w:hint="default" w:ascii="Times New Roman" w:hAnsi="Times New Roman" w:eastAsia="方正黑体_GBK" w:cs="Times New Roman"/>
          <w:szCs w:val="32"/>
        </w:rPr>
        <w:t>图</w:t>
      </w:r>
      <w:r>
        <w:rPr>
          <w:rFonts w:hint="default" w:ascii="Times New Roman" w:hAnsi="Times New Roman" w:eastAsia="方正黑体_GBK" w:cs="Times New Roman"/>
          <w:szCs w:val="32"/>
          <w:lang w:val="en-US" w:eastAsia="zh-CN"/>
        </w:rPr>
        <w:t>11</w:t>
      </w:r>
      <w:r>
        <w:rPr>
          <w:rFonts w:hint="eastAsia" w:ascii="方正黑体_GBK" w:eastAsia="方正黑体_GBK"/>
          <w:szCs w:val="32"/>
          <w:lang w:val="en-US" w:eastAsia="zh-CN"/>
        </w:rPr>
        <w:t xml:space="preserve"> </w:t>
      </w:r>
    </w:p>
    <w:p>
      <w:pPr>
        <w:pStyle w:val="2"/>
        <w:keepNext/>
        <w:ind w:firstLine="0" w:firstLineChars="0"/>
        <w:jc w:val="center"/>
        <w:rPr>
          <w:rFonts w:ascii="方正黑体_GBK" w:eastAsia="方正黑体_GBK"/>
          <w:szCs w:val="32"/>
        </w:rPr>
      </w:pPr>
      <w:r>
        <w:rPr>
          <w:rFonts w:hint="eastAsia" w:ascii="方正黑体_GBK" w:eastAsia="方正黑体_GBK"/>
          <w:szCs w:val="32"/>
        </w:rPr>
        <w:t>中心城区应急疏散通道规划图</w:t>
      </w:r>
      <w:bookmarkEnd w:id="425"/>
    </w:p>
    <w:p>
      <w:pPr>
        <w:pStyle w:val="2"/>
        <w:spacing w:line="240" w:lineRule="auto"/>
        <w:ind w:firstLine="0" w:firstLineChars="0"/>
        <w:jc w:val="center"/>
        <w:rPr>
          <w:szCs w:val="32"/>
        </w:rPr>
      </w:pPr>
      <w:r>
        <w:rPr>
          <w:szCs w:val="32"/>
        </w:rPr>
        <w:drawing>
          <wp:inline distT="0" distB="0" distL="0" distR="0">
            <wp:extent cx="8650605" cy="5710555"/>
            <wp:effectExtent l="0" t="0" r="17145"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cstate="hqprint"/>
                    <a:stretch>
                      <a:fillRect/>
                    </a:stretch>
                  </pic:blipFill>
                  <pic:spPr>
                    <a:xfrm>
                      <a:off x="0" y="0"/>
                      <a:ext cx="8650979" cy="5710555"/>
                    </a:xfrm>
                    <a:prstGeom prst="rect">
                      <a:avLst/>
                    </a:prstGeom>
                  </pic:spPr>
                </pic:pic>
              </a:graphicData>
            </a:graphic>
          </wp:inline>
        </w:drawing>
      </w:r>
    </w:p>
    <w:p>
      <w:pPr>
        <w:pStyle w:val="2"/>
        <w:keepNext/>
        <w:ind w:firstLine="0" w:firstLineChars="0"/>
        <w:rPr>
          <w:rFonts w:hint="eastAsia" w:ascii="方正黑体_GBK" w:eastAsia="方正黑体_GBK"/>
          <w:szCs w:val="32"/>
          <w:lang w:val="en-US" w:eastAsia="zh-CN"/>
        </w:rPr>
      </w:pPr>
      <w:bookmarkStart w:id="426" w:name="_Toc158044928"/>
      <w:r>
        <w:rPr>
          <w:rFonts w:hint="eastAsia" w:ascii="方正黑体_GBK" w:eastAsia="方正黑体_GBK"/>
          <w:szCs w:val="32"/>
        </w:rPr>
        <w:t>附图</w:t>
      </w:r>
      <w:r>
        <w:rPr>
          <w:rFonts w:hint="default" w:ascii="Times New Roman" w:hAnsi="Times New Roman" w:eastAsia="方正黑体_GBK" w:cs="Times New Roman"/>
          <w:szCs w:val="32"/>
          <w:lang w:val="en-US" w:eastAsia="zh-CN"/>
        </w:rPr>
        <w:t>12</w:t>
      </w:r>
      <w:r>
        <w:rPr>
          <w:rFonts w:hint="eastAsia" w:ascii="方正黑体_GBK" w:eastAsia="方正黑体_GBK"/>
          <w:szCs w:val="32"/>
          <w:lang w:val="en-US" w:eastAsia="zh-CN"/>
        </w:rPr>
        <w:t xml:space="preserve"> </w:t>
      </w:r>
    </w:p>
    <w:p>
      <w:pPr>
        <w:pStyle w:val="2"/>
        <w:keepNext/>
        <w:ind w:firstLine="0" w:firstLineChars="0"/>
        <w:jc w:val="center"/>
        <w:rPr>
          <w:rFonts w:ascii="方正黑体_GBK" w:eastAsia="方正黑体_GBK"/>
          <w:szCs w:val="32"/>
        </w:rPr>
      </w:pPr>
      <w:r>
        <w:rPr>
          <w:rFonts w:hint="eastAsia" w:ascii="方正黑体_GBK" w:eastAsia="方正黑体_GBK"/>
          <w:szCs w:val="32"/>
        </w:rPr>
        <w:t>中心城区应急避难场所规划图</w:t>
      </w:r>
      <w:bookmarkEnd w:id="426"/>
    </w:p>
    <w:p>
      <w:pPr>
        <w:pStyle w:val="2"/>
        <w:spacing w:line="240" w:lineRule="auto"/>
        <w:ind w:firstLine="0" w:firstLineChars="0"/>
        <w:jc w:val="center"/>
        <w:rPr>
          <w:szCs w:val="32"/>
        </w:rPr>
      </w:pPr>
      <w:r>
        <w:rPr>
          <w:szCs w:val="32"/>
        </w:rPr>
        <w:drawing>
          <wp:inline distT="0" distB="0" distL="0" distR="0">
            <wp:extent cx="8650605" cy="5824220"/>
            <wp:effectExtent l="0" t="0" r="17145"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5" cstate="hqprint"/>
                    <a:stretch>
                      <a:fillRect/>
                    </a:stretch>
                  </pic:blipFill>
                  <pic:spPr>
                    <a:xfrm>
                      <a:off x="0" y="0"/>
                      <a:ext cx="8650979" cy="5824220"/>
                    </a:xfrm>
                    <a:prstGeom prst="rect">
                      <a:avLst/>
                    </a:prstGeom>
                  </pic:spPr>
                </pic:pic>
              </a:graphicData>
            </a:graphic>
          </wp:inline>
        </w:drawing>
      </w:r>
    </w:p>
    <w:p>
      <w:pPr>
        <w:pStyle w:val="2"/>
        <w:keepNext/>
        <w:ind w:firstLine="0" w:firstLineChars="0"/>
        <w:rPr>
          <w:rFonts w:hint="default" w:ascii="Times New Roman" w:hAnsi="Times New Roman" w:eastAsia="方正黑体_GBK" w:cs="Times New Roman"/>
          <w:szCs w:val="32"/>
          <w:lang w:val="en-US" w:eastAsia="zh-CN"/>
        </w:rPr>
      </w:pPr>
      <w:bookmarkStart w:id="427" w:name="_Toc158044929"/>
      <w:r>
        <w:rPr>
          <w:rFonts w:hint="eastAsia" w:ascii="方正黑体_GBK" w:eastAsia="方正黑体_GBK"/>
          <w:szCs w:val="32"/>
        </w:rPr>
        <w:t>附图</w:t>
      </w:r>
      <w:r>
        <w:rPr>
          <w:rFonts w:hint="default" w:ascii="Times New Roman" w:hAnsi="Times New Roman" w:eastAsia="方正黑体_GBK" w:cs="Times New Roman"/>
          <w:szCs w:val="32"/>
          <w:lang w:val="en-US" w:eastAsia="zh-CN"/>
        </w:rPr>
        <w:t xml:space="preserve">13 </w:t>
      </w:r>
    </w:p>
    <w:p>
      <w:pPr>
        <w:pStyle w:val="2"/>
        <w:keepNext/>
        <w:ind w:firstLine="0" w:firstLineChars="0"/>
        <w:jc w:val="center"/>
        <w:rPr>
          <w:rFonts w:ascii="方正黑体_GBK" w:eastAsia="方正黑体_GBK"/>
          <w:szCs w:val="32"/>
        </w:rPr>
      </w:pPr>
      <w:r>
        <w:rPr>
          <w:rFonts w:hint="eastAsia" w:ascii="方正黑体_GBK" w:eastAsia="方正黑体_GBK"/>
          <w:szCs w:val="32"/>
        </w:rPr>
        <w:t>中心城区应急医疗保障规划图</w:t>
      </w:r>
      <w:bookmarkEnd w:id="427"/>
    </w:p>
    <w:p>
      <w:pPr>
        <w:pStyle w:val="2"/>
        <w:spacing w:line="240" w:lineRule="auto"/>
        <w:ind w:firstLine="0" w:firstLineChars="0"/>
        <w:jc w:val="center"/>
        <w:rPr>
          <w:szCs w:val="32"/>
        </w:rPr>
      </w:pPr>
      <w:r>
        <w:rPr>
          <w:szCs w:val="32"/>
        </w:rPr>
        <w:drawing>
          <wp:inline distT="0" distB="0" distL="0" distR="0">
            <wp:extent cx="8650605" cy="5833745"/>
            <wp:effectExtent l="0" t="0" r="17145" b="146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6" cstate="hqprint"/>
                    <a:stretch>
                      <a:fillRect/>
                    </a:stretch>
                  </pic:blipFill>
                  <pic:spPr>
                    <a:xfrm>
                      <a:off x="0" y="0"/>
                      <a:ext cx="8650979" cy="5833745"/>
                    </a:xfrm>
                    <a:prstGeom prst="rect">
                      <a:avLst/>
                    </a:prstGeom>
                  </pic:spPr>
                </pic:pic>
              </a:graphicData>
            </a:graphic>
          </wp:inline>
        </w:drawing>
      </w:r>
    </w:p>
    <w:p>
      <w:pPr>
        <w:pStyle w:val="2"/>
        <w:keepNext/>
        <w:ind w:firstLine="0" w:firstLineChars="0"/>
        <w:rPr>
          <w:rFonts w:hint="default" w:ascii="Times New Roman" w:hAnsi="Times New Roman" w:eastAsia="方正黑体_GBK" w:cs="Times New Roman"/>
          <w:szCs w:val="32"/>
          <w:lang w:val="en-US" w:eastAsia="zh-CN"/>
        </w:rPr>
      </w:pPr>
      <w:bookmarkStart w:id="428" w:name="_Toc158044930"/>
      <w:r>
        <w:rPr>
          <w:rFonts w:hint="eastAsia" w:ascii="方正黑体_GBK" w:eastAsia="方正黑体_GBK"/>
          <w:szCs w:val="32"/>
        </w:rPr>
        <w:t>附图</w:t>
      </w:r>
      <w:r>
        <w:rPr>
          <w:rFonts w:hint="default" w:ascii="Times New Roman" w:hAnsi="Times New Roman" w:eastAsia="方正黑体_GBK" w:cs="Times New Roman"/>
          <w:szCs w:val="32"/>
          <w:lang w:val="en-US" w:eastAsia="zh-CN"/>
        </w:rPr>
        <w:t xml:space="preserve">14 </w:t>
      </w:r>
    </w:p>
    <w:p>
      <w:pPr>
        <w:pStyle w:val="2"/>
        <w:keepNext/>
        <w:ind w:firstLine="0" w:firstLineChars="0"/>
        <w:jc w:val="center"/>
        <w:rPr>
          <w:rFonts w:ascii="方正黑体_GBK" w:eastAsia="方正黑体_GBK"/>
          <w:szCs w:val="32"/>
        </w:rPr>
      </w:pPr>
      <w:r>
        <w:rPr>
          <w:rFonts w:hint="eastAsia" w:ascii="方正黑体_GBK" w:eastAsia="方正黑体_GBK"/>
          <w:szCs w:val="32"/>
        </w:rPr>
        <w:t>中心城区应急供水保障规划图</w:t>
      </w:r>
      <w:bookmarkEnd w:id="428"/>
    </w:p>
    <w:p>
      <w:pPr>
        <w:pStyle w:val="2"/>
        <w:spacing w:line="240" w:lineRule="auto"/>
        <w:ind w:firstLine="0" w:firstLineChars="0"/>
        <w:jc w:val="center"/>
        <w:rPr>
          <w:szCs w:val="32"/>
        </w:rPr>
      </w:pPr>
      <w:r>
        <w:rPr>
          <w:szCs w:val="32"/>
        </w:rPr>
        <w:drawing>
          <wp:inline distT="0" distB="0" distL="0" distR="0">
            <wp:extent cx="8650605" cy="5586730"/>
            <wp:effectExtent l="0" t="0" r="17145" b="139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7" cstate="hqprint"/>
                    <a:stretch>
                      <a:fillRect/>
                    </a:stretch>
                  </pic:blipFill>
                  <pic:spPr>
                    <a:xfrm>
                      <a:off x="0" y="0"/>
                      <a:ext cx="8650979" cy="5586730"/>
                    </a:xfrm>
                    <a:prstGeom prst="rect">
                      <a:avLst/>
                    </a:prstGeom>
                  </pic:spPr>
                </pic:pic>
              </a:graphicData>
            </a:graphic>
          </wp:inline>
        </w:drawing>
      </w:r>
    </w:p>
    <w:p>
      <w:pPr>
        <w:pStyle w:val="2"/>
        <w:keepNext/>
        <w:ind w:firstLine="0" w:firstLineChars="0"/>
        <w:rPr>
          <w:rFonts w:hint="eastAsia" w:ascii="方正黑体_GBK" w:eastAsia="方正黑体_GBK"/>
          <w:szCs w:val="32"/>
          <w:lang w:val="en-US" w:eastAsia="zh-CN"/>
        </w:rPr>
      </w:pPr>
      <w:bookmarkStart w:id="429" w:name="_Toc158044931"/>
      <w:r>
        <w:rPr>
          <w:rFonts w:hint="eastAsia" w:ascii="方正黑体_GBK" w:eastAsia="方正黑体_GBK"/>
          <w:szCs w:val="32"/>
        </w:rPr>
        <w:t>附图</w:t>
      </w:r>
      <w:r>
        <w:rPr>
          <w:rFonts w:hint="default" w:ascii="Times New Roman" w:hAnsi="Times New Roman" w:eastAsia="方正黑体_GBK" w:cs="Times New Roman"/>
          <w:szCs w:val="32"/>
          <w:lang w:val="en-US" w:eastAsia="zh-CN"/>
        </w:rPr>
        <w:t>15</w:t>
      </w:r>
      <w:r>
        <w:rPr>
          <w:rFonts w:hint="eastAsia" w:ascii="方正黑体_GBK" w:eastAsia="方正黑体_GBK"/>
          <w:szCs w:val="32"/>
          <w:lang w:val="en-US" w:eastAsia="zh-CN"/>
        </w:rPr>
        <w:t xml:space="preserve"> </w:t>
      </w:r>
    </w:p>
    <w:p>
      <w:pPr>
        <w:pStyle w:val="2"/>
        <w:keepNext/>
        <w:ind w:firstLine="0" w:firstLineChars="0"/>
        <w:jc w:val="center"/>
        <w:rPr>
          <w:rFonts w:ascii="方正黑体_GBK" w:eastAsia="方正黑体_GBK"/>
          <w:szCs w:val="32"/>
        </w:rPr>
      </w:pPr>
      <w:r>
        <w:rPr>
          <w:rFonts w:hint="eastAsia" w:ascii="方正黑体_GBK" w:eastAsia="方正黑体_GBK"/>
          <w:szCs w:val="32"/>
        </w:rPr>
        <w:t>中心城区应急供电保障规划图</w:t>
      </w:r>
      <w:bookmarkEnd w:id="429"/>
    </w:p>
    <w:p>
      <w:pPr>
        <w:pStyle w:val="2"/>
        <w:spacing w:line="240" w:lineRule="auto"/>
        <w:ind w:firstLine="0" w:firstLineChars="0"/>
        <w:jc w:val="center"/>
        <w:rPr>
          <w:szCs w:val="32"/>
        </w:rPr>
      </w:pPr>
      <w:r>
        <w:rPr>
          <w:szCs w:val="32"/>
        </w:rPr>
        <w:drawing>
          <wp:inline distT="0" distB="0" distL="0" distR="0">
            <wp:extent cx="8651875" cy="5805170"/>
            <wp:effectExtent l="0" t="0" r="1587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8" cstate="hqprint"/>
                    <a:stretch>
                      <a:fillRect/>
                    </a:stretch>
                  </pic:blipFill>
                  <pic:spPr>
                    <a:xfrm>
                      <a:off x="0" y="0"/>
                      <a:ext cx="8652031" cy="5805170"/>
                    </a:xfrm>
                    <a:prstGeom prst="rect">
                      <a:avLst/>
                    </a:prstGeom>
                  </pic:spPr>
                </pic:pic>
              </a:graphicData>
            </a:graphic>
          </wp:inline>
        </w:drawing>
      </w:r>
    </w:p>
    <w:p>
      <w:pPr>
        <w:pStyle w:val="2"/>
        <w:keepNext/>
        <w:ind w:firstLine="0" w:firstLineChars="0"/>
        <w:rPr>
          <w:rFonts w:hint="default" w:ascii="Times New Roman" w:hAnsi="Times New Roman" w:eastAsia="方正黑体_GBK" w:cs="Times New Roman"/>
          <w:szCs w:val="32"/>
          <w:lang w:val="en-US" w:eastAsia="zh-CN"/>
        </w:rPr>
      </w:pPr>
      <w:bookmarkStart w:id="430" w:name="_Toc158044932"/>
      <w:r>
        <w:rPr>
          <w:rFonts w:hint="eastAsia" w:ascii="方正黑体_GBK" w:eastAsia="方正黑体_GBK"/>
          <w:szCs w:val="32"/>
        </w:rPr>
        <w:t>附图</w:t>
      </w:r>
      <w:r>
        <w:rPr>
          <w:rFonts w:hint="default" w:ascii="Times New Roman" w:hAnsi="Times New Roman" w:eastAsia="方正黑体_GBK" w:cs="Times New Roman"/>
          <w:szCs w:val="32"/>
          <w:lang w:val="en-US" w:eastAsia="zh-CN"/>
        </w:rPr>
        <w:t xml:space="preserve">16 </w:t>
      </w:r>
    </w:p>
    <w:p>
      <w:pPr>
        <w:pStyle w:val="2"/>
        <w:keepNext/>
        <w:ind w:firstLine="0" w:firstLineChars="0"/>
        <w:jc w:val="center"/>
        <w:rPr>
          <w:rFonts w:ascii="方正黑体_GBK" w:eastAsia="方正黑体_GBK"/>
          <w:szCs w:val="32"/>
        </w:rPr>
      </w:pPr>
      <w:r>
        <w:rPr>
          <w:rFonts w:hint="eastAsia" w:ascii="方正黑体_GBK" w:eastAsia="方正黑体_GBK"/>
          <w:szCs w:val="32"/>
        </w:rPr>
        <w:t>中心城区应急通信保障规划图</w:t>
      </w:r>
      <w:bookmarkEnd w:id="430"/>
    </w:p>
    <w:p>
      <w:pPr>
        <w:pStyle w:val="2"/>
        <w:spacing w:line="240" w:lineRule="auto"/>
        <w:ind w:firstLine="0" w:firstLineChars="0"/>
        <w:jc w:val="center"/>
        <w:rPr>
          <w:szCs w:val="32"/>
        </w:rPr>
      </w:pPr>
      <w:r>
        <w:rPr>
          <w:szCs w:val="32"/>
        </w:rPr>
        <w:drawing>
          <wp:inline distT="0" distB="0" distL="0" distR="0">
            <wp:extent cx="8651875" cy="5824220"/>
            <wp:effectExtent l="0" t="0" r="15875"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9" cstate="hqprint"/>
                    <a:stretch>
                      <a:fillRect/>
                    </a:stretch>
                  </pic:blipFill>
                  <pic:spPr>
                    <a:xfrm>
                      <a:off x="0" y="0"/>
                      <a:ext cx="8652031" cy="5824220"/>
                    </a:xfrm>
                    <a:prstGeom prst="rect">
                      <a:avLst/>
                    </a:prstGeom>
                  </pic:spPr>
                </pic:pic>
              </a:graphicData>
            </a:graphic>
          </wp:inline>
        </w:drawing>
      </w:r>
    </w:p>
    <w:p>
      <w:pPr>
        <w:pStyle w:val="2"/>
        <w:keepNext/>
        <w:ind w:firstLine="0" w:firstLineChars="0"/>
        <w:rPr>
          <w:rFonts w:hint="default" w:ascii="Times New Roman" w:hAnsi="Times New Roman" w:eastAsia="方正黑体_GBK" w:cs="Times New Roman"/>
          <w:szCs w:val="32"/>
          <w:lang w:val="en-US" w:eastAsia="zh-CN"/>
        </w:rPr>
      </w:pPr>
      <w:bookmarkStart w:id="431" w:name="_Toc158044933"/>
      <w:r>
        <w:rPr>
          <w:rFonts w:hint="eastAsia" w:ascii="方正黑体_GBK" w:eastAsia="方正黑体_GBK"/>
          <w:szCs w:val="32"/>
        </w:rPr>
        <w:t>附图</w:t>
      </w:r>
      <w:r>
        <w:rPr>
          <w:rFonts w:hint="default" w:ascii="Times New Roman" w:hAnsi="Times New Roman" w:eastAsia="方正黑体_GBK" w:cs="Times New Roman"/>
          <w:szCs w:val="32"/>
          <w:lang w:val="en-US" w:eastAsia="zh-CN"/>
        </w:rPr>
        <w:t xml:space="preserve">17 </w:t>
      </w:r>
    </w:p>
    <w:p>
      <w:pPr>
        <w:pStyle w:val="2"/>
        <w:keepNext/>
        <w:ind w:firstLine="0" w:firstLineChars="0"/>
        <w:jc w:val="center"/>
        <w:rPr>
          <w:rFonts w:ascii="方正黑体_GBK" w:eastAsia="方正黑体_GBK"/>
          <w:szCs w:val="32"/>
        </w:rPr>
      </w:pPr>
      <w:r>
        <w:rPr>
          <w:rFonts w:hint="eastAsia" w:ascii="方正黑体_GBK" w:eastAsia="方正黑体_GBK"/>
          <w:szCs w:val="32"/>
        </w:rPr>
        <w:t>中心城区抗震救灾物资保障图</w:t>
      </w:r>
      <w:bookmarkEnd w:id="431"/>
    </w:p>
    <w:p>
      <w:pPr>
        <w:pStyle w:val="2"/>
        <w:spacing w:line="240" w:lineRule="auto"/>
        <w:ind w:firstLine="0" w:firstLineChars="0"/>
        <w:jc w:val="center"/>
        <w:rPr>
          <w:szCs w:val="32"/>
        </w:rPr>
      </w:pPr>
      <w:r>
        <w:rPr>
          <w:szCs w:val="32"/>
        </w:rPr>
        <w:drawing>
          <wp:inline distT="0" distB="0" distL="0" distR="0">
            <wp:extent cx="8650605" cy="5739130"/>
            <wp:effectExtent l="0" t="0" r="17145" b="139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0" cstate="hqprint"/>
                    <a:stretch>
                      <a:fillRect/>
                    </a:stretch>
                  </pic:blipFill>
                  <pic:spPr>
                    <a:xfrm>
                      <a:off x="0" y="0"/>
                      <a:ext cx="8650979" cy="5739130"/>
                    </a:xfrm>
                    <a:prstGeom prst="rect">
                      <a:avLst/>
                    </a:prstGeom>
                  </pic:spPr>
                </pic:pic>
              </a:graphicData>
            </a:graphic>
          </wp:inline>
        </w:drawing>
      </w:r>
    </w:p>
    <w:p>
      <w:pPr>
        <w:pStyle w:val="2"/>
        <w:keepNext/>
        <w:ind w:firstLine="0" w:firstLineChars="0"/>
        <w:rPr>
          <w:rFonts w:hint="default" w:ascii="Times New Roman" w:hAnsi="Times New Roman" w:eastAsia="方正黑体_GBK" w:cs="Times New Roman"/>
          <w:szCs w:val="32"/>
          <w:lang w:val="en-US" w:eastAsia="zh-CN"/>
        </w:rPr>
      </w:pPr>
      <w:bookmarkStart w:id="432" w:name="_Toc158044934"/>
      <w:r>
        <w:rPr>
          <w:rFonts w:hint="eastAsia" w:ascii="方正黑体_GBK" w:eastAsia="方正黑体_GBK"/>
          <w:szCs w:val="32"/>
        </w:rPr>
        <w:t>附图</w:t>
      </w:r>
      <w:r>
        <w:rPr>
          <w:rFonts w:hint="default" w:ascii="Times New Roman" w:hAnsi="Times New Roman" w:eastAsia="方正黑体_GBK" w:cs="Times New Roman"/>
          <w:szCs w:val="32"/>
          <w:lang w:val="en-US" w:eastAsia="zh-CN"/>
        </w:rPr>
        <w:t xml:space="preserve">18 </w:t>
      </w:r>
    </w:p>
    <w:p>
      <w:pPr>
        <w:pStyle w:val="2"/>
        <w:keepNext/>
        <w:ind w:firstLine="0" w:firstLineChars="0"/>
        <w:jc w:val="center"/>
        <w:rPr>
          <w:rFonts w:ascii="方正黑体_GBK" w:eastAsia="方正黑体_GBK"/>
          <w:szCs w:val="32"/>
        </w:rPr>
      </w:pPr>
      <w:r>
        <w:rPr>
          <w:rFonts w:hint="eastAsia" w:ascii="方正黑体_GBK" w:eastAsia="方正黑体_GBK"/>
          <w:szCs w:val="32"/>
        </w:rPr>
        <w:t>中心城区消防救援保障规划图</w:t>
      </w:r>
      <w:bookmarkEnd w:id="432"/>
    </w:p>
    <w:p>
      <w:pPr>
        <w:pStyle w:val="2"/>
        <w:spacing w:line="240" w:lineRule="auto"/>
        <w:ind w:firstLine="0" w:firstLineChars="0"/>
        <w:jc w:val="center"/>
        <w:rPr>
          <w:szCs w:val="32"/>
        </w:rPr>
        <w:sectPr>
          <w:footerReference r:id="rId15" w:type="default"/>
          <w:footerReference r:id="rId16" w:type="even"/>
          <w:pgSz w:w="16838" w:h="11906" w:orient="landscape"/>
          <w:pgMar w:top="720" w:right="720" w:bottom="720" w:left="720" w:header="567" w:footer="397" w:gutter="0"/>
          <w:pgNumType w:fmt="decimal"/>
          <w:cols w:space="720" w:num="1"/>
          <w:docGrid w:linePitch="579" w:charSpace="-849"/>
        </w:sectPr>
      </w:pPr>
      <w:r>
        <w:rPr>
          <w:szCs w:val="32"/>
        </w:rPr>
        <w:drawing>
          <wp:inline distT="0" distB="0" distL="0" distR="0">
            <wp:extent cx="8650605" cy="5833745"/>
            <wp:effectExtent l="0" t="0" r="17145" b="146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1" cstate="hqprint"/>
                    <a:stretch>
                      <a:fillRect/>
                    </a:stretch>
                  </pic:blipFill>
                  <pic:spPr>
                    <a:xfrm>
                      <a:off x="0" y="0"/>
                      <a:ext cx="8650979" cy="5833745"/>
                    </a:xfrm>
                    <a:prstGeom prst="rect">
                      <a:avLst/>
                    </a:prstGeom>
                  </pic:spPr>
                </pic:pic>
              </a:graphicData>
            </a:graphic>
          </wp:inline>
        </w:drawing>
      </w:r>
    </w:p>
    <w:p>
      <w:pPr>
        <w:pStyle w:val="2"/>
        <w:rPr>
          <w:szCs w:val="32"/>
        </w:rPr>
      </w:pPr>
    </w:p>
    <w:p>
      <w:pPr>
        <w:pStyle w:val="2"/>
        <w:rPr>
          <w:szCs w:val="32"/>
        </w:rPr>
      </w:pPr>
    </w:p>
    <w:p>
      <w:pPr>
        <w:pStyle w:val="2"/>
        <w:rPr>
          <w:szCs w:val="32"/>
        </w:rPr>
      </w:pPr>
    </w:p>
    <w:p>
      <w:pPr>
        <w:pStyle w:val="2"/>
        <w:rPr>
          <w:szCs w:val="32"/>
        </w:rPr>
      </w:pPr>
    </w:p>
    <w:p>
      <w:pPr>
        <w:pStyle w:val="2"/>
        <w:rPr>
          <w:szCs w:val="32"/>
        </w:rPr>
      </w:pPr>
    </w:p>
    <w:p>
      <w:pPr>
        <w:pStyle w:val="2"/>
        <w:rPr>
          <w:szCs w:val="32"/>
        </w:rPr>
      </w:pPr>
    </w:p>
    <w:p/>
    <w:p/>
    <w:bookmarkEnd w:id="0"/>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spacing w:line="240" w:lineRule="exact"/>
        <w:rPr>
          <w:rFonts w:hint="eastAsia"/>
        </w:rPr>
      </w:pPr>
    </w:p>
    <w:p>
      <w:pPr>
        <w:rPr>
          <w:rFonts w:hint="eastAsia"/>
        </w:rPr>
      </w:pPr>
    </w:p>
    <w:p>
      <w:pPr>
        <w:rPr>
          <w:rFonts w:hint="eastAsia"/>
        </w:rPr>
      </w:pPr>
    </w:p>
    <w:p>
      <w:pPr>
        <w:rPr>
          <w:rFonts w:hint="eastAsia"/>
        </w:rPr>
      </w:pPr>
    </w:p>
    <w:p>
      <w:pPr>
        <w:pBdr>
          <w:top w:val="single" w:color="auto" w:sz="6" w:space="1"/>
        </w:pBdr>
        <w:ind w:firstLine="276" w:firstLineChars="100"/>
        <w:rPr>
          <w:rFonts w:hint="eastAsia"/>
          <w:color w:val="000000"/>
          <w:kern w:val="0"/>
          <w:sz w:val="28"/>
          <w:szCs w:val="28"/>
          <w:lang w:eastAsia="zh-CN"/>
        </w:rPr>
      </w:pPr>
      <w:r>
        <w:rPr>
          <w:rFonts w:hint="eastAsia"/>
          <w:color w:val="000000"/>
          <w:kern w:val="0"/>
          <w:sz w:val="28"/>
          <w:szCs w:val="28"/>
        </w:rPr>
        <w:t>抄送：</w:t>
      </w:r>
      <w:bookmarkStart w:id="433" w:name="抄送"/>
      <w:bookmarkEnd w:id="433"/>
      <w:r>
        <w:rPr>
          <w:rFonts w:hint="eastAsia"/>
          <w:color w:val="000000"/>
          <w:kern w:val="0"/>
          <w:sz w:val="28"/>
          <w:szCs w:val="28"/>
          <w:lang w:eastAsia="zh-CN"/>
        </w:rPr>
        <w:t>区</w:t>
      </w:r>
      <w:r>
        <w:rPr>
          <w:rFonts w:hint="eastAsia"/>
          <w:color w:val="000000"/>
          <w:spacing w:val="-11"/>
          <w:kern w:val="0"/>
          <w:sz w:val="28"/>
          <w:szCs w:val="28"/>
          <w:lang w:eastAsia="zh-CN"/>
        </w:rPr>
        <w:t>委办公室，区人大常委会办公室，区政协办公室，区纪委</w:t>
      </w:r>
      <w:r>
        <w:rPr>
          <w:rFonts w:hint="eastAsia"/>
          <w:color w:val="000000"/>
          <w:kern w:val="0"/>
          <w:sz w:val="28"/>
          <w:szCs w:val="28"/>
          <w:lang w:eastAsia="zh-CN"/>
        </w:rPr>
        <w:t>监委机关，</w:t>
      </w:r>
    </w:p>
    <w:p>
      <w:pPr>
        <w:pBdr>
          <w:top w:val="single" w:color="auto" w:sz="6" w:space="1"/>
        </w:pBdr>
        <w:ind w:firstLine="1104" w:firstLineChars="400"/>
        <w:rPr>
          <w:rFonts w:hint="eastAsia" w:eastAsia="方正仿宋_GBK"/>
          <w:spacing w:val="-18"/>
          <w:sz w:val="28"/>
          <w:szCs w:val="28"/>
          <w:lang w:eastAsia="zh-CN"/>
        </w:rPr>
      </w:pPr>
      <w:r>
        <w:rPr>
          <w:rFonts w:hint="eastAsia"/>
          <w:color w:val="000000"/>
          <w:kern w:val="0"/>
          <w:sz w:val="28"/>
          <w:szCs w:val="28"/>
          <w:lang w:eastAsia="zh-CN"/>
        </w:rPr>
        <w:t>区法院，区检察院，区人武部。</w:t>
      </w:r>
    </w:p>
    <w:p>
      <w:pPr>
        <w:pBdr>
          <w:top w:val="single" w:color="auto" w:sz="4" w:space="1"/>
          <w:bottom w:val="single" w:color="auto" w:sz="6" w:space="1"/>
        </w:pBdr>
        <w:ind w:firstLine="276" w:firstLineChars="100"/>
      </w:pPr>
      <w:r>
        <w:rPr>
          <w:rFonts w:hint="eastAsia"/>
          <w:color w:val="000000"/>
          <w:kern w:val="0"/>
          <w:sz w:val="28"/>
          <w:szCs w:val="28"/>
        </w:rPr>
        <w:t>重庆市綦江区人民政府办公室</w:t>
      </w:r>
      <w:r>
        <w:rPr>
          <w:sz w:val="28"/>
          <w:szCs w:val="28"/>
        </w:rPr>
        <w:t xml:space="preserve">      </w:t>
      </w:r>
      <w:r>
        <w:rPr>
          <w:rFonts w:hint="eastAsia"/>
          <w:sz w:val="28"/>
          <w:szCs w:val="28"/>
        </w:rPr>
        <w:t xml:space="preserve"> </w:t>
      </w:r>
      <w:r>
        <w:rPr>
          <w:sz w:val="28"/>
          <w:szCs w:val="28"/>
        </w:rPr>
        <w:t xml:space="preserve">   </w:t>
      </w:r>
      <w:r>
        <w:rPr>
          <w:rFonts w:hint="eastAsia"/>
          <w:sz w:val="28"/>
          <w:szCs w:val="28"/>
          <w:lang w:val="en-US" w:eastAsia="zh-CN"/>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lang w:val="en-US" w:eastAsia="zh-CN"/>
        </w:rPr>
        <w:t>2024</w:t>
      </w:r>
      <w:r>
        <w:rPr>
          <w:rFonts w:hint="eastAsia"/>
          <w:sz w:val="28"/>
          <w:szCs w:val="28"/>
        </w:rPr>
        <w:t>年</w:t>
      </w:r>
      <w:r>
        <w:rPr>
          <w:rFonts w:hint="eastAsia"/>
          <w:sz w:val="28"/>
          <w:szCs w:val="28"/>
          <w:lang w:val="en-US" w:eastAsia="zh-CN"/>
        </w:rPr>
        <w:t>2</w:t>
      </w:r>
      <w:r>
        <w:rPr>
          <w:rFonts w:hint="eastAsia"/>
          <w:sz w:val="28"/>
          <w:szCs w:val="28"/>
        </w:rPr>
        <w:t>月</w:t>
      </w:r>
      <w:r>
        <w:rPr>
          <w:rFonts w:hint="eastAsia"/>
          <w:sz w:val="28"/>
          <w:szCs w:val="28"/>
          <w:lang w:val="en-US" w:eastAsia="zh-CN"/>
        </w:rPr>
        <w:t>21</w:t>
      </w:r>
      <w:r>
        <w:rPr>
          <w:rFonts w:hint="eastAsia"/>
          <w:sz w:val="28"/>
          <w:szCs w:val="28"/>
        </w:rPr>
        <w:t>日印发</w:t>
      </w:r>
    </w:p>
    <w:sectPr>
      <w:headerReference r:id="rId19" w:type="first"/>
      <w:footerReference r:id="rId22" w:type="first"/>
      <w:headerReference r:id="rId17" w:type="default"/>
      <w:footerReference r:id="rId20" w:type="default"/>
      <w:headerReference r:id="rId18" w:type="even"/>
      <w:footerReference r:id="rId21" w:type="even"/>
      <w:pgSz w:w="11906" w:h="16838"/>
      <w:pgMar w:top="2098" w:right="1531" w:bottom="1985" w:left="1531" w:header="851" w:footer="1474" w:gutter="0"/>
      <w:pgNumType w:fmt="decimal" w:start="1"/>
      <w:cols w:space="720"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modern"/>
    <w:pitch w:val="default"/>
    <w:sig w:usb0="E0000AFF" w:usb1="00007843" w:usb2="00000001" w:usb3="00000000" w:csb0="400001BF" w:csb1="DFF7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仿宋">
    <w:panose1 w:val="02010609060101010101"/>
    <w:charset w:val="86"/>
    <w:family w:val="decorative"/>
    <w:pitch w:val="default"/>
    <w:sig w:usb0="800002BF" w:usb1="38CF7CFA" w:usb2="00000016" w:usb3="00000000" w:csb0="00040001" w:csb1="00000000"/>
  </w:font>
  <w:font w:name="Cambria">
    <w:panose1 w:val="02040503050406030204"/>
    <w:charset w:val="00"/>
    <w:family w:val="moder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C9FomErgEAAE0D&#10;AAAOAAAAAAAAAAEAIAAAAB4BAABkcnMvZTJvRG9jLnhtbFBLBQYAAAAABgAGAFkBAAA+BQAAAAA=&#10;">
              <v:fill on="f" focussize="0,0"/>
              <v:stroke on="f"/>
              <v:imagedata o:title=""/>
              <o:lock v:ext="edit" aspectratio="f"/>
              <v:textbox inset="0mm,0mm,0mm,0mm" style="mso-fit-shape-to-text:t;">
                <w:txbxContent>
                  <w:p>
                    <w:pPr>
                      <w:pStyle w:val="1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mc:Fallback>
      </mc:AlternateContent>
    </w:r>
    <w:sdt>
      <w:sdtPr>
        <w:id w:val="1856149712"/>
      </w:sdtPr>
      <w:sdtContent/>
    </w:sdt>
  </w:p>
  <w:p>
    <w:pPr>
      <w:pStyle w:val="1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outside" w:y="1"/>
      <w:ind w:right="360" w:firstLine="360"/>
      <w:jc w:val="right"/>
      <w:rPr>
        <w:sz w:val="28"/>
      </w:rPr>
    </w:pPr>
    <w:r>
      <w:rPr>
        <w:rStyle w:val="16"/>
        <w:rFonts w:hint="eastAsia"/>
        <w:sz w:val="28"/>
      </w:rPr>
      <w:t>―</w:t>
    </w:r>
    <w:r>
      <w:rPr>
        <w:kern w:val="0"/>
        <w:sz w:val="28"/>
      </w:rPr>
      <w:t xml:space="preserve"> </w:t>
    </w:r>
    <w:r>
      <w:rPr>
        <w:kern w:val="0"/>
        <w:sz w:val="28"/>
      </w:rPr>
      <w:fldChar w:fldCharType="begin"/>
    </w:r>
    <w:r>
      <w:rPr>
        <w:kern w:val="0"/>
        <w:sz w:val="28"/>
      </w:rPr>
      <w:instrText xml:space="preserve"> PAGE </w:instrText>
    </w:r>
    <w:r>
      <w:rPr>
        <w:kern w:val="0"/>
        <w:sz w:val="28"/>
      </w:rPr>
      <w:fldChar w:fldCharType="separate"/>
    </w:r>
    <w:r>
      <w:rPr>
        <w:kern w:val="0"/>
        <w:sz w:val="28"/>
      </w:rPr>
      <w:t>4</w:t>
    </w:r>
    <w:r>
      <w:rPr>
        <w:kern w:val="0"/>
        <w:sz w:val="28"/>
      </w:rPr>
      <w:fldChar w:fldCharType="end"/>
    </w:r>
    <w:r>
      <w:rPr>
        <w:kern w:val="0"/>
        <w:sz w:val="28"/>
      </w:rPr>
      <w:t xml:space="preserve"> </w:t>
    </w:r>
    <w:r>
      <w:rPr>
        <w:rStyle w:val="16"/>
        <w:rFonts w:hint="eastAsia"/>
        <w:sz w:val="28"/>
      </w:rPr>
      <w:t>―</w:t>
    </w:r>
  </w:p>
  <w:p>
    <w:pPr>
      <w:pStyle w:val="10"/>
      <w:ind w:right="360"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8"/>
        <w:szCs w:val="28"/>
      </w:rPr>
    </w:pPr>
  </w:p>
  <w:p>
    <w:pPr>
      <w:pStyle w:val="10"/>
      <w:rPr>
        <w:sz w:val="28"/>
        <w:szCs w:val="28"/>
      </w:rPr>
    </w:pPr>
  </w:p>
  <w:p>
    <w:pPr>
      <w:pStyle w:val="10"/>
      <w:rPr>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sz w:val="18"/>
      </w:rP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sz w:val="32"/>
                              <w:szCs w:val="32"/>
                            </w:rPr>
                          </w:pPr>
                          <w:r>
                            <w:rPr>
                              <w:sz w:val="32"/>
                              <w:szCs w:val="32"/>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r>
                            <w:rPr>
                              <w:sz w:val="32"/>
                              <w:szCs w:val="32"/>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Bmo4MrgEAAEsD&#10;AAAOAAAAAAAAAAEAIAAAAB4BAABkcnMvZTJvRG9jLnhtbFBLBQYAAAAABgAGAFkBAAA+BQAAAAA=&#10;">
              <v:fill on="f" focussize="0,0"/>
              <v:stroke on="f"/>
              <v:imagedata o:title=""/>
              <o:lock v:ext="edit" aspectratio="f"/>
              <v:textbox inset="0mm,0mm,0mm,0mm" style="mso-fit-shape-to-text:t;">
                <w:txbxContent>
                  <w:p>
                    <w:pPr>
                      <w:pStyle w:val="10"/>
                      <w:rPr>
                        <w:sz w:val="32"/>
                        <w:szCs w:val="32"/>
                      </w:rPr>
                    </w:pPr>
                    <w:r>
                      <w:rPr>
                        <w:sz w:val="32"/>
                        <w:szCs w:val="32"/>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r>
                      <w:rPr>
                        <w:sz w:val="32"/>
                        <w:szCs w:val="32"/>
                      </w:rPr>
                      <w:t xml:space="preserve"> —</w:t>
                    </w:r>
                  </w:p>
                </w:txbxContent>
              </v:textbox>
            </v:shape>
          </w:pict>
        </mc:Fallback>
      </mc:AlternateContent>
    </w:r>
  </w:p>
  <w:sdt>
    <w:sdtPr>
      <w:id w:val="-1734236609"/>
    </w:sdtPr>
    <w:sdtEndPr>
      <w:rPr>
        <w:sz w:val="28"/>
        <w:szCs w:val="28"/>
      </w:rPr>
    </w:sdtEndPr>
    <w:sdtContent>
      <w:p>
        <w:pPr>
          <w:pStyle w:val="10"/>
          <w:jc w:val="right"/>
          <w:rPr>
            <w:sz w:val="28"/>
            <w:szCs w:val="28"/>
          </w:rPr>
        </w:pPr>
      </w:p>
      <w:p>
        <w:pPr>
          <w:pStyle w:val="10"/>
          <w:jc w:val="right"/>
          <w:rPr>
            <w:sz w:val="28"/>
            <w:szCs w:val="28"/>
          </w:rPr>
        </w:pPr>
      </w:p>
      <w:p>
        <w:pPr>
          <w:pStyle w:val="10"/>
          <w:jc w:val="right"/>
          <w:rPr>
            <w:sz w:val="28"/>
            <w:szCs w:val="28"/>
          </w:rPr>
        </w:pPr>
      </w:p>
      <w:p>
        <w:pPr>
          <w:pStyle w:val="10"/>
          <w:jc w:val="right"/>
          <w:rPr>
            <w:sz w:val="28"/>
            <w:szCs w:val="28"/>
          </w:rPr>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8"/>
        <w:szCs w:val="28"/>
      </w:rPr>
    </w:pPr>
    <w:r>
      <w:rPr>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rPr>
      <w:t>8</w:t>
    </w:r>
    <w:r>
      <w:rPr>
        <w:sz w:val="28"/>
        <w:szCs w:val="28"/>
      </w:rPr>
      <w:fldChar w:fldCharType="end"/>
    </w:r>
    <w:r>
      <w:rPr>
        <w:sz w:val="28"/>
        <w:szCs w:val="28"/>
      </w:rPr>
      <w:t xml:space="preserve"> —</w:t>
    </w:r>
  </w:p>
  <w:p>
    <w:pPr>
      <w:pStyle w:val="10"/>
      <w:rPr>
        <w:sz w:val="28"/>
        <w:szCs w:val="28"/>
      </w:rPr>
    </w:pPr>
  </w:p>
  <w:p>
    <w:pPr>
      <w:pStyle w:val="10"/>
      <w:rPr>
        <w:sz w:val="28"/>
        <w:szCs w:val="28"/>
      </w:rPr>
    </w:pPr>
  </w:p>
  <w:p>
    <w:pPr>
      <w:pStyle w:val="10"/>
      <w:rPr>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sz w:val="18"/>
      </w:rP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8</w:t>
                          </w:r>
                          <w:r>
                            <w:rPr>
                              <w:sz w:val="28"/>
                              <w:szCs w:val="28"/>
                            </w:rPr>
                            <w:fldChar w:fldCharType="end"/>
                          </w:r>
                          <w:r>
                            <w:rPr>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RqoqKrgEAAEsD&#10;AAAOAAAAAAAAAAEAIAAAAB4BAABkcnMvZTJvRG9jLnhtbFBLBQYAAAAABgAGAFkBAAA+BQAAAAA=&#10;">
              <v:fill on="f" focussize="0,0"/>
              <v:stroke on="f"/>
              <v:imagedata o:title=""/>
              <o:lock v:ext="edit" aspectratio="f"/>
              <v:textbox inset="0mm,0mm,0mm,0mm" style="mso-fit-shape-to-text:t;">
                <w:txbxContent>
                  <w:p>
                    <w:pPr>
                      <w:pStyle w:val="1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8</w:t>
                    </w:r>
                    <w:r>
                      <w:rPr>
                        <w:sz w:val="28"/>
                        <w:szCs w:val="28"/>
                      </w:rPr>
                      <w:fldChar w:fldCharType="end"/>
                    </w:r>
                    <w:r>
                      <w:rPr>
                        <w:sz w:val="28"/>
                        <w:szCs w:val="28"/>
                      </w:rPr>
                      <w:t xml:space="preserve"> —</w:t>
                    </w:r>
                  </w:p>
                </w:txbxContent>
              </v:textbox>
            </v:shape>
          </w:pict>
        </mc:Fallback>
      </mc:AlternateContent>
    </w:r>
  </w:p>
  <w:sdt>
    <w:sdtPr>
      <w:id w:val="-1514139076"/>
    </w:sdtPr>
    <w:sdtEndPr>
      <w:rPr>
        <w:sz w:val="28"/>
        <w:szCs w:val="28"/>
      </w:rPr>
    </w:sdtEndPr>
    <w:sdtContent>
      <w:p>
        <w:pPr>
          <w:pStyle w:val="10"/>
          <w:jc w:val="right"/>
          <w:rPr>
            <w:sz w:val="28"/>
            <w:szCs w:val="28"/>
          </w:rPr>
        </w:pPr>
      </w:p>
      <w:p>
        <w:pPr>
          <w:pStyle w:val="10"/>
          <w:jc w:val="right"/>
          <w:rPr>
            <w:sz w:val="28"/>
            <w:szCs w:val="28"/>
          </w:rPr>
        </w:pPr>
      </w:p>
      <w:p>
        <w:pPr>
          <w:pStyle w:val="10"/>
          <w:jc w:val="right"/>
          <w:rPr>
            <w:sz w:val="28"/>
            <w:szCs w:val="28"/>
          </w:rPr>
        </w:pPr>
      </w:p>
      <w:p>
        <w:pPr>
          <w:pStyle w:val="10"/>
          <w:jc w:val="right"/>
          <w:rPr>
            <w:sz w:val="28"/>
            <w:szCs w:val="28"/>
          </w:rPr>
        </w:pP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8"/>
        <w:szCs w:val="28"/>
      </w:rPr>
      <w:id w:val="1360625274"/>
    </w:sdtPr>
    <w:sdtEndPr>
      <w:rPr>
        <w:sz w:val="28"/>
        <w:szCs w:val="28"/>
      </w:rPr>
    </w:sdtEndPr>
    <w:sdtContent>
      <w:p>
        <w:pPr>
          <w:pStyle w:val="10"/>
          <w:rPr>
            <w:sz w:val="28"/>
            <w:szCs w:val="28"/>
          </w:rPr>
        </w:pPr>
        <w:r>
          <w:rPr>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r>
          <w:rPr>
            <w:sz w:val="28"/>
            <w:szCs w:val="28"/>
          </w:rPr>
          <w:t xml:space="preserve"> —</w:t>
        </w:r>
      </w:p>
      <w:p>
        <w:pPr>
          <w:pStyle w:val="10"/>
          <w:rPr>
            <w:sz w:val="28"/>
            <w:szCs w:val="28"/>
          </w:rPr>
        </w:pPr>
      </w:p>
      <w:p>
        <w:pPr>
          <w:pStyle w:val="10"/>
          <w:rPr>
            <w:sz w:val="28"/>
            <w:szCs w:val="28"/>
          </w:rPr>
        </w:pPr>
      </w:p>
      <w:p>
        <w:pPr>
          <w:pStyle w:val="10"/>
          <w:rPr>
            <w:sz w:val="28"/>
            <w:szCs w:val="28"/>
          </w:rPr>
        </w:pP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103</w:t>
                          </w:r>
                          <w:r>
                            <w:rPr>
                              <w:sz w:val="28"/>
                              <w:szCs w:val="28"/>
                            </w:rPr>
                            <w:fldChar w:fldCharType="end"/>
                          </w:r>
                          <w:r>
                            <w:rPr>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hzD29rgEAAEsD&#10;AAAOAAAAAAAAAAEAIAAAAB4BAABkcnMvZTJvRG9jLnhtbFBLBQYAAAAABgAGAFkBAAA+BQAAAAA=&#10;">
              <v:fill on="f" focussize="0,0"/>
              <v:stroke on="f"/>
              <v:imagedata o:title=""/>
              <o:lock v:ext="edit" aspectratio="f"/>
              <v:textbox inset="0mm,0mm,0mm,0mm" style="mso-fit-shape-to-text:t;">
                <w:txbxContent>
                  <w:p>
                    <w:pPr>
                      <w:pStyle w:val="1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103</w:t>
                    </w:r>
                    <w:r>
                      <w:rPr>
                        <w:sz w:val="28"/>
                        <w:szCs w:val="28"/>
                      </w:rPr>
                      <w:fldChar w:fldCharType="end"/>
                    </w:r>
                    <w:r>
                      <w:rPr>
                        <w:sz w:val="28"/>
                        <w:szCs w:val="28"/>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8"/>
        <w:szCs w:val="28"/>
      </w:rPr>
      <w:id w:val="301745161"/>
    </w:sdtPr>
    <w:sdtEndPr>
      <w:rPr>
        <w:sz w:val="28"/>
        <w:szCs w:val="28"/>
      </w:rPr>
    </w:sdtEndPr>
    <w:sdtContent>
      <w:p>
        <w:pPr>
          <w:pStyle w:val="10"/>
          <w:rPr>
            <w:sz w:val="28"/>
            <w:szCs w:val="28"/>
          </w:rPr>
        </w:pPr>
        <w:r>
          <w:rPr>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r>
          <w:rPr>
            <w:sz w:val="28"/>
            <w:szCs w:val="28"/>
          </w:rP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240" w:lineRule="auto"/>
      <w:ind w:left="64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A753A3"/>
    <w:multiLevelType w:val="singleLevel"/>
    <w:tmpl w:val="45A753A3"/>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3NTdjMGE2OTI4YTZkN2FkYmMwZmRhN2EwNmRhZjkifQ=="/>
  </w:docVars>
  <w:rsids>
    <w:rsidRoot w:val="5B072B94"/>
    <w:rsid w:val="01BF3C85"/>
    <w:rsid w:val="025E1DBF"/>
    <w:rsid w:val="062B1550"/>
    <w:rsid w:val="07686765"/>
    <w:rsid w:val="078132F2"/>
    <w:rsid w:val="07FF7124"/>
    <w:rsid w:val="08706823"/>
    <w:rsid w:val="08AD262D"/>
    <w:rsid w:val="0B1C3B81"/>
    <w:rsid w:val="0B5C652F"/>
    <w:rsid w:val="0BC40E2C"/>
    <w:rsid w:val="0ED1097A"/>
    <w:rsid w:val="11775DB3"/>
    <w:rsid w:val="11DD3062"/>
    <w:rsid w:val="141322A8"/>
    <w:rsid w:val="15AA1B36"/>
    <w:rsid w:val="16A67808"/>
    <w:rsid w:val="17464D19"/>
    <w:rsid w:val="176E04F9"/>
    <w:rsid w:val="177C5787"/>
    <w:rsid w:val="17FF1F48"/>
    <w:rsid w:val="18C42557"/>
    <w:rsid w:val="19854706"/>
    <w:rsid w:val="198F641B"/>
    <w:rsid w:val="1A490668"/>
    <w:rsid w:val="1A7C20A0"/>
    <w:rsid w:val="1B9F21E6"/>
    <w:rsid w:val="1BE57E30"/>
    <w:rsid w:val="1C3E7916"/>
    <w:rsid w:val="1DC173FC"/>
    <w:rsid w:val="1E021EC4"/>
    <w:rsid w:val="1E703D57"/>
    <w:rsid w:val="1F132BCC"/>
    <w:rsid w:val="20BF1AFD"/>
    <w:rsid w:val="219D5ED5"/>
    <w:rsid w:val="241649D9"/>
    <w:rsid w:val="24C20F2B"/>
    <w:rsid w:val="26846429"/>
    <w:rsid w:val="27FFB401"/>
    <w:rsid w:val="28B408A1"/>
    <w:rsid w:val="28BB4380"/>
    <w:rsid w:val="28BE384B"/>
    <w:rsid w:val="29B469B0"/>
    <w:rsid w:val="2A6C5140"/>
    <w:rsid w:val="2BE274BC"/>
    <w:rsid w:val="2C882B1F"/>
    <w:rsid w:val="2C914C56"/>
    <w:rsid w:val="2EB731B3"/>
    <w:rsid w:val="2FB711E3"/>
    <w:rsid w:val="2FEFD09D"/>
    <w:rsid w:val="30C161A6"/>
    <w:rsid w:val="31B91A9E"/>
    <w:rsid w:val="31C31824"/>
    <w:rsid w:val="32B9695C"/>
    <w:rsid w:val="33FFAA1F"/>
    <w:rsid w:val="347102C0"/>
    <w:rsid w:val="36FB824A"/>
    <w:rsid w:val="36FF14E2"/>
    <w:rsid w:val="37404EB7"/>
    <w:rsid w:val="379F4DC4"/>
    <w:rsid w:val="37F30A97"/>
    <w:rsid w:val="37FF743D"/>
    <w:rsid w:val="39A771DD"/>
    <w:rsid w:val="39B1D96B"/>
    <w:rsid w:val="39DF0D72"/>
    <w:rsid w:val="39FF6429"/>
    <w:rsid w:val="3A76A321"/>
    <w:rsid w:val="3AB837C1"/>
    <w:rsid w:val="3ABD6060"/>
    <w:rsid w:val="3AEA669F"/>
    <w:rsid w:val="3BF3343C"/>
    <w:rsid w:val="3BFF61E8"/>
    <w:rsid w:val="3D56365A"/>
    <w:rsid w:val="3D7FDB02"/>
    <w:rsid w:val="3DFDC449"/>
    <w:rsid w:val="3E0C2C58"/>
    <w:rsid w:val="3EED75DB"/>
    <w:rsid w:val="3F5EA09C"/>
    <w:rsid w:val="3F5F41C2"/>
    <w:rsid w:val="3F6D0ECD"/>
    <w:rsid w:val="3F8D134C"/>
    <w:rsid w:val="3FDDEC28"/>
    <w:rsid w:val="40EF02F1"/>
    <w:rsid w:val="43F410E0"/>
    <w:rsid w:val="455D73C2"/>
    <w:rsid w:val="45A21444"/>
    <w:rsid w:val="48765307"/>
    <w:rsid w:val="4B357F44"/>
    <w:rsid w:val="4BCC1D1D"/>
    <w:rsid w:val="4C67372B"/>
    <w:rsid w:val="4C8A6ABC"/>
    <w:rsid w:val="4DDE3C03"/>
    <w:rsid w:val="4F0F02AF"/>
    <w:rsid w:val="4F3C112B"/>
    <w:rsid w:val="4F9D9C2D"/>
    <w:rsid w:val="4FD11112"/>
    <w:rsid w:val="513B3428"/>
    <w:rsid w:val="517D08A5"/>
    <w:rsid w:val="536A52C1"/>
    <w:rsid w:val="53D62593"/>
    <w:rsid w:val="56A15F28"/>
    <w:rsid w:val="56AA095E"/>
    <w:rsid w:val="570B5CB9"/>
    <w:rsid w:val="577CEB25"/>
    <w:rsid w:val="57D7694A"/>
    <w:rsid w:val="57DFA159"/>
    <w:rsid w:val="57FD5211"/>
    <w:rsid w:val="585A7C96"/>
    <w:rsid w:val="58651615"/>
    <w:rsid w:val="586F4C2F"/>
    <w:rsid w:val="588228D4"/>
    <w:rsid w:val="5A1C47C0"/>
    <w:rsid w:val="5A7011CB"/>
    <w:rsid w:val="5AFF0AE7"/>
    <w:rsid w:val="5B072B94"/>
    <w:rsid w:val="5B6D38EA"/>
    <w:rsid w:val="5B9C74D8"/>
    <w:rsid w:val="5BEC0457"/>
    <w:rsid w:val="5C4C7A0B"/>
    <w:rsid w:val="5C59AD03"/>
    <w:rsid w:val="5D6FA9E1"/>
    <w:rsid w:val="5DA1DB3C"/>
    <w:rsid w:val="5DDE497D"/>
    <w:rsid w:val="5E3FEE02"/>
    <w:rsid w:val="5E673B8E"/>
    <w:rsid w:val="5EB1E4FB"/>
    <w:rsid w:val="5EFFE5C8"/>
    <w:rsid w:val="5F3E8246"/>
    <w:rsid w:val="5F7DC049"/>
    <w:rsid w:val="5F9D8356"/>
    <w:rsid w:val="5FC15189"/>
    <w:rsid w:val="5FF32643"/>
    <w:rsid w:val="5FFF1B60"/>
    <w:rsid w:val="62D30CD5"/>
    <w:rsid w:val="63BF4B5D"/>
    <w:rsid w:val="63BFD06F"/>
    <w:rsid w:val="64240A2A"/>
    <w:rsid w:val="64524684"/>
    <w:rsid w:val="645B6EF9"/>
    <w:rsid w:val="64BE7378"/>
    <w:rsid w:val="64EE3E05"/>
    <w:rsid w:val="654023CC"/>
    <w:rsid w:val="65BF03CC"/>
    <w:rsid w:val="67CD6BF0"/>
    <w:rsid w:val="67EDD9D7"/>
    <w:rsid w:val="68F323F3"/>
    <w:rsid w:val="69EC02DA"/>
    <w:rsid w:val="6A7F393F"/>
    <w:rsid w:val="6AA7FDD7"/>
    <w:rsid w:val="6AAB583E"/>
    <w:rsid w:val="6B381D0A"/>
    <w:rsid w:val="6BA91EE6"/>
    <w:rsid w:val="6C6768C4"/>
    <w:rsid w:val="6C863CE1"/>
    <w:rsid w:val="6D4C6040"/>
    <w:rsid w:val="6DEE6335"/>
    <w:rsid w:val="6E5F99D0"/>
    <w:rsid w:val="6E706245"/>
    <w:rsid w:val="6EBB6168"/>
    <w:rsid w:val="6FF97C75"/>
    <w:rsid w:val="71352F85"/>
    <w:rsid w:val="714FF388"/>
    <w:rsid w:val="73BFBEF9"/>
    <w:rsid w:val="73F6BBC6"/>
    <w:rsid w:val="73F75F97"/>
    <w:rsid w:val="73FD57D1"/>
    <w:rsid w:val="742B4426"/>
    <w:rsid w:val="74A940ED"/>
    <w:rsid w:val="74DFCBD2"/>
    <w:rsid w:val="778783CB"/>
    <w:rsid w:val="77975045"/>
    <w:rsid w:val="779FDE01"/>
    <w:rsid w:val="77DF7E02"/>
    <w:rsid w:val="77E79329"/>
    <w:rsid w:val="77EB076D"/>
    <w:rsid w:val="77FD166C"/>
    <w:rsid w:val="782B45F7"/>
    <w:rsid w:val="78815F3D"/>
    <w:rsid w:val="7883EDD7"/>
    <w:rsid w:val="78B7151E"/>
    <w:rsid w:val="78DF397E"/>
    <w:rsid w:val="797C3A7A"/>
    <w:rsid w:val="798531B1"/>
    <w:rsid w:val="799DD1BF"/>
    <w:rsid w:val="79CDE503"/>
    <w:rsid w:val="7AFF08D5"/>
    <w:rsid w:val="7B851007"/>
    <w:rsid w:val="7B9F4362"/>
    <w:rsid w:val="7BB7FE3C"/>
    <w:rsid w:val="7BBE9D63"/>
    <w:rsid w:val="7BFF3CBE"/>
    <w:rsid w:val="7C3A65E9"/>
    <w:rsid w:val="7CF947A1"/>
    <w:rsid w:val="7D5E51A2"/>
    <w:rsid w:val="7D77D219"/>
    <w:rsid w:val="7DEA5838"/>
    <w:rsid w:val="7DF597A7"/>
    <w:rsid w:val="7E0F2246"/>
    <w:rsid w:val="7E235BA5"/>
    <w:rsid w:val="7E2AABD8"/>
    <w:rsid w:val="7E737D7E"/>
    <w:rsid w:val="7E7BF62E"/>
    <w:rsid w:val="7ECD33C9"/>
    <w:rsid w:val="7EF7048C"/>
    <w:rsid w:val="7EFBDF49"/>
    <w:rsid w:val="7EFD7591"/>
    <w:rsid w:val="7EFF4654"/>
    <w:rsid w:val="7F085FE9"/>
    <w:rsid w:val="7F1C6CDE"/>
    <w:rsid w:val="7F3F88F7"/>
    <w:rsid w:val="7F3FA096"/>
    <w:rsid w:val="7F5D04D9"/>
    <w:rsid w:val="7F7ED8C9"/>
    <w:rsid w:val="7F95D972"/>
    <w:rsid w:val="7F9B410D"/>
    <w:rsid w:val="7FAC13B2"/>
    <w:rsid w:val="7FCD41E7"/>
    <w:rsid w:val="7FDE5DAC"/>
    <w:rsid w:val="7FE20340"/>
    <w:rsid w:val="7FEEF401"/>
    <w:rsid w:val="7FF28C48"/>
    <w:rsid w:val="7FF75170"/>
    <w:rsid w:val="7FFB7A8F"/>
    <w:rsid w:val="7FFBC7D6"/>
    <w:rsid w:val="7FFEC654"/>
    <w:rsid w:val="7FFED615"/>
    <w:rsid w:val="847F60B0"/>
    <w:rsid w:val="85FFCE5F"/>
    <w:rsid w:val="8F7FE6BC"/>
    <w:rsid w:val="95FB5EFB"/>
    <w:rsid w:val="97B72D32"/>
    <w:rsid w:val="9EDE9DF2"/>
    <w:rsid w:val="9F6F5B42"/>
    <w:rsid w:val="9FDEEBAE"/>
    <w:rsid w:val="ABDFD8DF"/>
    <w:rsid w:val="ABF7F725"/>
    <w:rsid w:val="AD7BB893"/>
    <w:rsid w:val="AFBD346E"/>
    <w:rsid w:val="B2AA6D9B"/>
    <w:rsid w:val="B4CDC2FA"/>
    <w:rsid w:val="B6F6744F"/>
    <w:rsid w:val="B6F983D5"/>
    <w:rsid w:val="B79F8E6A"/>
    <w:rsid w:val="B7C78BB7"/>
    <w:rsid w:val="B9FFBD81"/>
    <w:rsid w:val="BADD58B2"/>
    <w:rsid w:val="BBD5771B"/>
    <w:rsid w:val="BBFF4F10"/>
    <w:rsid w:val="BF5707A4"/>
    <w:rsid w:val="BF93668A"/>
    <w:rsid w:val="BFB32A66"/>
    <w:rsid w:val="BFBF7229"/>
    <w:rsid w:val="BFFEBB1F"/>
    <w:rsid w:val="CF7535B6"/>
    <w:rsid w:val="CFBE2A2A"/>
    <w:rsid w:val="D0AE43C0"/>
    <w:rsid w:val="D3DB7C23"/>
    <w:rsid w:val="D57BDC38"/>
    <w:rsid w:val="D5EAA8A8"/>
    <w:rsid w:val="D646ACB8"/>
    <w:rsid w:val="D7770B1A"/>
    <w:rsid w:val="D7D77D13"/>
    <w:rsid w:val="D7F3137E"/>
    <w:rsid w:val="D9E1C320"/>
    <w:rsid w:val="DBBB49F1"/>
    <w:rsid w:val="DCB7C959"/>
    <w:rsid w:val="DDBDE836"/>
    <w:rsid w:val="DDEDDDEF"/>
    <w:rsid w:val="DDF53641"/>
    <w:rsid w:val="DE3FA8E9"/>
    <w:rsid w:val="DEB8F7ED"/>
    <w:rsid w:val="DFA34A87"/>
    <w:rsid w:val="DFBF6DD9"/>
    <w:rsid w:val="DFCF3224"/>
    <w:rsid w:val="DFFD163E"/>
    <w:rsid w:val="DFFDEBEB"/>
    <w:rsid w:val="DFFFC2B5"/>
    <w:rsid w:val="E57BB1DD"/>
    <w:rsid w:val="E6F742E4"/>
    <w:rsid w:val="E71E2BD6"/>
    <w:rsid w:val="EEFEBDD8"/>
    <w:rsid w:val="EEFF248F"/>
    <w:rsid w:val="EF6FC793"/>
    <w:rsid w:val="EFEFEA48"/>
    <w:rsid w:val="F3FDEDFF"/>
    <w:rsid w:val="F5DD37DB"/>
    <w:rsid w:val="F5FFC603"/>
    <w:rsid w:val="F6AFECB4"/>
    <w:rsid w:val="F6C69053"/>
    <w:rsid w:val="F77F7EC9"/>
    <w:rsid w:val="F79DE556"/>
    <w:rsid w:val="F7B67307"/>
    <w:rsid w:val="F7F7FB8A"/>
    <w:rsid w:val="F7FE8108"/>
    <w:rsid w:val="F9B69B8E"/>
    <w:rsid w:val="FA774E6D"/>
    <w:rsid w:val="FAFFFC03"/>
    <w:rsid w:val="FBB396CE"/>
    <w:rsid w:val="FBDD339A"/>
    <w:rsid w:val="FBFBF58D"/>
    <w:rsid w:val="FC5F3F52"/>
    <w:rsid w:val="FCBF131B"/>
    <w:rsid w:val="FCCFA8BC"/>
    <w:rsid w:val="FD2DD364"/>
    <w:rsid w:val="FDEA68B1"/>
    <w:rsid w:val="FDF84A62"/>
    <w:rsid w:val="FE3F100E"/>
    <w:rsid w:val="FEB7C60C"/>
    <w:rsid w:val="FF2D5D60"/>
    <w:rsid w:val="FF3E75F7"/>
    <w:rsid w:val="FF779A29"/>
    <w:rsid w:val="FF7E1CE8"/>
    <w:rsid w:val="FFA6ADB4"/>
    <w:rsid w:val="FFB54339"/>
    <w:rsid w:val="FFBF98B1"/>
    <w:rsid w:val="FFCF420B"/>
    <w:rsid w:val="FFDC6B77"/>
    <w:rsid w:val="FFDCF196"/>
    <w:rsid w:val="FFDF0C22"/>
    <w:rsid w:val="FFDFED3E"/>
    <w:rsid w:val="FFEAAB8E"/>
    <w:rsid w:val="FFFB9AF7"/>
    <w:rsid w:val="FFFF6512"/>
    <w:rsid w:val="FFFF6E9E"/>
    <w:rsid w:val="FFFF73A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lang w:val="en-US" w:eastAsia="zh-CN" w:bidi="ar-SA"/>
    </w:rPr>
  </w:style>
  <w:style w:type="paragraph" w:styleId="3">
    <w:name w:val="heading 1"/>
    <w:basedOn w:val="1"/>
    <w:next w:val="1"/>
    <w:qFormat/>
    <w:uiPriority w:val="9"/>
    <w:pPr>
      <w:keepNext/>
      <w:keepLines/>
      <w:spacing w:line="600" w:lineRule="exact"/>
      <w:jc w:val="center"/>
      <w:outlineLvl w:val="0"/>
    </w:pPr>
    <w:rPr>
      <w:rFonts w:ascii="Times New Roman" w:hAnsi="Times New Roman" w:eastAsia="方正小标宋_GBK" w:cstheme="minorBidi"/>
      <w:kern w:val="44"/>
      <w:sz w:val="44"/>
      <w:szCs w:val="32"/>
    </w:rPr>
  </w:style>
  <w:style w:type="paragraph" w:styleId="4">
    <w:name w:val="heading 2"/>
    <w:basedOn w:val="1"/>
    <w:next w:val="1"/>
    <w:unhideWhenUsed/>
    <w:qFormat/>
    <w:uiPriority w:val="0"/>
    <w:pPr>
      <w:keepNext/>
      <w:keepLines/>
      <w:spacing w:line="600" w:lineRule="atLeast"/>
      <w:ind w:firstLine="640" w:firstLineChars="200"/>
      <w:outlineLvl w:val="1"/>
    </w:pPr>
    <w:rPr>
      <w:rFonts w:ascii="Times New Roman" w:hAnsi="Times New Roman" w:eastAsia="方正黑体_GBK" w:cstheme="minorBidi"/>
      <w:kern w:val="0"/>
      <w:szCs w:val="32"/>
    </w:rPr>
  </w:style>
  <w:style w:type="paragraph" w:styleId="5">
    <w:name w:val="heading 3"/>
    <w:basedOn w:val="1"/>
    <w:next w:val="1"/>
    <w:unhideWhenUsed/>
    <w:qFormat/>
    <w:uiPriority w:val="9"/>
    <w:pPr>
      <w:keepNext/>
      <w:keepLines/>
      <w:spacing w:line="600" w:lineRule="exact"/>
      <w:ind w:firstLine="640" w:firstLineChars="200"/>
      <w:outlineLvl w:val="2"/>
    </w:pPr>
    <w:rPr>
      <w:rFonts w:ascii="Times New Roman" w:hAnsi="Times New Roman" w:eastAsia="方正楷体_GBK" w:cstheme="minorBidi"/>
      <w:kern w:val="0"/>
      <w:szCs w:val="32"/>
    </w:rPr>
  </w:style>
  <w:style w:type="character" w:default="1" w:styleId="15">
    <w:name w:val="Default Paragraph Font"/>
    <w:semiHidden/>
    <w:qFormat/>
    <w:uiPriority w:val="0"/>
  </w:style>
  <w:style w:type="table" w:default="1" w:styleId="18">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spacing w:line="576" w:lineRule="exact"/>
      <w:ind w:firstLine="640" w:firstLineChars="200"/>
    </w:pPr>
    <w:rPr>
      <w:rFonts w:ascii="Times New Roman" w:hAnsi="Times New Roman" w:cs="Times New Roman"/>
      <w:kern w:val="0"/>
      <w:szCs w:val="21"/>
    </w:rPr>
  </w:style>
  <w:style w:type="paragraph" w:styleId="6">
    <w:name w:val="table of authorities"/>
    <w:basedOn w:val="1"/>
    <w:next w:val="1"/>
    <w:qFormat/>
    <w:uiPriority w:val="0"/>
    <w:pPr>
      <w:spacing w:line="600" w:lineRule="exact"/>
      <w:ind w:left="200" w:leftChars="200" w:firstLine="640" w:firstLineChars="200"/>
    </w:pPr>
    <w:rPr>
      <w:rFonts w:ascii="Times New Roman" w:hAnsi="Times New Roman" w:cs="Times New Roman"/>
      <w:kern w:val="0"/>
      <w:szCs w:val="32"/>
    </w:rPr>
  </w:style>
  <w:style w:type="paragraph" w:styleId="7">
    <w:name w:val="caption"/>
    <w:basedOn w:val="1"/>
    <w:next w:val="1"/>
    <w:qFormat/>
    <w:uiPriority w:val="0"/>
    <w:rPr>
      <w:rFonts w:ascii="Arial" w:hAnsi="Arial" w:eastAsia="黑体" w:cs="Times New Roman"/>
      <w:sz w:val="20"/>
      <w:szCs w:val="22"/>
    </w:rPr>
  </w:style>
  <w:style w:type="paragraph" w:styleId="8">
    <w:name w:val="Body Text Indent"/>
    <w:basedOn w:val="1"/>
    <w:qFormat/>
    <w:uiPriority w:val="0"/>
    <w:pPr>
      <w:spacing w:after="120" w:line="600" w:lineRule="exact"/>
      <w:ind w:left="420" w:leftChars="200" w:firstLine="640" w:firstLineChars="200"/>
    </w:pPr>
    <w:rPr>
      <w:rFonts w:ascii="Times New Roman" w:hAnsi="Times New Roman" w:eastAsia="宋体" w:cs="Times New Roman"/>
      <w:sz w:val="21"/>
      <w:szCs w:val="22"/>
      <w:lang w:val="en-GB"/>
    </w:rPr>
  </w:style>
  <w:style w:type="paragraph" w:styleId="9">
    <w:name w:val="toc 3"/>
    <w:basedOn w:val="1"/>
    <w:next w:val="1"/>
    <w:qFormat/>
    <w:uiPriority w:val="39"/>
    <w:pPr>
      <w:ind w:left="640"/>
      <w:jc w:val="left"/>
    </w:pPr>
    <w:rPr>
      <w:rFonts w:asciiTheme="minorHAnsi" w:hAnsiTheme="minorHAnsi" w:cstheme="minorHAnsi"/>
      <w:i/>
      <w:iCs/>
      <w:sz w:val="20"/>
    </w:rPr>
  </w:style>
  <w:style w:type="paragraph" w:styleId="10">
    <w:name w:val="footer"/>
    <w:basedOn w:val="1"/>
    <w:next w:val="1"/>
    <w:qFormat/>
    <w:uiPriority w:val="99"/>
    <w:pPr>
      <w:tabs>
        <w:tab w:val="center" w:pos="4153"/>
        <w:tab w:val="right" w:pos="8306"/>
      </w:tabs>
      <w:snapToGrid w:val="0"/>
      <w:jc w:val="left"/>
    </w:pPr>
    <w:rPr>
      <w:sz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rPr>
  </w:style>
  <w:style w:type="paragraph" w:styleId="12">
    <w:name w:val="table of figures"/>
    <w:basedOn w:val="1"/>
    <w:next w:val="1"/>
    <w:unhideWhenUsed/>
    <w:qFormat/>
    <w:uiPriority w:val="99"/>
    <w:pPr>
      <w:ind w:left="640" w:hanging="640"/>
      <w:jc w:val="left"/>
    </w:pPr>
    <w:rPr>
      <w:rFonts w:cs="Times New Roman" w:asciiTheme="minorHAnsi" w:hAnsiTheme="minorHAnsi"/>
      <w:smallCaps/>
      <w:sz w:val="20"/>
    </w:rPr>
  </w:style>
  <w:style w:type="paragraph" w:styleId="13">
    <w:name w:val="toc 2"/>
    <w:basedOn w:val="1"/>
    <w:next w:val="1"/>
    <w:qFormat/>
    <w:uiPriority w:val="39"/>
    <w:pPr>
      <w:ind w:left="320"/>
      <w:jc w:val="left"/>
    </w:pPr>
    <w:rPr>
      <w:rFonts w:asciiTheme="minorHAnsi" w:hAnsiTheme="minorHAnsi" w:cstheme="minorHAnsi"/>
      <w:smallCaps/>
      <w:sz w:val="20"/>
    </w:rPr>
  </w:style>
  <w:style w:type="paragraph" w:styleId="14">
    <w:name w:val="Normal (Web)"/>
    <w:basedOn w:val="1"/>
    <w:qFormat/>
    <w:uiPriority w:val="99"/>
    <w:pPr>
      <w:spacing w:beforeAutospacing="1" w:afterAutospacing="1" w:line="600" w:lineRule="exact"/>
      <w:ind w:firstLine="640" w:firstLineChars="200"/>
      <w:jc w:val="left"/>
    </w:pPr>
    <w:rPr>
      <w:rFonts w:ascii="Times New Roman" w:hAnsi="Times New Roman" w:eastAsia="仿宋" w:cs="Times New Roman"/>
      <w:kern w:val="0"/>
      <w:sz w:val="24"/>
      <w:szCs w:val="32"/>
    </w:rPr>
  </w:style>
  <w:style w:type="character" w:styleId="16">
    <w:name w:val="page number"/>
    <w:basedOn w:val="15"/>
    <w:qFormat/>
    <w:uiPriority w:val="0"/>
  </w:style>
  <w:style w:type="character" w:styleId="17">
    <w:name w:val="Hyperlink"/>
    <w:unhideWhenUsed/>
    <w:qFormat/>
    <w:uiPriority w:val="99"/>
    <w:rPr>
      <w:rFonts w:ascii="Calibri" w:hAnsi="Calibri" w:eastAsia="宋体" w:cs="Times New Roman"/>
      <w:color w:val="0000FF"/>
      <w:u w:val="single"/>
    </w:rPr>
  </w:style>
  <w:style w:type="paragraph" w:customStyle="1" w:styleId="19">
    <w:name w:val="TOC 标题1"/>
    <w:basedOn w:val="3"/>
    <w:next w:val="1"/>
    <w:qFormat/>
    <w:uiPriority w:val="39"/>
    <w:pPr>
      <w:widowControl/>
      <w:spacing w:before="480" w:line="276" w:lineRule="auto"/>
      <w:jc w:val="left"/>
      <w:outlineLvl w:val="9"/>
    </w:pPr>
    <w:rPr>
      <w:rFonts w:ascii="Cambria" w:hAnsi="Cambria" w:eastAsia="宋体" w:cs="Times New Roman"/>
      <w:b/>
      <w:bCs/>
      <w:color w:val="365F91"/>
      <w:kern w:val="0"/>
      <w:sz w:val="28"/>
      <w:szCs w:val="28"/>
      <w:lang w:val="zh-CN"/>
    </w:rPr>
  </w:style>
  <w:style w:type="paragraph" w:customStyle="1" w:styleId="20">
    <w:name w:val="_Style 34"/>
    <w:basedOn w:val="1"/>
    <w:next w:val="21"/>
    <w:qFormat/>
    <w:uiPriority w:val="34"/>
    <w:pPr>
      <w:ind w:firstLine="420" w:firstLineChars="200"/>
    </w:pPr>
    <w:rPr>
      <w:rFonts w:ascii="Calibri" w:hAnsi="Calibri" w:eastAsia="宋体" w:cs="Times New Roman"/>
      <w:sz w:val="21"/>
      <w:szCs w:val="22"/>
    </w:rPr>
  </w:style>
  <w:style w:type="paragraph" w:customStyle="1" w:styleId="21">
    <w:name w:val="列表段落1"/>
    <w:basedOn w:val="1"/>
    <w:qFormat/>
    <w:uiPriority w:val="99"/>
    <w:pPr>
      <w:ind w:firstLine="420" w:firstLineChars="200"/>
    </w:pPr>
    <w:rPr>
      <w:rFonts w:ascii="Times New Roman" w:hAnsi="Times New Roman" w:cs="Times New Roman"/>
    </w:rPr>
  </w:style>
  <w:style w:type="paragraph" w:customStyle="1" w:styleId="22">
    <w:name w:val="msolistparagraph"/>
    <w:basedOn w:val="1"/>
    <w:qFormat/>
    <w:uiPriority w:val="0"/>
    <w:pPr>
      <w:spacing w:line="360" w:lineRule="auto"/>
      <w:ind w:left="845" w:firstLine="420" w:firstLineChars="200"/>
    </w:pPr>
    <w:rPr>
      <w:rFonts w:ascii="Calibri" w:hAnsi="Calibri" w:eastAsia="宋体" w:cs="Calibri"/>
      <w:sz w:val="28"/>
      <w:szCs w:val="22"/>
    </w:rPr>
  </w:style>
  <w:style w:type="paragraph" w:customStyle="1" w:styleId="23">
    <w:name w:val="List Paragraph"/>
    <w:basedOn w:val="1"/>
    <w:qFormat/>
    <w:uiPriority w:val="99"/>
    <w:pPr>
      <w:ind w:firstLine="420" w:firstLineChars="200"/>
    </w:pPr>
    <w:rPr>
      <w:rFonts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18.jpeg"/><Relationship Id="rId40" Type="http://schemas.openxmlformats.org/officeDocument/2006/relationships/image" Target="media/image17.jpeg"/><Relationship Id="rId4" Type="http://schemas.openxmlformats.org/officeDocument/2006/relationships/footer" Target="footer1.xml"/><Relationship Id="rId39" Type="http://schemas.openxmlformats.org/officeDocument/2006/relationships/image" Target="media/image16.jpeg"/><Relationship Id="rId38" Type="http://schemas.openxmlformats.org/officeDocument/2006/relationships/image" Target="media/image15.jpeg"/><Relationship Id="rId37" Type="http://schemas.openxmlformats.org/officeDocument/2006/relationships/image" Target="media/image14.jpeg"/><Relationship Id="rId36" Type="http://schemas.openxmlformats.org/officeDocument/2006/relationships/image" Target="media/image13.jpeg"/><Relationship Id="rId35" Type="http://schemas.openxmlformats.org/officeDocument/2006/relationships/image" Target="media/image12.jpeg"/><Relationship Id="rId34" Type="http://schemas.openxmlformats.org/officeDocument/2006/relationships/image" Target="media/image11.jpeg"/><Relationship Id="rId33" Type="http://schemas.openxmlformats.org/officeDocument/2006/relationships/image" Target="media/image10.jpeg"/><Relationship Id="rId32" Type="http://schemas.openxmlformats.org/officeDocument/2006/relationships/image" Target="media/image9.jpeg"/><Relationship Id="rId31" Type="http://schemas.openxmlformats.org/officeDocument/2006/relationships/image" Target="media/image8.jpeg"/><Relationship Id="rId30" Type="http://schemas.openxmlformats.org/officeDocument/2006/relationships/image" Target="media/image7.jpeg"/><Relationship Id="rId3" Type="http://schemas.openxmlformats.org/officeDocument/2006/relationships/header" Target="header1.xml"/><Relationship Id="rId29" Type="http://schemas.openxmlformats.org/officeDocument/2006/relationships/image" Target="media/image6.jpeg"/><Relationship Id="rId28" Type="http://schemas.openxmlformats.org/officeDocument/2006/relationships/image" Target="media/image5.jpeg"/><Relationship Id="rId27" Type="http://schemas.openxmlformats.org/officeDocument/2006/relationships/image" Target="media/image4.jpeg"/><Relationship Id="rId26" Type="http://schemas.openxmlformats.org/officeDocument/2006/relationships/image" Target="media/image3.jpeg"/><Relationship Id="rId25" Type="http://schemas.openxmlformats.org/officeDocument/2006/relationships/image" Target="media/image2.jpe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15</TotalTime>
  <ScaleCrop>false</ScaleCrop>
  <LinksUpToDate>false</LinksUpToDate>
  <CharactersWithSpaces>0</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2024-02-22T18:53:00Z</dcterms:created>
  <dc:creator>赵雪茹</dc:creator>
  <cp:lastModifiedBy>Administrator</cp:lastModifiedBy>
  <cp:lastPrinted>2024-03-06T09:23:00Z</cp:lastPrinted>
  <dcterms:modified xsi:type="dcterms:W3CDTF">2025-03-27T03:43:43Z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y fmtid="{D5CDD505-2E9C-101B-9397-08002B2CF9AE}" pid="3" name="ICV">
    <vt:lpwstr>BBCE2015517D4B56AF7160D33FFCE984_11</vt:lpwstr>
  </property>
</Properties>
</file>