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880" w:firstLineChars="200"/>
        <w:jc w:val="center"/>
        <w:textAlignment w:val="auto"/>
        <w:rPr>
          <w:rFonts w:hint="default" w:ascii="Times New Roman" w:hAnsi="Times New Roman" w:eastAsia="方正小标宋_GBK" w:cs="Times New Roman"/>
          <w:sz w:val="44"/>
          <w:szCs w:val="44"/>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880" w:firstLineChars="200"/>
        <w:jc w:val="center"/>
        <w:textAlignment w:val="auto"/>
        <w:rPr>
          <w:rFonts w:hint="default" w:ascii="Times New Roman" w:hAnsi="Times New Roman" w:eastAsia="方正小标宋_GBK" w:cs="Times New Roman"/>
          <w:sz w:val="44"/>
          <w:szCs w:val="44"/>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880" w:firstLineChars="20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重庆市綦江区人民政府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880" w:firstLineChars="20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关于印发重庆市綦江区集体土地征收补偿安置实施办法的通知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eastAsia="方正仿宋_GBK"/>
          <w:szCs w:val="20"/>
        </w:rPr>
      </w:pPr>
      <w:r>
        <w:rPr>
          <w:rFonts w:hint="default" w:ascii="Times New Roman" w:hAnsi="Times New Roman" w:eastAsia="方正仿宋_GBK" w:cs="Times New Roman"/>
          <w:sz w:val="32"/>
          <w:szCs w:val="32"/>
        </w:rPr>
        <w:t>綦江府发〔2021〕13号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仿宋_GBK"/>
          <w:szCs w:val="20"/>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各街道办事处、各镇人民政府，区政府各部门，有关单位：</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现将《重庆市綦江区集体土地征收补偿安置实施办法》印发给你们，请认真遵照执行。</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keepNext w:val="0"/>
        <w:keepLines w:val="0"/>
        <w:pageBreakBefore w:val="0"/>
        <w:widowControl w:val="0"/>
        <w:suppressLineNumbers w:val="0"/>
        <w:pBdr>
          <w:right w:val="none" w:color="auto" w:sz="0" w:space="0"/>
        </w:pBdr>
        <w:kinsoku/>
        <w:wordWrap w:val="0"/>
        <w:overflowPunct/>
        <w:topLinePunct w:val="0"/>
        <w:autoSpaceDE/>
        <w:autoSpaceDN/>
        <w:bidi w:val="0"/>
        <w:adjustRightInd/>
        <w:snapToGrid/>
        <w:spacing w:before="0" w:beforeAutospacing="0" w:after="0" w:afterAutospacing="0" w:line="600" w:lineRule="exact"/>
        <w:ind w:right="0" w:rightChars="0"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0"/>
          <w:sz w:val="32"/>
          <w:szCs w:val="32"/>
          <w:lang w:val="en-US" w:eastAsia="zh-CN" w:bidi="ar"/>
        </w:rPr>
        <w:t>                                               重庆市綦江区人民政府</w:t>
      </w:r>
      <w:r>
        <w:rPr>
          <w:rFonts w:hint="eastAsia" w:eastAsia="方正仿宋_GBK" w:cs="Times New Roman"/>
          <w:kern w:val="0"/>
          <w:sz w:val="32"/>
          <w:szCs w:val="32"/>
          <w:lang w:val="en-US" w:eastAsia="zh-CN" w:bidi="ar"/>
        </w:rPr>
        <w:t xml:space="preserve">    </w:t>
      </w:r>
    </w:p>
    <w:p>
      <w:pPr>
        <w:keepNext w:val="0"/>
        <w:keepLines w:val="0"/>
        <w:pageBreakBefore w:val="0"/>
        <w:widowControl w:val="0"/>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right="420" w:rightChars="200"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val="en-US" w:eastAsia="zh-CN" w:bidi="ar"/>
        </w:rPr>
        <w:t xml:space="preserve">                                                </w:t>
      </w:r>
      <w:r>
        <w:rPr>
          <w:rFonts w:hint="eastAsia" w:eastAsia="方正仿宋_GBK" w:cs="Times New Roman"/>
          <w:kern w:val="0"/>
          <w:sz w:val="32"/>
          <w:szCs w:val="32"/>
          <w:lang w:val="en-US" w:eastAsia="zh-CN" w:bidi="ar"/>
        </w:rPr>
        <w:t xml:space="preserve">   </w:t>
      </w:r>
      <w:r>
        <w:rPr>
          <w:rFonts w:hint="default" w:ascii="Times New Roman" w:hAnsi="Times New Roman" w:eastAsia="方正仿宋_GBK" w:cs="Times New Roman"/>
          <w:kern w:val="0"/>
          <w:sz w:val="32"/>
          <w:szCs w:val="32"/>
          <w:lang w:val="en-US" w:eastAsia="zh-CN" w:bidi="ar"/>
        </w:rPr>
        <w:t>2021年7月1日</w:t>
      </w:r>
    </w:p>
    <w:p>
      <w:pPr>
        <w:keepNext w:val="0"/>
        <w:keepLines w:val="0"/>
        <w:pageBreakBefore w:val="0"/>
        <w:widowControl w:val="0"/>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firstLine="620" w:firstLineChars="200"/>
        <w:jc w:val="center"/>
        <w:textAlignment w:val="auto"/>
        <w:rPr>
          <w:rFonts w:hint="default" w:ascii="Times New Roman" w:hAnsi="Times New Roman" w:eastAsia="仿宋" w:cs="Times New Roman"/>
          <w:sz w:val="31"/>
          <w:szCs w:val="31"/>
        </w:rPr>
      </w:pPr>
    </w:p>
    <w:p>
      <w:pPr>
        <w:keepNext w:val="0"/>
        <w:keepLines w:val="0"/>
        <w:pageBreakBefore w:val="0"/>
        <w:widowControl w:val="0"/>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firstLine="620" w:firstLineChars="200"/>
        <w:jc w:val="center"/>
        <w:textAlignment w:val="auto"/>
        <w:rPr>
          <w:rFonts w:hint="default" w:ascii="Times New Roman" w:hAnsi="Times New Roman" w:eastAsia="仿宋" w:cs="Times New Roman"/>
          <w:sz w:val="31"/>
          <w:szCs w:val="31"/>
        </w:rPr>
      </w:pPr>
    </w:p>
    <w:p>
      <w:pPr>
        <w:keepNext w:val="0"/>
        <w:keepLines w:val="0"/>
        <w:pageBreakBefore w:val="0"/>
        <w:widowControl w:val="0"/>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firstLine="620" w:firstLineChars="200"/>
        <w:jc w:val="center"/>
        <w:textAlignment w:val="auto"/>
        <w:rPr>
          <w:rFonts w:hint="default" w:ascii="Times New Roman" w:hAnsi="Times New Roman" w:eastAsia="仿宋" w:cs="Times New Roman"/>
          <w:sz w:val="31"/>
          <w:szCs w:val="31"/>
        </w:rPr>
      </w:pPr>
    </w:p>
    <w:p>
      <w:pPr>
        <w:keepNext w:val="0"/>
        <w:keepLines w:val="0"/>
        <w:pageBreakBefore w:val="0"/>
        <w:widowControl w:val="0"/>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firstLine="620" w:firstLineChars="200"/>
        <w:jc w:val="center"/>
        <w:textAlignment w:val="auto"/>
        <w:rPr>
          <w:rFonts w:hint="default" w:ascii="Times New Roman" w:hAnsi="Times New Roman" w:eastAsia="仿宋" w:cs="Times New Roman"/>
          <w:sz w:val="31"/>
          <w:szCs w:val="31"/>
        </w:rPr>
      </w:pPr>
    </w:p>
    <w:p>
      <w:pPr>
        <w:keepNext w:val="0"/>
        <w:keepLines w:val="0"/>
        <w:pageBreakBefore w:val="0"/>
        <w:widowControl w:val="0"/>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firstLine="620" w:firstLineChars="200"/>
        <w:jc w:val="center"/>
        <w:textAlignment w:val="auto"/>
        <w:rPr>
          <w:rFonts w:hint="default" w:ascii="Times New Roman" w:hAnsi="Times New Roman" w:eastAsia="仿宋" w:cs="Times New Roman"/>
          <w:sz w:val="31"/>
          <w:szCs w:val="31"/>
        </w:rPr>
      </w:pPr>
    </w:p>
    <w:p>
      <w:pPr>
        <w:keepNext w:val="0"/>
        <w:keepLines w:val="0"/>
        <w:pageBreakBefore w:val="0"/>
        <w:widowControl w:val="0"/>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firstLine="620" w:firstLineChars="200"/>
        <w:jc w:val="center"/>
        <w:textAlignment w:val="auto"/>
        <w:rPr>
          <w:rFonts w:hint="default" w:ascii="Times New Roman" w:hAnsi="Times New Roman" w:eastAsia="仿宋" w:cs="Times New Roman"/>
          <w:sz w:val="31"/>
          <w:szCs w:val="31"/>
        </w:rPr>
      </w:pPr>
    </w:p>
    <w:p>
      <w:pPr>
        <w:keepNext w:val="0"/>
        <w:keepLines w:val="0"/>
        <w:pageBreakBefore w:val="0"/>
        <w:widowControl w:val="0"/>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firstLine="620" w:firstLineChars="200"/>
        <w:jc w:val="center"/>
        <w:textAlignment w:val="auto"/>
        <w:rPr>
          <w:rFonts w:hint="default" w:ascii="Times New Roman" w:hAnsi="Times New Roman" w:eastAsia="仿宋" w:cs="Times New Roman"/>
          <w:sz w:val="31"/>
          <w:szCs w:val="31"/>
        </w:rPr>
      </w:pPr>
    </w:p>
    <w:p>
      <w:pPr>
        <w:keepNext w:val="0"/>
        <w:keepLines w:val="0"/>
        <w:pageBreakBefore w:val="0"/>
        <w:widowControl w:val="0"/>
        <w:suppressLineNumbers w:val="0"/>
        <w:pBdr>
          <w:right w:val="none" w:color="auto" w:sz="0" w:space="0"/>
        </w:pBdr>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 w:cs="Times New Roman"/>
          <w:sz w:val="44"/>
          <w:szCs w:val="44"/>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880" w:firstLineChars="200"/>
        <w:jc w:val="center"/>
        <w:textAlignment w:val="auto"/>
        <w:rPr>
          <w:rFonts w:hint="default" w:ascii="Times New Roman" w:hAnsi="Times New Roman" w:eastAsia="方正小标宋_GBK" w:cs="Times New Roman"/>
          <w:sz w:val="44"/>
          <w:szCs w:val="44"/>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重庆市綦江区集体土地征收补偿安置</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实施办法</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20" w:firstLineChars="200"/>
        <w:jc w:val="left"/>
        <w:textAlignment w:val="auto"/>
        <w:rPr>
          <w:rFonts w:hint="default" w:ascii="Times New Roman" w:hAnsi="Times New Roman" w:eastAsia="仿宋" w:cs="Times New Roman"/>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黑体_GBK" w:cs="Times New Roman"/>
          <w:sz w:val="32"/>
          <w:szCs w:val="32"/>
        </w:rPr>
      </w:pPr>
      <w:r>
        <w:rPr>
          <w:rStyle w:val="11"/>
          <w:rFonts w:hint="default" w:ascii="Times New Roman" w:hAnsi="Times New Roman" w:eastAsia="方正黑体_GBK" w:cs="Times New Roman"/>
          <w:b w:val="0"/>
          <w:bCs w:val="0"/>
          <w:sz w:val="32"/>
          <w:szCs w:val="32"/>
        </w:rPr>
        <w:t>第一章</w:t>
      </w:r>
      <w:r>
        <w:rPr>
          <w:rFonts w:hint="default" w:ascii="Times New Roman" w:hAnsi="Times New Roman" w:eastAsia="方正黑体_GBK" w:cs="Times New Roman"/>
          <w:sz w:val="32"/>
          <w:szCs w:val="32"/>
        </w:rPr>
        <w:t xml:space="preserve"> 总则</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黑体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Style w:val="11"/>
          <w:rFonts w:hint="default" w:ascii="Times New Roman" w:hAnsi="Times New Roman" w:eastAsia="方正黑体_GBK" w:cs="Times New Roman"/>
          <w:b w:val="0"/>
          <w:bCs w:val="0"/>
          <w:sz w:val="32"/>
          <w:szCs w:val="32"/>
        </w:rPr>
        <w:t>第一条</w:t>
      </w:r>
      <w:r>
        <w:rPr>
          <w:rStyle w:val="11"/>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为了规范本区（不含万盛经开区，下同）农民集体所有的土地（以下简称集体土地）征收补偿安置工作，保障被征收土地的所有权人、使用权人的合法权益，根据《重庆市集体土地征收补偿安置办法》（重庆市人民政府令第344号）和《重庆市人民政府关于公布征地补偿安置标准有关事项的通知》（渝府发〔2021〕14号），结合本区实际，制定本实施办法。</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Style w:val="11"/>
          <w:rFonts w:hint="default" w:ascii="Times New Roman" w:hAnsi="Times New Roman" w:eastAsia="方正黑体_GBK" w:cs="Times New Roman"/>
          <w:b w:val="0"/>
          <w:bCs w:val="0"/>
          <w:sz w:val="32"/>
          <w:szCs w:val="32"/>
        </w:rPr>
        <w:t>第二条</w:t>
      </w:r>
      <w:r>
        <w:rPr>
          <w:rStyle w:val="11"/>
          <w:rFonts w:hint="default" w:ascii="Times New Roman" w:hAnsi="Times New Roman" w:eastAsia="方正仿宋_GBK" w:cs="Times New Roman"/>
          <w:b/>
          <w:bCs/>
          <w:sz w:val="32"/>
          <w:szCs w:val="32"/>
        </w:rPr>
        <w:t xml:space="preserve"> </w:t>
      </w:r>
      <w:r>
        <w:rPr>
          <w:rFonts w:hint="eastAsia" w:ascii="Times New Roman" w:hAnsi="Times New Roman" w:eastAsia="方正仿宋_GBK" w:cs="Times New Roman"/>
          <w:sz w:val="32"/>
          <w:szCs w:val="32"/>
          <w:lang w:eastAsia="zh-CN"/>
        </w:rPr>
        <w:t>綦江</w:t>
      </w:r>
      <w:r>
        <w:rPr>
          <w:rFonts w:hint="default" w:ascii="Times New Roman" w:hAnsi="Times New Roman" w:eastAsia="方正仿宋_GBK" w:cs="Times New Roman"/>
          <w:sz w:val="32"/>
          <w:szCs w:val="32"/>
        </w:rPr>
        <w:t>区域内集体土地征收的补偿、人员安置和住房安置，适用本实施办法。</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Style w:val="11"/>
          <w:rFonts w:hint="default" w:ascii="Times New Roman" w:hAnsi="Times New Roman" w:eastAsia="方正黑体_GBK" w:cs="Times New Roman"/>
          <w:b w:val="0"/>
          <w:bCs w:val="0"/>
          <w:sz w:val="32"/>
          <w:szCs w:val="32"/>
        </w:rPr>
        <w:t>第三条</w:t>
      </w:r>
      <w:r>
        <w:rPr>
          <w:rFonts w:hint="default" w:ascii="Times New Roman" w:hAnsi="Times New Roman" w:eastAsia="方正仿宋_GBK" w:cs="Times New Roman"/>
          <w:sz w:val="32"/>
          <w:szCs w:val="32"/>
        </w:rPr>
        <w:t xml:space="preserve"> 区人民政府负责本区域内集体土地征收补偿安置的组织实施工作。区征地实施机构承担本区域内集体土地征收补偿安置具体实施的事务性工作。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区规划自然资源部门负责对集体土地征收补偿安置工作进行管理和监督。</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区人力社保部门负责征地安置人员的基本养老保险和促进就业工作。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区公安机关负责被征地农村集体经济组织所在地居民户口信息提供和审核工作。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区农业农村部门负责征地涉及的农村土地承包经营及承包经营合同管理，农村集体资产管理的指导、协调和监督及农村宅基地管理工作。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区财政部门负责统筹镇（街）、部门、管委会等单位筹集土地征收补偿安置等相关费用，保障补偿安置资金及时足额支付兑现。</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区民政、司法、住房城乡建设、林业、信访等部门，按照各自职责做好集体土地征收补偿安置的相关工作。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镇人民政府（街道办事处）承担辖区内集体土地征收补偿安置的具体组织实施工作；负责征地涉及的农村土地承包经营及承包经营合同管理，农村宅基地审核批准；协助被征收集体经济组织承包经营权的确认、被征收集体经济组织总人口及人员安置对象确定、集体资产分配和征地矛盾纠纷调处、信访维稳等具体相关工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Chars="200" w:right="0" w:rightChars="0"/>
        <w:jc w:val="center"/>
        <w:textAlignment w:val="auto"/>
        <w:rPr>
          <w:rStyle w:val="11"/>
          <w:rFonts w:hint="default" w:ascii="Times New Roman" w:hAnsi="Times New Roman" w:eastAsia="方正黑体_GBK" w:cs="Times New Roman"/>
          <w:b w:val="0"/>
          <w:bCs w:val="0"/>
          <w:sz w:val="32"/>
          <w:szCs w:val="32"/>
        </w:rPr>
      </w:pPr>
      <w:r>
        <w:rPr>
          <w:rStyle w:val="11"/>
          <w:rFonts w:hint="eastAsia" w:ascii="Times New Roman" w:hAnsi="Times New Roman" w:eastAsia="方正黑体_GBK" w:cs="Times New Roman"/>
          <w:b w:val="0"/>
          <w:bCs w:val="0"/>
          <w:sz w:val="32"/>
          <w:szCs w:val="32"/>
          <w:lang w:eastAsia="zh-CN"/>
        </w:rPr>
        <w:t>第二章</w:t>
      </w:r>
      <w:r>
        <w:rPr>
          <w:rStyle w:val="11"/>
          <w:rFonts w:hint="default" w:ascii="Times New Roman" w:hAnsi="Times New Roman" w:eastAsia="方正黑体_GBK" w:cs="Times New Roman"/>
          <w:b w:val="0"/>
          <w:bCs w:val="0"/>
          <w:sz w:val="32"/>
          <w:szCs w:val="32"/>
        </w:rPr>
        <w:t>征地补偿</w:t>
      </w:r>
    </w:p>
    <w:p>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Chars="200" w:right="0" w:rightChars="0"/>
        <w:jc w:val="both"/>
        <w:textAlignment w:val="auto"/>
        <w:rPr>
          <w:rStyle w:val="11"/>
          <w:rFonts w:hint="default" w:ascii="Times New Roman" w:hAnsi="Times New Roman" w:eastAsia="方正黑体_GBK" w:cs="Times New Roman"/>
          <w:b/>
          <w:bCs/>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default" w:ascii="Times New Roman" w:hAnsi="Times New Roman" w:eastAsia="方正仿宋_GBK" w:cs="Times New Roman"/>
          <w:sz w:val="32"/>
          <w:szCs w:val="32"/>
        </w:rPr>
      </w:pPr>
      <w:r>
        <w:rPr>
          <w:rStyle w:val="11"/>
          <w:rFonts w:hint="default" w:ascii="Times New Roman" w:hAnsi="Times New Roman" w:eastAsia="方正黑体_GBK" w:cs="Times New Roman"/>
          <w:b w:val="0"/>
          <w:bCs w:val="0"/>
          <w:sz w:val="32"/>
          <w:szCs w:val="32"/>
        </w:rPr>
        <w:t>第四条</w:t>
      </w:r>
      <w:r>
        <w:rPr>
          <w:rStyle w:val="11"/>
          <w:rFonts w:hint="default" w:ascii="Times New Roman" w:hAnsi="Times New Roman" w:eastAsia="方正黑体_GBK" w:cs="Times New Roman"/>
          <w:b/>
          <w:bCs/>
          <w:sz w:val="32"/>
          <w:szCs w:val="32"/>
        </w:rPr>
        <w:t xml:space="preserve"> </w:t>
      </w:r>
      <w:r>
        <w:rPr>
          <w:rFonts w:hint="default" w:ascii="Times New Roman" w:hAnsi="Times New Roman" w:eastAsia="方正仿宋_GBK" w:cs="Times New Roman"/>
          <w:sz w:val="32"/>
          <w:szCs w:val="32"/>
        </w:rPr>
        <w:t>征收集体土地应当依法及时足额支付土地补偿费、安置补助费以及农村房屋、其他地上附着物和青苗等补偿费用。</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Style w:val="11"/>
          <w:rFonts w:hint="default" w:ascii="Times New Roman" w:hAnsi="Times New Roman" w:eastAsia="方正黑体_GBK" w:cs="Times New Roman"/>
          <w:b w:val="0"/>
          <w:bCs w:val="0"/>
          <w:sz w:val="32"/>
          <w:szCs w:val="32"/>
        </w:rPr>
        <w:t>第五条</w:t>
      </w:r>
      <w:r>
        <w:rPr>
          <w:rStyle w:val="11"/>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征收农用地、建设用地和未利用地的土地补偿费和安置补助费，不分地类，按照市人民政府制定公布的区片综合地价标准（见附件1）乘以被征收土地面积计算。</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区片综合地价中，土地补偿费占30%，安置补助费占70%。</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Style w:val="11"/>
          <w:rFonts w:hint="default" w:ascii="Times New Roman" w:hAnsi="Times New Roman" w:eastAsia="方正黑体_GBK" w:cs="Times New Roman"/>
          <w:b w:val="0"/>
          <w:bCs w:val="0"/>
          <w:sz w:val="32"/>
          <w:szCs w:val="32"/>
        </w:rPr>
        <w:t>第六条</w:t>
      </w:r>
      <w:r>
        <w:rPr>
          <w:rStyle w:val="11"/>
          <w:rFonts w:hint="default" w:ascii="Times New Roman" w:hAnsi="Times New Roman" w:eastAsia="方正黑体_GBK" w:cs="Times New Roman"/>
          <w:b/>
          <w:bCs/>
          <w:sz w:val="32"/>
          <w:szCs w:val="32"/>
        </w:rPr>
        <w:t xml:space="preserve"> </w:t>
      </w:r>
      <w:r>
        <w:rPr>
          <w:rFonts w:hint="default" w:ascii="Times New Roman" w:hAnsi="Times New Roman" w:eastAsia="方正仿宋_GBK" w:cs="Times New Roman"/>
          <w:sz w:val="32"/>
          <w:szCs w:val="32"/>
        </w:rPr>
        <w:t>被征收土地的土地补偿费，按照市人民政府制定公布的土地补偿费标准（区片综合地价的30%）乘以农村集体经济组织被征收土地面积计算。</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土地补偿费由区征地实施机构或委托有关行政机关支付给被征地农村集体经济组织。其中，被征收土地为家庭承包土地的，土地补偿费的80%由农村集体经济组织或委托有关行政机关按照被征收土地面积发放给承包经营户，土地补偿费的20%由农村集体经济组织依法管理和使用；被征收土地为未发包土地或者其他方式承包土地的，土地补偿费由农村集体经济组织依法管理和使用。</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Style w:val="11"/>
          <w:rFonts w:hint="default" w:ascii="Times New Roman" w:hAnsi="Times New Roman" w:eastAsia="方正黑体_GBK" w:cs="Times New Roman"/>
          <w:b w:val="0"/>
          <w:bCs w:val="0"/>
          <w:sz w:val="32"/>
          <w:szCs w:val="32"/>
        </w:rPr>
        <w:t>第七条</w:t>
      </w:r>
      <w:r>
        <w:rPr>
          <w:rFonts w:hint="default" w:ascii="Times New Roman" w:hAnsi="Times New Roman" w:eastAsia="方正仿宋_GBK" w:cs="Times New Roman"/>
          <w:sz w:val="32"/>
          <w:szCs w:val="32"/>
        </w:rPr>
        <w:t xml:space="preserve"> 被征收土地的安置补助费，按照市人民政府制定公布的安置补助费标准（区片综合地价的70%）乘以农村集体经济组织被征收土地面积计算。</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安置补助费由区征地实施机构或委托有关行政机关按照每人36000元的标准支付给人员安置对象，前款计算的安置补助费支付后有结余的，结余部分由农村集体经济组织依法管理和使用；不足的，由区财政部门统筹资金予以补足。</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Style w:val="11"/>
          <w:rFonts w:hint="default" w:ascii="Times New Roman" w:hAnsi="Times New Roman" w:eastAsia="方正黑体_GBK" w:cs="Times New Roman"/>
          <w:b w:val="0"/>
          <w:bCs w:val="0"/>
          <w:sz w:val="32"/>
          <w:szCs w:val="32"/>
        </w:rPr>
        <w:t>第八条</w:t>
      </w:r>
      <w:r>
        <w:rPr>
          <w:rFonts w:hint="default" w:ascii="Times New Roman" w:hAnsi="Times New Roman" w:eastAsia="方正仿宋_GBK" w:cs="Times New Roman"/>
          <w:sz w:val="32"/>
          <w:szCs w:val="32"/>
        </w:rPr>
        <w:t xml:space="preserve"> 农村房屋以不动产权属证书记载的合法建筑面积为准，按照重置价格标准补偿（见附件2）。</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对未取得不动产权属证书的房屋，由区规划自然资源部门会同农业农村、住房城乡建设等有关部门和镇人民政府（街道办事处）依法予以认定。</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农村住房改作其他用途的，按照住房补偿。</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Style w:val="11"/>
          <w:rFonts w:hint="default" w:ascii="Times New Roman" w:hAnsi="Times New Roman" w:eastAsia="方正黑体_GBK" w:cs="Times New Roman"/>
          <w:b w:val="0"/>
          <w:bCs w:val="0"/>
          <w:sz w:val="32"/>
          <w:szCs w:val="32"/>
        </w:rPr>
        <w:t xml:space="preserve">第九条 </w:t>
      </w:r>
      <w:r>
        <w:rPr>
          <w:rFonts w:hint="default" w:ascii="Times New Roman" w:hAnsi="Times New Roman" w:eastAsia="方正仿宋_GBK" w:cs="Times New Roman"/>
          <w:sz w:val="32"/>
          <w:szCs w:val="32"/>
        </w:rPr>
        <w:t>被搬迁房屋的装饰物由所有权人自行拆除。不能自行拆除的，给予适当补助，其补助标准见附件8。</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Style w:val="11"/>
          <w:rFonts w:hint="default" w:ascii="Times New Roman" w:hAnsi="Times New Roman" w:eastAsia="方正黑体_GBK" w:cs="Times New Roman"/>
          <w:b w:val="0"/>
          <w:bCs w:val="0"/>
          <w:sz w:val="32"/>
          <w:szCs w:val="32"/>
        </w:rPr>
        <w:t>第十条</w:t>
      </w:r>
      <w:r>
        <w:rPr>
          <w:rFonts w:hint="default" w:ascii="Times New Roman" w:hAnsi="Times New Roman" w:eastAsia="方正仿宋_GBK" w:cs="Times New Roman"/>
          <w:sz w:val="32"/>
          <w:szCs w:val="32"/>
        </w:rPr>
        <w:t xml:space="preserve"> 被搬迁住房安装的独立水、电、气、固定电话、有线电视等设施，按搬迁时相应行业主管部门的安装价格补偿。</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为生产经营安装的水、电、气、管网等设施，按实际安装费用补偿，无法提供实际安装发票的，按搬迁时相应行业主管部门的安装价格补偿。</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Style w:val="11"/>
          <w:rFonts w:hint="default" w:ascii="Times New Roman" w:hAnsi="Times New Roman" w:eastAsia="方正黑体_GBK" w:cs="Times New Roman"/>
          <w:b w:val="0"/>
          <w:bCs w:val="0"/>
          <w:sz w:val="32"/>
          <w:szCs w:val="32"/>
        </w:rPr>
        <w:t>第十一条</w:t>
      </w:r>
      <w:r>
        <w:rPr>
          <w:rFonts w:hint="default" w:ascii="Times New Roman" w:hAnsi="Times New Roman" w:eastAsia="方正仿宋_GBK" w:cs="Times New Roman"/>
          <w:sz w:val="32"/>
          <w:szCs w:val="32"/>
        </w:rPr>
        <w:t xml:space="preserve"> 其他地上附着物是指除房屋外的建筑物、构筑物以及林木和其他经济作物等，青苗是指土地上生长的农作物。</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征收其他地上附着物和青苗实行综合定额补偿，按被征收土地总面积扣除林地后的面积计算，每亩定额补偿16000元。</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征收林地的林木及附着物的补偿标准，实行综合定额补偿，每亩定额补偿16000元；或者按照国家和本市征收林地的有关规定执行。</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本条第二、三款的费用，由区征地实施机构或委托有关行政机关支付给被征收集体经济组织，由被征收集体经济组织按照附件3、4、5、6规定标准补偿给其所有权人。</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Style w:val="11"/>
          <w:rFonts w:hint="default" w:ascii="Times New Roman" w:hAnsi="Times New Roman" w:eastAsia="方正黑体_GBK" w:cs="Times New Roman"/>
          <w:b w:val="0"/>
          <w:bCs w:val="0"/>
          <w:sz w:val="32"/>
          <w:szCs w:val="32"/>
        </w:rPr>
        <w:t>第十二条</w:t>
      </w:r>
      <w:r>
        <w:rPr>
          <w:rFonts w:hint="default" w:ascii="Times New Roman" w:hAnsi="Times New Roman" w:eastAsia="方正仿宋_GBK" w:cs="Times New Roman"/>
          <w:sz w:val="32"/>
          <w:szCs w:val="32"/>
        </w:rPr>
        <w:t xml:space="preserve"> 征收土地预公告发布之日，按照国家和我市设施农业用地管理有关规定，经审批或者备案的苗木花卉种植专业户，以批准（备案）的种植规模内实际种植面积为准，在其他地上附着物和青苗综合定额补偿费每亩16000元中给予经营者每亩9600元补偿。</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Style w:val="11"/>
          <w:rFonts w:hint="default" w:ascii="Times New Roman" w:hAnsi="Times New Roman" w:eastAsia="方正黑体_GBK" w:cs="Times New Roman"/>
          <w:b w:val="0"/>
          <w:bCs w:val="0"/>
          <w:sz w:val="32"/>
          <w:szCs w:val="32"/>
        </w:rPr>
        <w:t>第十三条</w:t>
      </w:r>
      <w:r>
        <w:rPr>
          <w:rFonts w:hint="default" w:ascii="Times New Roman" w:hAnsi="Times New Roman" w:eastAsia="方正仿宋_GBK" w:cs="Times New Roman"/>
          <w:sz w:val="32"/>
          <w:szCs w:val="32"/>
        </w:rPr>
        <w:t xml:space="preserve"> 征收土地预公告发布之日，持有合法证照，从事工业、畜禽养殖业、商业、服务业和种植花卉苗木经营活动的，综合考虑生产经营年限、规模、类别、搬迁损失、搬迁难易度等因素，对生产经营者按以下规定给予一次性搬迁补助费。</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（一）工业企业实施搬迁的，按被搬迁设施设备评估净值的15-20%给予一次性搬迁补助费。</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（二）经审批或者备案的苗木花卉种植专业户，以批准（备案）的种植规模内实际种植面积为准，按每亩6400元给予一次性搬迁补助费。</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（三）从事生产经营的畜禽养殖专业户，按附件9给予一次性搬迁补助费。</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（四）具有合法产权的被搬迁农村房屋，持有合法经营证照，且正在从事个体经营的，按每户3000元给予一次性搬迁补助费。</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（五）从事农家乐、民宿等经营活动，持有合法证照正在经营的，其为经营服务的相关设施设备按评估净值15-20%给予一次性搬迁补助费。</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Style w:val="11"/>
          <w:rFonts w:hint="default" w:ascii="Times New Roman" w:hAnsi="Times New Roman" w:eastAsia="方正黑体_GBK" w:cs="Times New Roman"/>
          <w:b w:val="0"/>
          <w:bCs w:val="0"/>
          <w:sz w:val="32"/>
          <w:szCs w:val="32"/>
        </w:rPr>
        <w:t>第十四条</w:t>
      </w:r>
      <w:r>
        <w:rPr>
          <w:rFonts w:hint="default" w:ascii="Times New Roman" w:hAnsi="Times New Roman" w:eastAsia="方正仿宋_GBK" w:cs="Times New Roman"/>
          <w:sz w:val="32"/>
          <w:szCs w:val="32"/>
        </w:rPr>
        <w:t xml:space="preserve"> 有下列情形之一的，不予补偿：</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（一）违法建（构）筑物；</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（二）已拆除的房屋、房屋已垮塌的部分；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（三）区人民政府发布征收土地预公告后栽种的青苗及花草、树木等附着物；</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（四）其他不当增加补偿费用的情形。</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center"/>
        <w:textAlignment w:val="auto"/>
        <w:rPr>
          <w:rStyle w:val="11"/>
          <w:rFonts w:hint="default" w:ascii="Times New Roman" w:hAnsi="Times New Roman" w:eastAsia="方正黑体_GBK" w:cs="Times New Roman"/>
          <w:b w:val="0"/>
          <w:bCs w:val="0"/>
          <w:sz w:val="32"/>
          <w:szCs w:val="32"/>
        </w:rPr>
      </w:pPr>
      <w:r>
        <w:rPr>
          <w:rStyle w:val="11"/>
          <w:rFonts w:hint="default" w:ascii="Times New Roman" w:hAnsi="Times New Roman" w:eastAsia="方正黑体_GBK" w:cs="Times New Roman"/>
          <w:b w:val="0"/>
          <w:bCs w:val="0"/>
          <w:sz w:val="32"/>
          <w:szCs w:val="32"/>
        </w:rPr>
        <w:t>第三章 人员安置</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Style w:val="11"/>
          <w:rFonts w:hint="default" w:ascii="Times New Roman" w:hAnsi="Times New Roman" w:eastAsia="方正黑体_GBK" w:cs="Times New Roman"/>
          <w:b w:val="0"/>
          <w:bCs w:val="0"/>
          <w:sz w:val="32"/>
          <w:szCs w:val="32"/>
        </w:rPr>
        <w:t>第十五条</w:t>
      </w:r>
      <w:r>
        <w:rPr>
          <w:rStyle w:val="11"/>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本实施办法所称人员安置对象应当从征收土地预公告之日计入被征地农村集体经济组织总人口的人员中产生。</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下列人员计入被征地农村集体经济组织总人口：</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（一）户口登记在被征地农村集体经济组织所在地，且取得该农村集体经济组织土地承包经营权的人员；</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（二）因出生、政策性移民将户口登记在被征地农村集体经济组织所在地，且依法享有该农村集体经济组织土地承包经营权的人员；</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（三）因合法收养、合法婚姻将户口从其他农村集体经济组织迁入并长期在被征地农村集体经济组织生产生活，且依法享有被征地农村集体经济组织土地承包经营权的人员；</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（四）依法享有被征地农村集体经济组织土地承包经营权的在校大中专学生（含硕士、博士研究生）、现役军士和义务兵、儿童福利机构孤儿、服刑人员；</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（五）按照本市统筹城乡户籍制度改革有关规定保留征地补偿安置权利的人员；</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（六）因其他原因，户口从被征地农村集体经济组织所在地迁出进城落户，但长期在被征地农村集体经济组织生产生活，且取得该农村集体经济组织土地承包经营权的人员。</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Style w:val="11"/>
          <w:rFonts w:hint="default" w:ascii="Times New Roman" w:hAnsi="Times New Roman" w:eastAsia="方正黑体_GBK" w:cs="Times New Roman"/>
          <w:b w:val="0"/>
          <w:bCs w:val="0"/>
          <w:sz w:val="32"/>
          <w:szCs w:val="32"/>
        </w:rPr>
        <w:t>第十六条</w:t>
      </w:r>
      <w:r>
        <w:rPr>
          <w:rStyle w:val="11"/>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符合本实施办法第十六条规定但有下列情形之一的人员，不计入被征地农村集体经济组织总人口：</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（一）征地前已实行征地人员安置的人员；</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（二）国家机关、人民团体、事业单位等在编在职和退休人员。</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Style w:val="11"/>
          <w:rFonts w:hint="default" w:ascii="Times New Roman" w:hAnsi="Times New Roman" w:eastAsia="方正黑体_GBK" w:cs="Times New Roman"/>
          <w:b w:val="0"/>
          <w:bCs w:val="0"/>
          <w:sz w:val="32"/>
          <w:szCs w:val="32"/>
        </w:rPr>
        <w:t>第十七条</w:t>
      </w:r>
      <w:r>
        <w:rPr>
          <w:rStyle w:val="11"/>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农村集体经济组织的土地被全部征收的，按照本实施办法计入被征地农村集体经济组织总人口的人员全部为人员安置对象。</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村集体经济组织的土地被部分征收的，人员安置对象的人数按照被征收土地面积除以被征地农村集体经济组织人均土地面积计算。其中，被征收土地中耕地占比超过农村集体经济组织耕地占比的，人员安置对象人数为按照本款前述方法计算的人数乘以被征收土地中耕地占比再除以农村集体经济组织耕地占比。</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前款所称人均土地面积为集体土地所有权证登记的土地总面积（不含已被征收的面积）除以按照本实施办法计入被征地农村集体经济组织总人口数。前款所称农村集体经济组织耕地占比为集体土地所有权证登记的耕地面积（不含已被征收的面积）占土地总面积（不含已被征收的面积）的比例。</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Style w:val="11"/>
          <w:rFonts w:hint="default" w:ascii="Times New Roman" w:hAnsi="Times New Roman" w:eastAsia="方正黑体_GBK" w:cs="Times New Roman"/>
          <w:b w:val="0"/>
          <w:bCs w:val="0"/>
          <w:sz w:val="32"/>
          <w:szCs w:val="32"/>
        </w:rPr>
        <w:t>第十八条</w:t>
      </w:r>
      <w:r>
        <w:rPr>
          <w:rStyle w:val="11"/>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具体的人员安置对象由被征地农村集体经济组织按照农户被征地多少和剩余耕地情况在农村集体经济组织总人口中确定。镇人民政府（街道办事处）应按以下原则指导农村集体经济组织确定人员安置对象，按照本办法第十八条计算的人员安置对象人数，全部落实到具体人员：征收家庭承包土地产生的人员安置对象人数，按照被征收耕地数量在被征地农户中从高到低依次确定；征收未发包土地或者其他方式承包土地产生的人员安置对象人数，按照征地后农户剩余人平耕地数量在被征地农户中从低到高依次确定；只征收未发包土地的，由村民会议讨论确定具体人员。</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具体的人员安置对象经农村集体经济组织公示7日无异议后，报镇人民政府（街道办事处）初审，区征地实施机构会同区规划自然资源、人力社保、公安、农业农村等部门复核，区人民政府核准。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Style w:val="11"/>
          <w:rFonts w:hint="default" w:ascii="Times New Roman" w:hAnsi="Times New Roman" w:eastAsia="方正黑体_GBK" w:cs="Times New Roman"/>
          <w:b w:val="0"/>
          <w:bCs w:val="0"/>
          <w:sz w:val="32"/>
          <w:szCs w:val="32"/>
        </w:rPr>
        <w:t>第十九条</w:t>
      </w:r>
      <w:r>
        <w:rPr>
          <w:rFonts w:hint="default" w:ascii="Times New Roman" w:hAnsi="Times New Roman" w:eastAsia="方正仿宋_GBK" w:cs="Times New Roman"/>
          <w:sz w:val="32"/>
          <w:szCs w:val="32"/>
        </w:rPr>
        <w:t xml:space="preserve"> 区人力社保部门应当将符合条件的人员安置对象纳入相应的养老等社会保障体系；区财政部门统筹人员安置对象的社会保障费用，主要用于人员安置对象的养老保险等社会保险缴费补贴。人员安置对象的基本养老保险缴费补贴办法及标准，按照市人民政府有关规定执行。</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Style w:val="11"/>
          <w:rFonts w:hint="default" w:ascii="Times New Roman" w:hAnsi="Times New Roman" w:eastAsia="方正黑体_GBK" w:cs="Times New Roman"/>
          <w:b w:val="0"/>
          <w:bCs w:val="0"/>
          <w:sz w:val="32"/>
          <w:szCs w:val="32"/>
        </w:rPr>
        <w:t>第二十条</w:t>
      </w:r>
      <w:r>
        <w:rPr>
          <w:rStyle w:val="11"/>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区人力社保部门应当将劳动力年龄段内有劳动能力、有就业需求的人员安置对象纳入公共就业服务范围，组织开展就业创业服务活动，促进其就业创业。</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center"/>
        <w:textAlignment w:val="auto"/>
        <w:rPr>
          <w:rStyle w:val="11"/>
          <w:rFonts w:hint="default" w:ascii="Times New Roman" w:hAnsi="Times New Roman" w:eastAsia="方正黑体_GBK" w:cs="Times New Roman"/>
          <w:b w:val="0"/>
          <w:bCs w:val="0"/>
          <w:sz w:val="32"/>
          <w:szCs w:val="32"/>
        </w:rPr>
      </w:pPr>
      <w:r>
        <w:rPr>
          <w:rStyle w:val="11"/>
          <w:rFonts w:hint="default" w:ascii="Times New Roman" w:hAnsi="Times New Roman" w:eastAsia="方正黑体_GBK" w:cs="Times New Roman"/>
          <w:b w:val="0"/>
          <w:bCs w:val="0"/>
          <w:sz w:val="32"/>
          <w:szCs w:val="32"/>
        </w:rPr>
        <w:t>第四章 住房安置</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Style w:val="11"/>
          <w:rFonts w:hint="default" w:ascii="Times New Roman" w:hAnsi="Times New Roman" w:eastAsia="方正黑体_GBK" w:cs="Times New Roman"/>
          <w:b w:val="0"/>
          <w:bCs w:val="0"/>
          <w:sz w:val="32"/>
          <w:szCs w:val="32"/>
        </w:rPr>
        <w:t xml:space="preserve">第二十一条 </w:t>
      </w:r>
      <w:r>
        <w:rPr>
          <w:rFonts w:hint="default" w:ascii="Times New Roman" w:hAnsi="Times New Roman" w:eastAsia="方正仿宋_GBK" w:cs="Times New Roman"/>
          <w:sz w:val="32"/>
          <w:szCs w:val="32"/>
        </w:rPr>
        <w:t>农村集体经济组织的土地被全部征收的，按照本实施办法计入被征地农村集体经济组织总人口且享有被征地农村集体经济组织宅基地权利的人员全部为住房安置对象。</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农村集体经济组织的土地被部分征收的，征收土地预公告之日，持有征地范围内被搬迁住房的不动产权属证书，且按照本实施办法计入被征地农村集体经济组织总人口的人员为住房安置对象。</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征地前已实行征地人员安置但住房未被搬迁的人员，在其住房搬迁时纳入住房安置对象范围。</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Style w:val="11"/>
          <w:rFonts w:hint="default" w:ascii="Times New Roman" w:hAnsi="Times New Roman" w:eastAsia="方正黑体_GBK" w:cs="Times New Roman"/>
          <w:b w:val="0"/>
          <w:bCs w:val="0"/>
          <w:sz w:val="32"/>
          <w:szCs w:val="32"/>
        </w:rPr>
        <w:t>第二十二条</w:t>
      </w:r>
      <w:r>
        <w:rPr>
          <w:rStyle w:val="11"/>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符合本实施办法第二十二条规定但有下列情形之一的人员，不属于住房安置对象：</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（一）本实施办法施行前已实行征地住房安置的人员；</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（二）已享受福利分房、划拨国有土地上自建房以及由单位修建并销售给职工的经济适用房等政策性实物住房的人员。</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Style w:val="11"/>
          <w:rFonts w:hint="default" w:ascii="Times New Roman" w:hAnsi="Times New Roman" w:eastAsia="方正黑体_GBK" w:cs="Times New Roman"/>
          <w:b w:val="0"/>
          <w:bCs w:val="0"/>
          <w:sz w:val="32"/>
          <w:szCs w:val="32"/>
        </w:rPr>
        <w:t>第二十三条</w:t>
      </w:r>
      <w:r>
        <w:rPr>
          <w:rFonts w:hint="default" w:ascii="Times New Roman" w:hAnsi="Times New Roman" w:eastAsia="方正仿宋_GBK" w:cs="Times New Roman"/>
          <w:sz w:val="32"/>
          <w:szCs w:val="32"/>
        </w:rPr>
        <w:t xml:space="preserve"> 住房安置可以采取农村宅基地自建安置、安置房安置或者货币安置等方式。住房安置对象应当以户为单位统一选择一种安置方式，一处宅基地上的住房计为一户，即以不动产首次登记的或者合法建房手续批准的房屋作为计户依据。</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选择农村宅基地自建安置的，应当符合镇（街）国土空间规划、村规划，以及国家和本市关于宅基地建房的有关规定。</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住房安置对象采取安置房安置或者货币安置后，该户家庭成员不得再申请农村宅基地新建住房。</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Style w:val="11"/>
          <w:rFonts w:hint="default" w:ascii="Times New Roman" w:hAnsi="Times New Roman" w:eastAsia="方正黑体_GBK" w:cs="Times New Roman"/>
          <w:b w:val="0"/>
          <w:bCs w:val="0"/>
          <w:sz w:val="32"/>
          <w:szCs w:val="32"/>
        </w:rPr>
        <w:t>第二十四条</w:t>
      </w:r>
      <w:r>
        <w:rPr>
          <w:rFonts w:hint="default" w:ascii="Times New Roman" w:hAnsi="Times New Roman" w:eastAsia="方正仿宋_GBK" w:cs="Times New Roman"/>
          <w:sz w:val="32"/>
          <w:szCs w:val="32"/>
        </w:rPr>
        <w:t xml:space="preserve"> 采取农村宅基地自建安置的，按被搬迁合法产权房屋居住面积（不含畜圈等非居住功能房屋）每平方米400元的标准给予一次性自建房补助（包含新宅基地、水电等基础设施和配套设施）。</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Style w:val="11"/>
          <w:rFonts w:hint="default" w:ascii="Times New Roman" w:hAnsi="Times New Roman" w:eastAsia="方正黑体_GBK" w:cs="Times New Roman"/>
          <w:b w:val="0"/>
          <w:bCs w:val="0"/>
          <w:sz w:val="32"/>
          <w:szCs w:val="32"/>
        </w:rPr>
        <w:t>第二十五条</w:t>
      </w:r>
      <w:r>
        <w:rPr>
          <w:rFonts w:hint="default" w:ascii="Times New Roman" w:hAnsi="Times New Roman" w:eastAsia="方正仿宋_GBK" w:cs="Times New Roman"/>
          <w:sz w:val="32"/>
          <w:szCs w:val="32"/>
        </w:rPr>
        <w:t xml:space="preserve"> 采取安置房安置或者货币安置的，住房安置对象的住房安置建筑面积标准为每人30平方米。</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Style w:val="11"/>
          <w:rFonts w:hint="default" w:ascii="Times New Roman" w:hAnsi="Times New Roman" w:eastAsia="方正黑体_GBK" w:cs="Times New Roman"/>
          <w:b w:val="0"/>
          <w:bCs w:val="0"/>
          <w:sz w:val="32"/>
          <w:szCs w:val="32"/>
        </w:rPr>
        <w:t>第二十六条</w:t>
      </w:r>
      <w:r>
        <w:rPr>
          <w:rFonts w:hint="default" w:ascii="Times New Roman" w:hAnsi="Times New Roman" w:eastAsia="方正仿宋_GBK" w:cs="Times New Roman"/>
          <w:sz w:val="32"/>
          <w:szCs w:val="32"/>
        </w:rPr>
        <w:t xml:space="preserve"> 住房安置对象夫妻双方均无子女，实行安置房安置或者货币安置时，可以申请增加15平方米建筑面积的住房。</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住房安置对象已达法定婚龄未婚的（不含离异、丧偶未再婚等情形），可以申请增加15平方米建筑面积的住房。</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Style w:val="11"/>
          <w:rFonts w:hint="default" w:ascii="Times New Roman" w:hAnsi="Times New Roman" w:eastAsia="方正黑体_GBK" w:cs="Times New Roman"/>
          <w:b w:val="0"/>
          <w:bCs w:val="0"/>
          <w:sz w:val="32"/>
          <w:szCs w:val="32"/>
        </w:rPr>
        <w:t>第二十七条</w:t>
      </w:r>
      <w:r>
        <w:rPr>
          <w:rFonts w:hint="default" w:ascii="Times New Roman" w:hAnsi="Times New Roman" w:eastAsia="方正仿宋_GBK" w:cs="Times New Roman"/>
          <w:sz w:val="32"/>
          <w:szCs w:val="32"/>
        </w:rPr>
        <w:t xml:space="preserve"> 住房安置对象的配偶及其未成年子女和被搬迁住房所有权人及其配偶、未成年子女，不属于被征地农村集体经济组织总人口范围，但同时符合下列条件的，可按本条二、三款的规定申请住房安置：</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（一）长期居住在被征地范围内；</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（二）征地前未实行征地住房安置；</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（三）住房安置对象或者被搬迁住房所有权人，及其配偶和未成年子女，均无商品房和其他农村住房，也未享受过福利房、经济适用房、安置房等住房；</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（四）不享有其他农村集体经济组织宅基地权利。</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住房安置对象的配偶或者未成年子女，实行安置房安置或者货币安置时，可以申请15平方米建筑面积的住房，与住房安置对象合并安置。</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被搬迁住房所有权人及其配偶，实行安置房安置或者货币安置时，可以申请30平方米建筑面积的住房，其未成年子女申请15平方米建筑面积的住房与其合并安置。但通过买卖、继承、赠与、交换、分家析产、司法处置等方式取得被搬迁房屋所有权证书的，被搬迁房屋按重置价格标准上浮50%予以补助，不予住房安置。</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Style w:val="11"/>
          <w:rFonts w:hint="default" w:ascii="Times New Roman" w:hAnsi="Times New Roman" w:eastAsia="方正黑体_GBK" w:cs="Times New Roman"/>
          <w:b w:val="0"/>
          <w:bCs w:val="0"/>
          <w:sz w:val="32"/>
          <w:szCs w:val="32"/>
        </w:rPr>
        <w:t>第二十八条</w:t>
      </w:r>
      <w:r>
        <w:rPr>
          <w:rFonts w:hint="default" w:ascii="Times New Roman" w:hAnsi="Times New Roman" w:eastAsia="方正黑体_GBK" w:cs="Times New Roman"/>
          <w:sz w:val="32"/>
          <w:szCs w:val="32"/>
        </w:rPr>
        <w:t xml:space="preserve"> </w:t>
      </w:r>
      <w:r>
        <w:rPr>
          <w:rFonts w:hint="default" w:ascii="Times New Roman" w:hAnsi="Times New Roman" w:eastAsia="方正仿宋_GBK" w:cs="Times New Roman"/>
          <w:sz w:val="32"/>
          <w:szCs w:val="32"/>
        </w:rPr>
        <w:t>采取安置房安置的，应安置建筑面积的部分，按照砖混结构房屋每平方米1020元的重置价格标准购买。</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因户型设计等原因，以户为单位，安置房超过应安置建筑面积不满5平方米的部分，按照安置房建安造价的50%购买；超过应安置建筑面积5平方米以上不满10平方米的部分，按照安置房建安造价购买；超过应安置建筑面积10平方米以上的部分，按照住房货币安置价格标准购买。安置房建安造价由区住房城乡建设部门会同区规划自然资源部门核定并予以发布。</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因户型设计、住房安置对象意愿等原因，购买安置房未达到应安置建筑面积的，不足部分按照本实施办法第三十一条规定的住房货币安置价格标准支付给住房安置对象。</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Style w:val="11"/>
          <w:rFonts w:hint="default" w:ascii="Times New Roman" w:hAnsi="Times New Roman" w:eastAsia="方正黑体_GBK" w:cs="Times New Roman"/>
          <w:b w:val="0"/>
          <w:bCs w:val="0"/>
          <w:sz w:val="32"/>
          <w:szCs w:val="32"/>
        </w:rPr>
        <w:t>第二十九条</w:t>
      </w:r>
      <w:r>
        <w:rPr>
          <w:rFonts w:hint="default" w:ascii="Times New Roman" w:hAnsi="Times New Roman" w:eastAsia="方正仿宋_GBK" w:cs="Times New Roman"/>
          <w:sz w:val="32"/>
          <w:szCs w:val="32"/>
        </w:rPr>
        <w:t xml:space="preserve"> 安置房应当在国有土地上建设。</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区财政部门或安置房建设单位统筹安置房的建设资金、首期物业专项维修资金以及居民用电、自来水、天然气、有线电视的安装费用。</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Style w:val="11"/>
          <w:rFonts w:hint="default" w:ascii="Times New Roman" w:hAnsi="Times New Roman" w:eastAsia="方正黑体_GBK" w:cs="Times New Roman"/>
          <w:b w:val="0"/>
          <w:bCs w:val="0"/>
          <w:sz w:val="32"/>
          <w:szCs w:val="32"/>
        </w:rPr>
        <w:t>第三十条</w:t>
      </w:r>
      <w:r>
        <w:rPr>
          <w:rStyle w:val="11"/>
          <w:rFonts w:hint="default" w:ascii="Times New Roman" w:hAnsi="Times New Roman" w:eastAsia="方正黑体_GBK" w:cs="Times New Roman"/>
          <w:b/>
          <w:bCs/>
          <w:sz w:val="32"/>
          <w:szCs w:val="32"/>
        </w:rPr>
        <w:t xml:space="preserve"> </w:t>
      </w:r>
      <w:r>
        <w:rPr>
          <w:rFonts w:hint="default" w:ascii="Times New Roman" w:hAnsi="Times New Roman" w:eastAsia="方正仿宋_GBK" w:cs="Times New Roman"/>
          <w:sz w:val="32"/>
          <w:szCs w:val="32"/>
        </w:rPr>
        <w:t>住房货币安置的，货币安置款额等于住房货币安置价格标准乘以应安置建筑面积。</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住房货币安置价格标准（见附件10）参照被征地范围周边普通商品住房平均价格与砖混结构房屋重置价格之差确定。</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Style w:val="11"/>
          <w:rFonts w:hint="default" w:ascii="Times New Roman" w:hAnsi="Times New Roman" w:eastAsia="方正黑体_GBK" w:cs="Times New Roman"/>
          <w:b w:val="0"/>
          <w:bCs w:val="0"/>
          <w:sz w:val="32"/>
          <w:szCs w:val="32"/>
        </w:rPr>
        <w:t>第三十一条</w:t>
      </w:r>
      <w:r>
        <w:rPr>
          <w:rFonts w:hint="default" w:ascii="Times New Roman" w:hAnsi="Times New Roman" w:eastAsia="方正仿宋_GBK" w:cs="Times New Roman"/>
          <w:sz w:val="32"/>
          <w:szCs w:val="32"/>
        </w:rPr>
        <w:t xml:space="preserve"> 住房安置对象拥有两处以上（含两处）农村住房的，只在其享有合法宅基地权利的住房被搬迁时安置一次住房，不得重复安置住房。</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Style w:val="11"/>
          <w:rFonts w:hint="default" w:ascii="Times New Roman" w:hAnsi="Times New Roman" w:eastAsia="方正黑体_GBK" w:cs="Times New Roman"/>
          <w:b w:val="0"/>
          <w:bCs w:val="0"/>
          <w:sz w:val="32"/>
          <w:szCs w:val="32"/>
        </w:rPr>
        <w:t>第三十二条</w:t>
      </w:r>
      <w:r>
        <w:rPr>
          <w:rFonts w:hint="default" w:ascii="Times New Roman" w:hAnsi="Times New Roman" w:eastAsia="方正仿宋_GBK" w:cs="Times New Roman"/>
          <w:sz w:val="32"/>
          <w:szCs w:val="32"/>
        </w:rPr>
        <w:t xml:space="preserve"> 征地搬迁农村住房，搬迁费按户两次计发，每次标准为3人以下（含3人），每户1500元；4人，每户2000元；5人以上（含5人），每户2500元，用于被搬迁户搬家及生产生活设施迁移需要的费用。</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农村宅基地自建安置的，按照符合宅基地申请条件的人员每人每月200元计算并一次性支付18个月的临时安置费。</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实行安置房安置的，自被搬迁住房腾空验收交付搬迁之月起至安置房通知交付后6个月止，按照应安置建筑面积每月每平方米10元计算支付临时安置费；临时过渡期限最长为3年，不满3年的按实际过渡期限计算，超过3年的，从逾期之月起临时安置费按应安置建筑面积每月每平方米20元计算。</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住房货币安置的，按照应安置建筑面积每月每平方米10元计算并一次性支付12个月的临时安置费。</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Style w:val="11"/>
          <w:rFonts w:hint="default" w:ascii="Times New Roman" w:hAnsi="Times New Roman" w:eastAsia="方正黑体_GBK" w:cs="Times New Roman"/>
          <w:b w:val="0"/>
          <w:bCs w:val="0"/>
          <w:sz w:val="32"/>
          <w:szCs w:val="32"/>
        </w:rPr>
        <w:t>第三十三条</w:t>
      </w:r>
      <w:r>
        <w:rPr>
          <w:rFonts w:hint="default" w:ascii="Times New Roman" w:hAnsi="Times New Roman" w:eastAsia="方正仿宋_GBK" w:cs="Times New Roman"/>
          <w:sz w:val="32"/>
          <w:szCs w:val="32"/>
        </w:rPr>
        <w:t xml:space="preserve"> 农村房屋被征地搬迁的合法建筑面积部分，在规定的期限内签订房屋搬迁补偿安置协议的，给予每平方米35元的协议签订奖励；在签订的搬迁补偿安置协议约定的时间内腾空交付房屋且承诺放弃残值的，给予每平方米25元的房屋腾空交付奖励；未在规定期限内签订房屋搬迁协议或未按协议签订约定时间腾空交付房屋的不给予相应奖励。</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Style w:val="11"/>
          <w:rFonts w:hint="default" w:ascii="Times New Roman" w:hAnsi="Times New Roman" w:eastAsia="方正黑体_GBK" w:cs="Times New Roman"/>
          <w:b w:val="0"/>
          <w:bCs w:val="0"/>
          <w:sz w:val="32"/>
          <w:szCs w:val="32"/>
        </w:rPr>
        <w:t>第三十四条</w:t>
      </w:r>
      <w:r>
        <w:rPr>
          <w:rFonts w:hint="default" w:ascii="Times New Roman" w:hAnsi="Times New Roman" w:eastAsia="方正仿宋_GBK" w:cs="Times New Roman"/>
          <w:sz w:val="32"/>
          <w:szCs w:val="32"/>
        </w:rPr>
        <w:t xml:space="preserve"> 被搬迁房屋的残值按附件7的标准进行补偿，其房屋拆除由征地实施机构或者委托其他相关行政事业单位组织实施。</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center"/>
        <w:textAlignment w:val="auto"/>
        <w:rPr>
          <w:rStyle w:val="11"/>
          <w:rFonts w:hint="default" w:ascii="Times New Roman" w:hAnsi="Times New Roman" w:eastAsia="方正黑体_GBK" w:cs="Times New Roman"/>
          <w:b w:val="0"/>
          <w:bCs w:val="0"/>
          <w:sz w:val="32"/>
          <w:szCs w:val="32"/>
        </w:rPr>
      </w:pPr>
      <w:r>
        <w:rPr>
          <w:rStyle w:val="11"/>
          <w:rFonts w:hint="eastAsia" w:ascii="Times New Roman" w:hAnsi="Times New Roman" w:eastAsia="方正黑体_GBK" w:cs="Times New Roman"/>
          <w:b w:val="0"/>
          <w:bCs w:val="0"/>
          <w:sz w:val="32"/>
          <w:szCs w:val="32"/>
          <w:lang w:eastAsia="zh-CN"/>
        </w:rPr>
        <w:t>第五章</w:t>
      </w:r>
      <w:r>
        <w:rPr>
          <w:rStyle w:val="11"/>
          <w:rFonts w:hint="eastAsia" w:ascii="Times New Roman" w:hAnsi="Times New Roman" w:eastAsia="方正黑体_GBK" w:cs="Times New Roman"/>
          <w:b w:val="0"/>
          <w:bCs w:val="0"/>
          <w:sz w:val="32"/>
          <w:szCs w:val="32"/>
          <w:lang w:val="en-US" w:eastAsia="zh-CN"/>
        </w:rPr>
        <w:t xml:space="preserve"> </w:t>
      </w:r>
      <w:r>
        <w:rPr>
          <w:rStyle w:val="11"/>
          <w:rFonts w:hint="default" w:ascii="Times New Roman" w:hAnsi="Times New Roman" w:eastAsia="方正黑体_GBK" w:cs="Times New Roman"/>
          <w:b w:val="0"/>
          <w:bCs w:val="0"/>
          <w:sz w:val="32"/>
          <w:szCs w:val="32"/>
        </w:rPr>
        <w:t>附则</w:t>
      </w:r>
    </w:p>
    <w:p>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Chars="200" w:right="0" w:rightChars="0"/>
        <w:jc w:val="both"/>
        <w:textAlignment w:val="auto"/>
        <w:rPr>
          <w:rStyle w:val="11"/>
          <w:rFonts w:hint="default" w:ascii="Times New Roman" w:hAnsi="Times New Roman" w:eastAsia="方正仿宋_GBK" w:cs="Times New Roman"/>
          <w:b/>
          <w:bCs/>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Style w:val="11"/>
          <w:rFonts w:hint="default" w:ascii="Times New Roman" w:hAnsi="Times New Roman" w:eastAsia="方正黑体_GBK" w:cs="Times New Roman"/>
          <w:b w:val="0"/>
          <w:bCs w:val="0"/>
          <w:sz w:val="32"/>
          <w:szCs w:val="32"/>
          <w:lang w:eastAsia="zh-CN"/>
        </w:rPr>
        <w:t xml:space="preserve">第三十五条 </w:t>
      </w:r>
      <w:r>
        <w:rPr>
          <w:rFonts w:hint="default" w:ascii="Times New Roman" w:hAnsi="Times New Roman" w:eastAsia="方正仿宋_GBK" w:cs="Times New Roman"/>
          <w:sz w:val="32"/>
          <w:szCs w:val="32"/>
        </w:rPr>
        <w:t>本实施办法第十五条、</w:t>
      </w:r>
      <w:r>
        <w:rPr>
          <w:rStyle w:val="11"/>
          <w:rFonts w:hint="default" w:ascii="Times New Roman" w:hAnsi="Times New Roman" w:eastAsia="方正仿宋_GBK" w:cs="Times New Roman"/>
          <w:b/>
          <w:bCs/>
          <w:sz w:val="32"/>
          <w:szCs w:val="32"/>
        </w:rPr>
        <w:t>第二十七</w:t>
      </w:r>
      <w:r>
        <w:rPr>
          <w:rFonts w:hint="default" w:ascii="Times New Roman" w:hAnsi="Times New Roman" w:eastAsia="方正仿宋_GBK" w:cs="Times New Roman"/>
          <w:sz w:val="32"/>
          <w:szCs w:val="32"/>
        </w:rPr>
        <w:t>条所称“长期”，是指区人民政府发布征收土地预公告之日，在被征地农村集体经济组织连续生产生活、居住1年以上，其中，离婚后再婚配偶及随迁子女在被征地农村集体经济组织连续生产生活、居住3年以上。</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Style w:val="11"/>
          <w:rFonts w:hint="default" w:ascii="Times New Roman" w:hAnsi="Times New Roman" w:eastAsia="方正黑体_GBK" w:cs="Times New Roman"/>
          <w:b w:val="0"/>
          <w:bCs w:val="0"/>
          <w:sz w:val="32"/>
          <w:szCs w:val="32"/>
          <w:lang w:eastAsia="zh-CN"/>
        </w:rPr>
        <w:t>第三十六条</w:t>
      </w:r>
      <w:r>
        <w:rPr>
          <w:rStyle w:val="11"/>
          <w:rFonts w:hint="default" w:ascii="Times New Roman" w:hAnsi="Times New Roman" w:eastAsia="方正黑体_GBK" w:cs="Times New Roman"/>
          <w:b/>
          <w:bCs/>
          <w:sz w:val="32"/>
          <w:szCs w:val="32"/>
        </w:rPr>
        <w:t xml:space="preserve"> </w:t>
      </w:r>
      <w:r>
        <w:rPr>
          <w:rFonts w:hint="default" w:ascii="Times New Roman" w:hAnsi="Times New Roman" w:eastAsia="方正仿宋_GBK" w:cs="Times New Roman"/>
          <w:sz w:val="32"/>
          <w:szCs w:val="32"/>
        </w:rPr>
        <w:t>本实施办法自2021年7月1日起施行。原《重庆市綦江区人民政府关于印发綦江区征地拆迁补偿安置实施办法的通知》（綦江府发〔2016〕16号）和《重庆市綦江区人民政府关于发放征地拆迁住房货币安置对象自购房安置补助费有关事项的通知》（綦江府发〔2016〕13号）同时废止。</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本实施办法施行前已经确定征地补偿安置方案的项目，按照原政策执行。</w:t>
      </w:r>
    </w:p>
    <w:p>
      <w:pPr>
        <w:pStyle w:val="15"/>
        <w:keepNext w:val="0"/>
        <w:keepLines w:val="0"/>
        <w:pageBreakBefore w:val="0"/>
        <w:widowControl w:val="0"/>
        <w:kinsoku/>
        <w:wordWrap/>
        <w:overflowPunct/>
        <w:topLinePunct w:val="0"/>
        <w:bidi w:val="0"/>
        <w:spacing w:line="600" w:lineRule="exact"/>
        <w:ind w:firstLine="640" w:firstLineChars="200"/>
        <w:textAlignment w:val="auto"/>
        <w:rPr>
          <w:rFonts w:hint="eastAsia"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w:t>
      </w:r>
      <w:r>
        <w:rPr>
          <w:rFonts w:hint="default" w:ascii="Times New Roman" w:hAnsi="Times New Roman" w:eastAsia="方正仿宋_GBK" w:cs="Times New Roman"/>
          <w:sz w:val="32"/>
          <w:szCs w:val="32"/>
        </w:rPr>
        <w:t>1.重庆市綦江区征地区片综合地价标准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1600" w:firstLineChars="5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2.綦江区农村合法房屋重置价格补偿标准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1600" w:firstLineChars="5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3.青苗补偿标准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1600" w:firstLineChars="5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4.花草树木补偿标准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1600" w:firstLineChars="5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5.构筑物补偿标准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6.零星</w:t>
      </w:r>
      <w:r>
        <w:rPr>
          <w:rFonts w:hint="eastAsia" w:ascii="Times New Roman" w:hAnsi="Times New Roman" w:eastAsia="方正仿宋_GBK" w:cs="Times New Roman"/>
          <w:sz w:val="32"/>
          <w:szCs w:val="32"/>
          <w:lang w:eastAsia="zh-CN"/>
        </w:rPr>
        <w:t>栽</w:t>
      </w:r>
      <w:bookmarkStart w:id="0" w:name="_GoBack"/>
      <w:bookmarkEnd w:id="0"/>
      <w:r>
        <w:rPr>
          <w:rFonts w:hint="default" w:ascii="Times New Roman" w:hAnsi="Times New Roman" w:eastAsia="方正仿宋_GBK" w:cs="Times New Roman"/>
          <w:sz w:val="32"/>
          <w:szCs w:val="32"/>
        </w:rPr>
        <w:t>种树木花草补偿标准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7.房屋残值补偿标准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8.装饰物补偿标准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9.畜禽养殖专业户搬迁补助费标准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val="en-US" w:eastAsia="zh-CN"/>
        </w:rPr>
        <w:t xml:space="preserve"> </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10.綦江区各镇（街）住房货币安置价格标准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sz w:val="32"/>
          <w:szCs w:val="32"/>
        </w:rPr>
        <w:t>附件</w:t>
      </w:r>
      <w:r>
        <w:rPr>
          <w:rFonts w:hint="eastAsia" w:ascii="方正黑体_GBK" w:hAnsi="方正黑体_GBK" w:eastAsia="方正黑体_GBK" w:cs="方正黑体_GBK"/>
          <w:sz w:val="32"/>
          <w:szCs w:val="32"/>
        </w:rPr>
        <w:t>1</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sz w:val="44"/>
          <w:szCs w:val="44"/>
        </w:rPr>
        <w:t>重庆市綦江区征地区片综合地价标准</w:t>
      </w:r>
    </w:p>
    <w:tbl>
      <w:tblPr>
        <w:tblStyle w:val="9"/>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456"/>
        <w:gridCol w:w="1842"/>
        <w:gridCol w:w="552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560" w:hRule="atLeast"/>
          <w:jc w:val="center"/>
        </w:trPr>
        <w:tc>
          <w:tcPr>
            <w:tcW w:w="1456"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sz w:val="32"/>
                <w:szCs w:val="32"/>
              </w:rPr>
              <w:t>区片类别</w:t>
            </w:r>
          </w:p>
        </w:tc>
        <w:tc>
          <w:tcPr>
            <w:tcW w:w="1842"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sz w:val="32"/>
                <w:szCs w:val="32"/>
              </w:rPr>
              <w:t>价格</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sz w:val="32"/>
                <w:szCs w:val="32"/>
              </w:rPr>
              <w:t>（万元/亩）</w:t>
            </w:r>
          </w:p>
        </w:tc>
        <w:tc>
          <w:tcPr>
            <w:tcW w:w="5529"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sz w:val="32"/>
                <w:szCs w:val="32"/>
              </w:rPr>
              <w:t>范围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50" w:hRule="atLeast"/>
          <w:jc w:val="center"/>
        </w:trPr>
        <w:tc>
          <w:tcPr>
            <w:tcW w:w="1456"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Ⅰ</w:t>
            </w:r>
          </w:p>
        </w:tc>
        <w:tc>
          <w:tcPr>
            <w:tcW w:w="1842"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5.47</w:t>
            </w:r>
          </w:p>
        </w:tc>
        <w:tc>
          <w:tcPr>
            <w:tcW w:w="5529"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古南街道、文龙街道、通惠街道、三江街道、新盛街道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644" w:hRule="atLeast"/>
          <w:jc w:val="center"/>
        </w:trPr>
        <w:tc>
          <w:tcPr>
            <w:tcW w:w="1456"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Ⅱ</w:t>
            </w:r>
          </w:p>
        </w:tc>
        <w:tc>
          <w:tcPr>
            <w:tcW w:w="1842"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5.25</w:t>
            </w:r>
          </w:p>
        </w:tc>
        <w:tc>
          <w:tcPr>
            <w:tcW w:w="5529"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东溪镇、赶水镇、打通镇、永新镇、三角镇、安稳镇、扶欢镇、永城镇、横山镇、隆盛镇、郭扶镇、篆塘镇、石角镇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46" w:hRule="atLeast"/>
          <w:jc w:val="center"/>
        </w:trPr>
        <w:tc>
          <w:tcPr>
            <w:tcW w:w="1456"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Ⅲ</w:t>
            </w:r>
          </w:p>
        </w:tc>
        <w:tc>
          <w:tcPr>
            <w:tcW w:w="1842"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5</w:t>
            </w:r>
          </w:p>
        </w:tc>
        <w:tc>
          <w:tcPr>
            <w:tcW w:w="5529"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石壕镇、丁山镇、中峰镇</w:t>
            </w:r>
          </w:p>
        </w:tc>
      </w:tr>
    </w:tbl>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sz w:val="44"/>
          <w:szCs w:val="44"/>
        </w:rPr>
        <w:t>綦江区农村合法房屋重置价格补偿标准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单位：元/平方米</w:t>
      </w:r>
    </w:p>
    <w:tbl>
      <w:tblPr>
        <w:tblStyle w:val="9"/>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977"/>
        <w:gridCol w:w="6875"/>
        <w:gridCol w:w="102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1" w:hRule="atLeast"/>
          <w:jc w:val="center"/>
        </w:trPr>
        <w:tc>
          <w:tcPr>
            <w:tcW w:w="1024"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结构</w:t>
            </w:r>
          </w:p>
        </w:tc>
        <w:tc>
          <w:tcPr>
            <w:tcW w:w="7417"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房屋结构</w:t>
            </w:r>
          </w:p>
        </w:tc>
        <w:tc>
          <w:tcPr>
            <w:tcW w:w="1054"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单价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1" w:hRule="atLeast"/>
          <w:jc w:val="center"/>
        </w:trPr>
        <w:tc>
          <w:tcPr>
            <w:tcW w:w="1024"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钢砼</w:t>
            </w:r>
          </w:p>
        </w:tc>
        <w:tc>
          <w:tcPr>
            <w:tcW w:w="7417"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框架（剪力墙）现浇盖</w:t>
            </w:r>
          </w:p>
        </w:tc>
        <w:tc>
          <w:tcPr>
            <w:tcW w:w="1054"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1280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9" w:hRule="atLeast"/>
          <w:jc w:val="center"/>
        </w:trPr>
        <w:tc>
          <w:tcPr>
            <w:tcW w:w="1024"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砖混</w:t>
            </w:r>
          </w:p>
        </w:tc>
        <w:tc>
          <w:tcPr>
            <w:tcW w:w="7417"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砖墙（条石）预制盖</w:t>
            </w:r>
          </w:p>
        </w:tc>
        <w:tc>
          <w:tcPr>
            <w:tcW w:w="1054"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024"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砖木</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firstLine="640" w:firstLineChars="200"/>
              <w:jc w:val="left"/>
              <w:textAlignment w:val="auto"/>
              <w:rPr>
                <w:rFonts w:hint="default" w:ascii="Times New Roman" w:hAnsi="Times New Roman" w:eastAsia="方正仿宋_GBK" w:cs="Times New Roman"/>
                <w:sz w:val="32"/>
                <w:szCs w:val="32"/>
              </w:rPr>
            </w:pPr>
          </w:p>
        </w:tc>
        <w:tc>
          <w:tcPr>
            <w:tcW w:w="7417"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砖墙（条石）瓦盖</w:t>
            </w:r>
          </w:p>
        </w:tc>
        <w:tc>
          <w:tcPr>
            <w:tcW w:w="1054"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1" w:hRule="atLeast"/>
          <w:jc w:val="center"/>
        </w:trPr>
        <w:tc>
          <w:tcPr>
            <w:tcW w:w="1024"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sz w:val="32"/>
                <w:szCs w:val="32"/>
              </w:rPr>
            </w:pPr>
          </w:p>
        </w:tc>
        <w:tc>
          <w:tcPr>
            <w:tcW w:w="7417"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砖墙（片石）瓦盖</w:t>
            </w:r>
          </w:p>
        </w:tc>
        <w:tc>
          <w:tcPr>
            <w:tcW w:w="1054"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1" w:hRule="atLeast"/>
          <w:jc w:val="center"/>
        </w:trPr>
        <w:tc>
          <w:tcPr>
            <w:tcW w:w="1024"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sz w:val="32"/>
                <w:szCs w:val="32"/>
              </w:rPr>
            </w:pPr>
          </w:p>
        </w:tc>
        <w:tc>
          <w:tcPr>
            <w:tcW w:w="7417"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砖墙石棉瓦盖（油毡、玻纤瓦、彩钢盖）</w:t>
            </w:r>
          </w:p>
        </w:tc>
        <w:tc>
          <w:tcPr>
            <w:tcW w:w="1054"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3" w:hRule="atLeast"/>
          <w:jc w:val="center"/>
        </w:trPr>
        <w:tc>
          <w:tcPr>
            <w:tcW w:w="1024"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土墙</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(穿逗)</w:t>
            </w:r>
          </w:p>
        </w:tc>
        <w:tc>
          <w:tcPr>
            <w:tcW w:w="7417"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土墙（木板）穿逗瓦盖</w:t>
            </w:r>
          </w:p>
        </w:tc>
        <w:tc>
          <w:tcPr>
            <w:tcW w:w="1054"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490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3" w:hRule="atLeast"/>
          <w:jc w:val="center"/>
        </w:trPr>
        <w:tc>
          <w:tcPr>
            <w:tcW w:w="1024"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sz w:val="32"/>
                <w:szCs w:val="32"/>
              </w:rPr>
            </w:pPr>
          </w:p>
        </w:tc>
        <w:tc>
          <w:tcPr>
            <w:tcW w:w="7417"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石棉瓦盖、玻纤瓦盖</w:t>
            </w:r>
          </w:p>
        </w:tc>
        <w:tc>
          <w:tcPr>
            <w:tcW w:w="1054"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07" w:hRule="atLeast"/>
          <w:jc w:val="center"/>
        </w:trPr>
        <w:tc>
          <w:tcPr>
            <w:tcW w:w="1024"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简易</w:t>
            </w:r>
          </w:p>
        </w:tc>
        <w:tc>
          <w:tcPr>
            <w:tcW w:w="7417"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砖柱（石柱、木柱）石棉瓦盖（油毡、玻纤瓦、彩钢盖）</w:t>
            </w:r>
          </w:p>
        </w:tc>
        <w:tc>
          <w:tcPr>
            <w:tcW w:w="1054"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1" w:hRule="atLeast"/>
          <w:jc w:val="center"/>
        </w:trPr>
        <w:tc>
          <w:tcPr>
            <w:tcW w:w="1024"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sz w:val="32"/>
                <w:szCs w:val="32"/>
              </w:rPr>
            </w:pPr>
          </w:p>
        </w:tc>
        <w:tc>
          <w:tcPr>
            <w:tcW w:w="7417"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简易棚房</w:t>
            </w:r>
          </w:p>
        </w:tc>
        <w:tc>
          <w:tcPr>
            <w:tcW w:w="1054"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190</w:t>
            </w:r>
          </w:p>
        </w:tc>
      </w:tr>
    </w:tbl>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说明：1．房屋层高在2.2米以下（不含2.2米），1.5米以上（含1.5米）的，按同类房屋标准的70%计算补偿。</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    2．房屋层高在1.5米以下（不含1.5米），1米以上（含1米）的，按同类房屋标准的50%计算补偿。</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    3．房屋层高在1米以下（不含1米）的，按同类房屋标准的20%计算补偿。</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    4．外阳台按同类房屋的50%计算。</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   5．房屋面积以外墙尺寸计算。</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sz w:val="32"/>
          <w:szCs w:val="32"/>
        </w:rPr>
        <w:t>附件</w:t>
      </w:r>
      <w:r>
        <w:rPr>
          <w:rFonts w:hint="eastAsia" w:ascii="方正黑体_GBK" w:hAnsi="方正黑体_GBK" w:eastAsia="方正黑体_GBK" w:cs="方正黑体_GBK"/>
          <w:sz w:val="32"/>
          <w:szCs w:val="32"/>
        </w:rPr>
        <w:t>3</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880" w:firstLineChars="200"/>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青苗补偿标准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 xml:space="preserve">                                  </w:t>
      </w:r>
      <w:r>
        <w:rPr>
          <w:rFonts w:hint="eastAsia"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单位：元/亩</w:t>
      </w:r>
    </w:p>
    <w:tbl>
      <w:tblPr>
        <w:tblStyle w:val="9"/>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2518"/>
        <w:gridCol w:w="2410"/>
        <w:gridCol w:w="258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37" w:hRule="atLeast"/>
          <w:jc w:val="center"/>
        </w:trPr>
        <w:tc>
          <w:tcPr>
            <w:tcW w:w="2518"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sz w:val="32"/>
                <w:szCs w:val="32"/>
              </w:rPr>
              <w:t>类别</w:t>
            </w:r>
          </w:p>
        </w:tc>
        <w:tc>
          <w:tcPr>
            <w:tcW w:w="2410"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sz w:val="32"/>
                <w:szCs w:val="32"/>
              </w:rPr>
              <w:t>标准</w:t>
            </w:r>
          </w:p>
        </w:tc>
        <w:tc>
          <w:tcPr>
            <w:tcW w:w="2588"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sz w:val="32"/>
                <w:szCs w:val="32"/>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48" w:hRule="atLeast"/>
          <w:jc w:val="center"/>
        </w:trPr>
        <w:tc>
          <w:tcPr>
            <w:tcW w:w="2518"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青苗</w:t>
            </w:r>
          </w:p>
        </w:tc>
        <w:tc>
          <w:tcPr>
            <w:tcW w:w="2410"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3000</w:t>
            </w:r>
          </w:p>
        </w:tc>
        <w:tc>
          <w:tcPr>
            <w:tcW w:w="2588"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p>
        </w:tc>
      </w:tr>
    </w:tbl>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说明：</w:t>
      </w:r>
      <w:r>
        <w:rPr>
          <w:rFonts w:hint="default" w:ascii="Times New Roman" w:hAnsi="Times New Roman" w:eastAsia="方正仿宋_GBK" w:cs="Times New Roman"/>
          <w:sz w:val="32"/>
          <w:szCs w:val="32"/>
        </w:rPr>
        <w:t>一、集中成片栽种的经济树可按青苗补偿标准上浮50%计算。“集中成片”的界定标准为：</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（一）</w:t>
      </w:r>
      <w:r>
        <w:rPr>
          <w:rFonts w:hint="default" w:ascii="Times New Roman" w:hAnsi="Times New Roman" w:eastAsia="方正仿宋_GBK" w:cs="Times New Roman"/>
          <w:color w:val="000000"/>
          <w:sz w:val="32"/>
          <w:szCs w:val="32"/>
        </w:rPr>
        <w:t>以主杆离地1.2米，直径在10cm以上，一亩60株以上；</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（二）</w:t>
      </w:r>
      <w:r>
        <w:rPr>
          <w:rFonts w:hint="default" w:ascii="Times New Roman" w:hAnsi="Times New Roman" w:eastAsia="方正仿宋_GBK" w:cs="Times New Roman"/>
          <w:color w:val="000000"/>
          <w:sz w:val="32"/>
          <w:szCs w:val="32"/>
        </w:rPr>
        <w:t>以主杆离地1.2米，直径在10cm以下，一亩100株以上；</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（三）</w:t>
      </w:r>
      <w:r>
        <w:rPr>
          <w:rFonts w:hint="default" w:ascii="Times New Roman" w:hAnsi="Times New Roman" w:eastAsia="方正仿宋_GBK" w:cs="Times New Roman"/>
          <w:color w:val="000000"/>
          <w:sz w:val="32"/>
          <w:szCs w:val="32"/>
        </w:rPr>
        <w:t>幼苗一亩200株以上</w:t>
      </w:r>
      <w:r>
        <w:rPr>
          <w:rFonts w:hint="default" w:ascii="Times New Roman" w:hAnsi="Times New Roman" w:eastAsia="方正仿宋_GBK" w:cs="Times New Roman"/>
          <w:sz w:val="32"/>
          <w:szCs w:val="32"/>
        </w:rPr>
        <w:t>。</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二、集中成片（</w:t>
      </w:r>
      <w:r>
        <w:rPr>
          <w:rFonts w:hint="default" w:ascii="Times New Roman" w:hAnsi="Times New Roman" w:eastAsia="方正仿宋_GBK" w:cs="Times New Roman"/>
          <w:color w:val="000000"/>
          <w:sz w:val="32"/>
          <w:szCs w:val="32"/>
        </w:rPr>
        <w:t>一亩60株以上</w:t>
      </w:r>
      <w:r>
        <w:rPr>
          <w:rFonts w:hint="default" w:ascii="Times New Roman" w:hAnsi="Times New Roman" w:eastAsia="方正仿宋_GBK" w:cs="Times New Roman"/>
          <w:sz w:val="32"/>
          <w:szCs w:val="32"/>
        </w:rPr>
        <w:t>）栽种的果树（含葡萄园）、</w:t>
      </w:r>
      <w:r>
        <w:rPr>
          <w:rFonts w:hint="default" w:ascii="Times New Roman" w:hAnsi="Times New Roman" w:eastAsia="方正仿宋_GBK" w:cs="Times New Roman"/>
          <w:color w:val="000000"/>
          <w:sz w:val="32"/>
          <w:szCs w:val="32"/>
        </w:rPr>
        <w:t>盛果园</w:t>
      </w:r>
      <w:r>
        <w:rPr>
          <w:rFonts w:hint="default" w:ascii="Times New Roman" w:hAnsi="Times New Roman" w:eastAsia="方正仿宋_GBK" w:cs="Times New Roman"/>
          <w:sz w:val="32"/>
          <w:szCs w:val="32"/>
        </w:rPr>
        <w:t>按青苗补偿标准增加1.8倍</w:t>
      </w:r>
      <w:r>
        <w:rPr>
          <w:rFonts w:hint="default" w:ascii="Times New Roman" w:hAnsi="Times New Roman" w:eastAsia="方正仿宋_GBK" w:cs="Times New Roman"/>
          <w:color w:val="000000"/>
          <w:sz w:val="32"/>
          <w:szCs w:val="32"/>
        </w:rPr>
        <w:t>，挂果园</w:t>
      </w:r>
      <w:r>
        <w:rPr>
          <w:rFonts w:hint="default" w:ascii="Times New Roman" w:hAnsi="Times New Roman" w:eastAsia="方正仿宋_GBK" w:cs="Times New Roman"/>
          <w:sz w:val="32"/>
          <w:szCs w:val="32"/>
        </w:rPr>
        <w:t>按青苗补偿标准增加1.3倍</w:t>
      </w:r>
      <w:r>
        <w:rPr>
          <w:rFonts w:hint="default" w:ascii="Times New Roman" w:hAnsi="Times New Roman" w:eastAsia="方正仿宋_GBK" w:cs="Times New Roman"/>
          <w:color w:val="000000"/>
          <w:sz w:val="32"/>
          <w:szCs w:val="32"/>
        </w:rPr>
        <w:t>，幼果园</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sz w:val="32"/>
          <w:szCs w:val="32"/>
        </w:rPr>
        <w:t>一亩200株以上</w:t>
      </w:r>
      <w:r>
        <w:rPr>
          <w:rFonts w:hint="default" w:ascii="Times New Roman" w:hAnsi="Times New Roman" w:eastAsia="方正仿宋_GBK" w:cs="Times New Roman"/>
          <w:sz w:val="32"/>
          <w:szCs w:val="32"/>
        </w:rPr>
        <w:t>）按青苗补偿标准增加1.2倍。</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三、专用养殖池按水面积计算补偿（含损失），其补偿标准按青苗补偿标准增加1倍计算。</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sz w:val="32"/>
          <w:szCs w:val="32"/>
        </w:rPr>
        <w:t>附件</w:t>
      </w:r>
      <w:r>
        <w:rPr>
          <w:rFonts w:hint="eastAsia" w:ascii="方正黑体_GBK" w:hAnsi="方正黑体_GBK" w:eastAsia="方正黑体_GBK" w:cs="方正黑体_GBK"/>
          <w:sz w:val="32"/>
          <w:szCs w:val="32"/>
        </w:rPr>
        <w:t>4</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880" w:firstLineChars="200"/>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花草树木补偿标准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一、耕地（含园地）上零星栽种的花草树木，按被征收耕地面积计算，每亩补偿3400元。</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二、林地上的林木按被征收林地面积计算，每亩补偿7000元。</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color w:val="000000"/>
          <w:sz w:val="32"/>
          <w:szCs w:val="32"/>
        </w:rPr>
        <w:t>附件</w:t>
      </w:r>
      <w:r>
        <w:rPr>
          <w:rFonts w:hint="eastAsia" w:ascii="方正黑体_GBK" w:hAnsi="方正黑体_GBK" w:eastAsia="方正黑体_GBK" w:cs="方正黑体_GBK"/>
          <w:sz w:val="32"/>
          <w:szCs w:val="32"/>
        </w:rPr>
        <w:t>5</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880" w:firstLineChars="200"/>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构筑物补偿标准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单位：元</w:t>
      </w:r>
    </w:p>
    <w:tbl>
      <w:tblPr>
        <w:tblStyle w:val="9"/>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970"/>
        <w:gridCol w:w="918"/>
        <w:gridCol w:w="1561"/>
        <w:gridCol w:w="1375"/>
        <w:gridCol w:w="1723"/>
        <w:gridCol w:w="232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7" w:hRule="atLeast"/>
          <w:jc w:val="center"/>
        </w:trPr>
        <w:tc>
          <w:tcPr>
            <w:tcW w:w="970"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名称</w:t>
            </w:r>
          </w:p>
        </w:tc>
        <w:tc>
          <w:tcPr>
            <w:tcW w:w="2479"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结构</w:t>
            </w:r>
          </w:p>
        </w:tc>
        <w:tc>
          <w:tcPr>
            <w:tcW w:w="1375"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单位</w:t>
            </w:r>
          </w:p>
        </w:tc>
        <w:tc>
          <w:tcPr>
            <w:tcW w:w="1723"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单价</w:t>
            </w:r>
          </w:p>
        </w:tc>
        <w:tc>
          <w:tcPr>
            <w:tcW w:w="2328"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堡坎、围墙（含鱼塘坎）</w:t>
            </w:r>
          </w:p>
        </w:tc>
        <w:tc>
          <w:tcPr>
            <w:tcW w:w="918"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条石</w:t>
            </w:r>
          </w:p>
        </w:tc>
        <w:tc>
          <w:tcPr>
            <w:tcW w:w="1561"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清条石</w:t>
            </w:r>
          </w:p>
        </w:tc>
        <w:tc>
          <w:tcPr>
            <w:tcW w:w="1375"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立方米</w:t>
            </w:r>
          </w:p>
        </w:tc>
        <w:tc>
          <w:tcPr>
            <w:tcW w:w="1723"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240</w:t>
            </w:r>
          </w:p>
        </w:tc>
        <w:tc>
          <w:tcPr>
            <w:tcW w:w="2328"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集体改田改土堡坎、房屋基础堡坎不予补偿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c>
          <w:tcPr>
            <w:tcW w:w="918"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kern w:val="0"/>
                <w:sz w:val="32"/>
                <w:szCs w:val="32"/>
                <w:lang w:val="en-US" w:eastAsia="zh-CN" w:bidi="ar"/>
              </w:rPr>
            </w:pPr>
          </w:p>
        </w:tc>
        <w:tc>
          <w:tcPr>
            <w:tcW w:w="1561"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条石</w:t>
            </w:r>
          </w:p>
        </w:tc>
        <w:tc>
          <w:tcPr>
            <w:tcW w:w="1375"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c>
          <w:tcPr>
            <w:tcW w:w="1723"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180</w:t>
            </w:r>
          </w:p>
        </w:tc>
        <w:tc>
          <w:tcPr>
            <w:tcW w:w="2328"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c>
          <w:tcPr>
            <w:tcW w:w="2479"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片石</w:t>
            </w:r>
          </w:p>
        </w:tc>
        <w:tc>
          <w:tcPr>
            <w:tcW w:w="1375"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130</w:t>
            </w:r>
          </w:p>
        </w:tc>
        <w:tc>
          <w:tcPr>
            <w:tcW w:w="1723"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firstLine="640" w:firstLineChars="200"/>
              <w:jc w:val="center"/>
              <w:textAlignment w:val="auto"/>
              <w:rPr>
                <w:rFonts w:hint="default" w:ascii="Times New Roman" w:hAnsi="Times New Roman" w:eastAsia="方正仿宋_GBK" w:cs="Times New Roman"/>
                <w:sz w:val="32"/>
                <w:szCs w:val="32"/>
              </w:rPr>
            </w:pPr>
          </w:p>
        </w:tc>
        <w:tc>
          <w:tcPr>
            <w:tcW w:w="0" w:type="auto"/>
            <w:tcBorders>
              <w:top w:val="outset" w:color="auto" w:sz="6" w:space="0"/>
              <w:left w:val="nil"/>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c>
          <w:tcPr>
            <w:tcW w:w="2479"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砖</w:t>
            </w:r>
          </w:p>
        </w:tc>
        <w:tc>
          <w:tcPr>
            <w:tcW w:w="1375"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210</w:t>
            </w:r>
          </w:p>
        </w:tc>
        <w:tc>
          <w:tcPr>
            <w:tcW w:w="1723"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firstLine="640" w:firstLineChars="200"/>
              <w:jc w:val="center"/>
              <w:textAlignment w:val="auto"/>
              <w:rPr>
                <w:rFonts w:hint="default" w:ascii="Times New Roman" w:hAnsi="Times New Roman" w:eastAsia="方正仿宋_GBK" w:cs="Times New Roman"/>
                <w:sz w:val="32"/>
                <w:szCs w:val="32"/>
              </w:rPr>
            </w:pPr>
          </w:p>
        </w:tc>
        <w:tc>
          <w:tcPr>
            <w:tcW w:w="0" w:type="auto"/>
            <w:tcBorders>
              <w:top w:val="outset" w:color="auto" w:sz="6" w:space="0"/>
              <w:left w:val="nil"/>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3" w:hRule="atLeast"/>
          <w:jc w:val="center"/>
        </w:trPr>
        <w:tc>
          <w:tcPr>
            <w:tcW w:w="970"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c>
          <w:tcPr>
            <w:tcW w:w="2479"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土围墙</w:t>
            </w:r>
          </w:p>
        </w:tc>
        <w:tc>
          <w:tcPr>
            <w:tcW w:w="1375"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50</w:t>
            </w:r>
          </w:p>
        </w:tc>
        <w:tc>
          <w:tcPr>
            <w:tcW w:w="1723"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firstLine="640" w:firstLineChars="200"/>
              <w:jc w:val="center"/>
              <w:textAlignment w:val="auto"/>
              <w:rPr>
                <w:rFonts w:hint="default" w:ascii="Times New Roman" w:hAnsi="Times New Roman" w:eastAsia="方正仿宋_GBK" w:cs="Times New Roman"/>
                <w:sz w:val="32"/>
                <w:szCs w:val="32"/>
              </w:rPr>
            </w:pPr>
          </w:p>
        </w:tc>
        <w:tc>
          <w:tcPr>
            <w:tcW w:w="0" w:type="auto"/>
            <w:tcBorders>
              <w:top w:val="outset" w:color="auto" w:sz="6" w:space="0"/>
              <w:left w:val="nil"/>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道路</w:t>
            </w:r>
          </w:p>
        </w:tc>
        <w:tc>
          <w:tcPr>
            <w:tcW w:w="2479"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水泥路面</w:t>
            </w:r>
          </w:p>
        </w:tc>
        <w:tc>
          <w:tcPr>
            <w:tcW w:w="1375"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平方米</w:t>
            </w:r>
          </w:p>
        </w:tc>
        <w:tc>
          <w:tcPr>
            <w:tcW w:w="1723"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100</w:t>
            </w:r>
          </w:p>
        </w:tc>
        <w:tc>
          <w:tcPr>
            <w:tcW w:w="2328"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人行道路一律不予补偿；水泥路面厚度在10厘米以上按水泥路面补偿，低于10厘米按碎石泥结路面标准补偿。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c>
          <w:tcPr>
            <w:tcW w:w="2479"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碎石（含条石）泥结路面</w:t>
            </w:r>
          </w:p>
        </w:tc>
        <w:tc>
          <w:tcPr>
            <w:tcW w:w="1375"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c>
          <w:tcPr>
            <w:tcW w:w="1723"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80</w:t>
            </w:r>
          </w:p>
        </w:tc>
        <w:tc>
          <w:tcPr>
            <w:tcW w:w="2328"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c>
          <w:tcPr>
            <w:tcW w:w="2479"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简易路面（机耕道）</w:t>
            </w:r>
          </w:p>
        </w:tc>
        <w:tc>
          <w:tcPr>
            <w:tcW w:w="1375"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c>
          <w:tcPr>
            <w:tcW w:w="1723"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40</w:t>
            </w:r>
          </w:p>
        </w:tc>
        <w:tc>
          <w:tcPr>
            <w:tcW w:w="2328"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钢丝护网</w:t>
            </w:r>
          </w:p>
        </w:tc>
        <w:tc>
          <w:tcPr>
            <w:tcW w:w="2479"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p>
        </w:tc>
        <w:tc>
          <w:tcPr>
            <w:tcW w:w="1375"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米</w:t>
            </w:r>
          </w:p>
        </w:tc>
        <w:tc>
          <w:tcPr>
            <w:tcW w:w="1723"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w:t>
            </w:r>
          </w:p>
        </w:tc>
        <w:tc>
          <w:tcPr>
            <w:tcW w:w="2328"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水泥桩</w:t>
            </w:r>
          </w:p>
        </w:tc>
        <w:tc>
          <w:tcPr>
            <w:tcW w:w="2479"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p>
        </w:tc>
        <w:tc>
          <w:tcPr>
            <w:tcW w:w="1375"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w:t>
            </w:r>
          </w:p>
        </w:tc>
        <w:tc>
          <w:tcPr>
            <w:tcW w:w="1723"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80</w:t>
            </w:r>
          </w:p>
        </w:tc>
        <w:tc>
          <w:tcPr>
            <w:tcW w:w="2328"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水井</w:t>
            </w:r>
          </w:p>
        </w:tc>
        <w:tc>
          <w:tcPr>
            <w:tcW w:w="2479"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条石</w:t>
            </w:r>
          </w:p>
        </w:tc>
        <w:tc>
          <w:tcPr>
            <w:tcW w:w="1375"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立方米</w:t>
            </w:r>
          </w:p>
        </w:tc>
        <w:tc>
          <w:tcPr>
            <w:tcW w:w="1723"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100</w:t>
            </w:r>
          </w:p>
        </w:tc>
        <w:tc>
          <w:tcPr>
            <w:tcW w:w="2328"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按容积计算补偿后，一律不再计算材料补偿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c>
          <w:tcPr>
            <w:tcW w:w="2479"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水泥</w:t>
            </w:r>
          </w:p>
        </w:tc>
        <w:tc>
          <w:tcPr>
            <w:tcW w:w="1375"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c>
          <w:tcPr>
            <w:tcW w:w="1723"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90</w:t>
            </w:r>
          </w:p>
        </w:tc>
        <w:tc>
          <w:tcPr>
            <w:tcW w:w="2328"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c>
          <w:tcPr>
            <w:tcW w:w="2479"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简易</w:t>
            </w:r>
          </w:p>
        </w:tc>
        <w:tc>
          <w:tcPr>
            <w:tcW w:w="1375"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c>
          <w:tcPr>
            <w:tcW w:w="1723"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30</w:t>
            </w:r>
          </w:p>
        </w:tc>
        <w:tc>
          <w:tcPr>
            <w:tcW w:w="2328"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c>
          <w:tcPr>
            <w:tcW w:w="2479"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机井</w:t>
            </w:r>
          </w:p>
        </w:tc>
        <w:tc>
          <w:tcPr>
            <w:tcW w:w="1375"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个</w:t>
            </w:r>
          </w:p>
        </w:tc>
        <w:tc>
          <w:tcPr>
            <w:tcW w:w="1723"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3000</w:t>
            </w:r>
          </w:p>
        </w:tc>
        <w:tc>
          <w:tcPr>
            <w:tcW w:w="2328"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坟墓</w:t>
            </w:r>
          </w:p>
        </w:tc>
        <w:tc>
          <w:tcPr>
            <w:tcW w:w="2479"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单人（土）</w:t>
            </w:r>
          </w:p>
        </w:tc>
        <w:tc>
          <w:tcPr>
            <w:tcW w:w="1375"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座</w:t>
            </w:r>
          </w:p>
        </w:tc>
        <w:tc>
          <w:tcPr>
            <w:tcW w:w="1723"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2000</w:t>
            </w:r>
          </w:p>
        </w:tc>
        <w:tc>
          <w:tcPr>
            <w:tcW w:w="2328"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由征地单位公告坟主，按期迁葬，逾期不迁葬，按无主坟处理。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c>
          <w:tcPr>
            <w:tcW w:w="2479"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单人（石）</w:t>
            </w:r>
          </w:p>
        </w:tc>
        <w:tc>
          <w:tcPr>
            <w:tcW w:w="1375"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c>
          <w:tcPr>
            <w:tcW w:w="1723"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2800</w:t>
            </w:r>
          </w:p>
        </w:tc>
        <w:tc>
          <w:tcPr>
            <w:tcW w:w="2328"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c>
          <w:tcPr>
            <w:tcW w:w="2479"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双人（土）</w:t>
            </w:r>
          </w:p>
        </w:tc>
        <w:tc>
          <w:tcPr>
            <w:tcW w:w="1375"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c>
          <w:tcPr>
            <w:tcW w:w="1723"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2500</w:t>
            </w:r>
          </w:p>
        </w:tc>
        <w:tc>
          <w:tcPr>
            <w:tcW w:w="2328"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c>
          <w:tcPr>
            <w:tcW w:w="2479"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双人（石）</w:t>
            </w:r>
          </w:p>
        </w:tc>
        <w:tc>
          <w:tcPr>
            <w:tcW w:w="1375"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c>
          <w:tcPr>
            <w:tcW w:w="1723"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3800</w:t>
            </w:r>
          </w:p>
        </w:tc>
        <w:tc>
          <w:tcPr>
            <w:tcW w:w="2328"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地坝</w:t>
            </w:r>
          </w:p>
        </w:tc>
        <w:tc>
          <w:tcPr>
            <w:tcW w:w="2479"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石板</w:t>
            </w:r>
          </w:p>
        </w:tc>
        <w:tc>
          <w:tcPr>
            <w:tcW w:w="1375"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平方米</w:t>
            </w:r>
          </w:p>
        </w:tc>
        <w:tc>
          <w:tcPr>
            <w:tcW w:w="1723"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80</w:t>
            </w:r>
          </w:p>
        </w:tc>
        <w:tc>
          <w:tcPr>
            <w:tcW w:w="2328"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地坝是指正规成形的晒坝或院坝，非正规不成形的零星小块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c>
          <w:tcPr>
            <w:tcW w:w="2479"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水泥</w:t>
            </w:r>
          </w:p>
        </w:tc>
        <w:tc>
          <w:tcPr>
            <w:tcW w:w="1375"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c>
          <w:tcPr>
            <w:tcW w:w="1723"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70</w:t>
            </w:r>
          </w:p>
        </w:tc>
        <w:tc>
          <w:tcPr>
            <w:tcW w:w="2328"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c>
          <w:tcPr>
            <w:tcW w:w="2479"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三合土</w:t>
            </w:r>
          </w:p>
        </w:tc>
        <w:tc>
          <w:tcPr>
            <w:tcW w:w="1375"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c>
          <w:tcPr>
            <w:tcW w:w="1723"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50</w:t>
            </w:r>
          </w:p>
        </w:tc>
        <w:tc>
          <w:tcPr>
            <w:tcW w:w="2328"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c>
          <w:tcPr>
            <w:tcW w:w="2479"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土</w:t>
            </w:r>
          </w:p>
        </w:tc>
        <w:tc>
          <w:tcPr>
            <w:tcW w:w="1375"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c>
          <w:tcPr>
            <w:tcW w:w="1723"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p>
        </w:tc>
        <w:tc>
          <w:tcPr>
            <w:tcW w:w="2328"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粪池、贮水池</w:t>
            </w:r>
          </w:p>
        </w:tc>
        <w:tc>
          <w:tcPr>
            <w:tcW w:w="2479"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条石、坚石硬打</w:t>
            </w:r>
          </w:p>
        </w:tc>
        <w:tc>
          <w:tcPr>
            <w:tcW w:w="1375"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立方米</w:t>
            </w:r>
          </w:p>
        </w:tc>
        <w:tc>
          <w:tcPr>
            <w:tcW w:w="1723"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90</w:t>
            </w:r>
          </w:p>
        </w:tc>
        <w:tc>
          <w:tcPr>
            <w:tcW w:w="2328"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农民自建室内粪坑和燕窝形粪坑，一律不予补偿。已按标准补偿的粪池、贮水池，其材料费不再补偿。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c>
          <w:tcPr>
            <w:tcW w:w="2479"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三合土、水泥</w:t>
            </w:r>
          </w:p>
        </w:tc>
        <w:tc>
          <w:tcPr>
            <w:tcW w:w="1375"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c>
          <w:tcPr>
            <w:tcW w:w="1723"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70</w:t>
            </w:r>
          </w:p>
        </w:tc>
        <w:tc>
          <w:tcPr>
            <w:tcW w:w="2328"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c>
          <w:tcPr>
            <w:tcW w:w="2479"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土</w:t>
            </w:r>
          </w:p>
        </w:tc>
        <w:tc>
          <w:tcPr>
            <w:tcW w:w="1375"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c>
          <w:tcPr>
            <w:tcW w:w="1723"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p>
        </w:tc>
        <w:tc>
          <w:tcPr>
            <w:tcW w:w="2328"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水渠</w:t>
            </w:r>
          </w:p>
        </w:tc>
        <w:tc>
          <w:tcPr>
            <w:tcW w:w="2479"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条石、砖砌</w:t>
            </w:r>
          </w:p>
        </w:tc>
        <w:tc>
          <w:tcPr>
            <w:tcW w:w="1375"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立方米</w:t>
            </w:r>
          </w:p>
        </w:tc>
        <w:tc>
          <w:tcPr>
            <w:tcW w:w="1723"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90</w:t>
            </w:r>
          </w:p>
        </w:tc>
        <w:tc>
          <w:tcPr>
            <w:tcW w:w="2328"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指村社人工砌筑的专用水渠，属恢复性的不予补偿。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c>
          <w:tcPr>
            <w:tcW w:w="2479"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片石（三合土）</w:t>
            </w:r>
          </w:p>
        </w:tc>
        <w:tc>
          <w:tcPr>
            <w:tcW w:w="1375"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c>
          <w:tcPr>
            <w:tcW w:w="1723"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60</w:t>
            </w:r>
          </w:p>
        </w:tc>
        <w:tc>
          <w:tcPr>
            <w:tcW w:w="2328"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电杆</w:t>
            </w:r>
          </w:p>
        </w:tc>
        <w:tc>
          <w:tcPr>
            <w:tcW w:w="2479"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9米以上园电杆</w:t>
            </w:r>
          </w:p>
        </w:tc>
        <w:tc>
          <w:tcPr>
            <w:tcW w:w="1375"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w:t>
            </w:r>
          </w:p>
        </w:tc>
        <w:tc>
          <w:tcPr>
            <w:tcW w:w="1723"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200</w:t>
            </w:r>
          </w:p>
        </w:tc>
        <w:tc>
          <w:tcPr>
            <w:tcW w:w="2328"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电杆、电线指街镇以下集体、个人投资的，属恢复性的不予补偿。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970"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c>
          <w:tcPr>
            <w:tcW w:w="2479"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水泥方电杆（含9米以下圆电杆）</w:t>
            </w:r>
          </w:p>
        </w:tc>
        <w:tc>
          <w:tcPr>
            <w:tcW w:w="1375"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c>
          <w:tcPr>
            <w:tcW w:w="1723"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100</w:t>
            </w:r>
          </w:p>
        </w:tc>
        <w:tc>
          <w:tcPr>
            <w:tcW w:w="2328"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电线</w:t>
            </w:r>
          </w:p>
        </w:tc>
        <w:tc>
          <w:tcPr>
            <w:tcW w:w="2479"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户外低压线</w:t>
            </w:r>
          </w:p>
        </w:tc>
        <w:tc>
          <w:tcPr>
            <w:tcW w:w="1375"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米</w:t>
            </w:r>
          </w:p>
        </w:tc>
        <w:tc>
          <w:tcPr>
            <w:tcW w:w="1723"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p>
        </w:tc>
        <w:tc>
          <w:tcPr>
            <w:tcW w:w="2328"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c>
          <w:tcPr>
            <w:tcW w:w="2479"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户外动力线</w:t>
            </w:r>
          </w:p>
        </w:tc>
        <w:tc>
          <w:tcPr>
            <w:tcW w:w="1375"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c>
          <w:tcPr>
            <w:tcW w:w="1723"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w:t>
            </w:r>
          </w:p>
        </w:tc>
        <w:tc>
          <w:tcPr>
            <w:tcW w:w="2328"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户外饮水管</w:t>
            </w:r>
          </w:p>
        </w:tc>
        <w:tc>
          <w:tcPr>
            <w:tcW w:w="2479"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直径60毫米（含60毫米）</w:t>
            </w:r>
          </w:p>
        </w:tc>
        <w:tc>
          <w:tcPr>
            <w:tcW w:w="1375"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米</w:t>
            </w:r>
          </w:p>
        </w:tc>
        <w:tc>
          <w:tcPr>
            <w:tcW w:w="1723"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p>
        </w:tc>
        <w:tc>
          <w:tcPr>
            <w:tcW w:w="2328"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不含市政管网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kern w:val="0"/>
                <w:sz w:val="32"/>
                <w:szCs w:val="32"/>
                <w:lang w:val="en-US" w:eastAsia="zh-CN" w:bidi="ar"/>
              </w:rPr>
            </w:pPr>
          </w:p>
        </w:tc>
        <w:tc>
          <w:tcPr>
            <w:tcW w:w="2479"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直径60—100毫米（含100毫米）</w:t>
            </w:r>
          </w:p>
        </w:tc>
        <w:tc>
          <w:tcPr>
            <w:tcW w:w="1375"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c>
          <w:tcPr>
            <w:tcW w:w="1723"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w:t>
            </w:r>
          </w:p>
        </w:tc>
        <w:tc>
          <w:tcPr>
            <w:tcW w:w="2328"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kern w:val="0"/>
                <w:sz w:val="32"/>
                <w:szCs w:val="32"/>
                <w:lang w:val="en-US" w:eastAsia="zh-CN" w:bidi="ar"/>
              </w:rPr>
            </w:pPr>
          </w:p>
        </w:tc>
        <w:tc>
          <w:tcPr>
            <w:tcW w:w="2479"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直径100毫米</w:t>
            </w:r>
          </w:p>
        </w:tc>
        <w:tc>
          <w:tcPr>
            <w:tcW w:w="1375"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c>
          <w:tcPr>
            <w:tcW w:w="1723"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p>
        </w:tc>
        <w:tc>
          <w:tcPr>
            <w:tcW w:w="2328"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钢架、大棚</w:t>
            </w:r>
          </w:p>
        </w:tc>
        <w:tc>
          <w:tcPr>
            <w:tcW w:w="2479"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钢架薄膜</w:t>
            </w:r>
          </w:p>
        </w:tc>
        <w:tc>
          <w:tcPr>
            <w:tcW w:w="1375"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亩</w:t>
            </w:r>
          </w:p>
        </w:tc>
        <w:tc>
          <w:tcPr>
            <w:tcW w:w="1723"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4000</w:t>
            </w:r>
          </w:p>
        </w:tc>
        <w:tc>
          <w:tcPr>
            <w:tcW w:w="2328"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kern w:val="0"/>
                <w:sz w:val="32"/>
                <w:szCs w:val="32"/>
                <w:lang w:val="en-US" w:eastAsia="zh-CN" w:bidi="ar"/>
              </w:rPr>
            </w:pPr>
          </w:p>
        </w:tc>
        <w:tc>
          <w:tcPr>
            <w:tcW w:w="2479"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竹木薄膜</w:t>
            </w:r>
          </w:p>
        </w:tc>
        <w:tc>
          <w:tcPr>
            <w:tcW w:w="1375"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default" w:ascii="Times New Roman" w:hAnsi="Times New Roman" w:eastAsia="方正仿宋_GBK" w:cs="Times New Roman"/>
                <w:sz w:val="32"/>
                <w:szCs w:val="32"/>
              </w:rPr>
            </w:pPr>
          </w:p>
        </w:tc>
        <w:tc>
          <w:tcPr>
            <w:tcW w:w="1723"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2000</w:t>
            </w:r>
          </w:p>
        </w:tc>
        <w:tc>
          <w:tcPr>
            <w:tcW w:w="2328"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firstLine="640" w:firstLineChars="200"/>
              <w:jc w:val="center"/>
              <w:textAlignment w:val="auto"/>
              <w:rPr>
                <w:rFonts w:hint="default" w:ascii="Times New Roman" w:hAnsi="Times New Roman" w:eastAsia="方正仿宋_GBK" w:cs="Times New Roman"/>
                <w:sz w:val="32"/>
                <w:szCs w:val="32"/>
              </w:rPr>
            </w:pPr>
          </w:p>
        </w:tc>
      </w:tr>
    </w:tbl>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firstLine="640" w:firstLineChars="200"/>
        <w:jc w:val="center"/>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附件6</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880" w:firstLineChars="200"/>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零星栽种树木花草补偿标准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sz w:val="32"/>
          <w:szCs w:val="32"/>
        </w:rPr>
        <w:t>                                                                        </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单位：元</w:t>
      </w:r>
      <w:r>
        <w:rPr>
          <w:rFonts w:hint="eastAsia" w:ascii="Times New Roman" w:hAnsi="Times New Roman" w:eastAsia="方正仿宋_GBK" w:cs="Times New Roman"/>
          <w:color w:val="000000"/>
          <w:sz w:val="32"/>
          <w:szCs w:val="32"/>
          <w:lang w:val="en-US" w:eastAsia="zh-CN"/>
        </w:rPr>
        <w:t xml:space="preserve">   </w:t>
      </w:r>
    </w:p>
    <w:tbl>
      <w:tblPr>
        <w:tblStyle w:val="9"/>
        <w:tblW w:w="921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119"/>
        <w:gridCol w:w="3037"/>
        <w:gridCol w:w="990"/>
        <w:gridCol w:w="660"/>
        <w:gridCol w:w="341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99" w:hRule="atLeast"/>
          <w:jc w:val="center"/>
        </w:trPr>
        <w:tc>
          <w:tcPr>
            <w:tcW w:w="1119"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名称</w:t>
            </w:r>
          </w:p>
        </w:tc>
        <w:tc>
          <w:tcPr>
            <w:tcW w:w="3037"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规格</w:t>
            </w:r>
          </w:p>
        </w:tc>
        <w:tc>
          <w:tcPr>
            <w:tcW w:w="990"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单位</w:t>
            </w:r>
          </w:p>
        </w:tc>
        <w:tc>
          <w:tcPr>
            <w:tcW w:w="660"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单价</w:t>
            </w:r>
          </w:p>
        </w:tc>
        <w:tc>
          <w:tcPr>
            <w:tcW w:w="3413"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48" w:hRule="atLeast"/>
          <w:jc w:val="center"/>
        </w:trPr>
        <w:tc>
          <w:tcPr>
            <w:tcW w:w="1119"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果树</w:t>
            </w:r>
          </w:p>
        </w:tc>
        <w:tc>
          <w:tcPr>
            <w:tcW w:w="3037"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移栽嫁接苗</w:t>
            </w:r>
          </w:p>
        </w:tc>
        <w:tc>
          <w:tcPr>
            <w:tcW w:w="990"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株</w:t>
            </w:r>
          </w:p>
        </w:tc>
        <w:tc>
          <w:tcPr>
            <w:tcW w:w="660"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p>
        </w:tc>
        <w:tc>
          <w:tcPr>
            <w:tcW w:w="3413"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不分树种，直径以主干离地1米处量算（分叉处不足1米的，按分叉处主干量算）。直径16厘米以上，每增加2厘米增加20元。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4" w:hRule="atLeast"/>
          <w:jc w:val="center"/>
        </w:trPr>
        <w:tc>
          <w:tcPr>
            <w:tcW w:w="1119"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c>
          <w:tcPr>
            <w:tcW w:w="3037"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直径2—4厘米（含2厘米，下同）</w:t>
            </w:r>
          </w:p>
        </w:tc>
        <w:tc>
          <w:tcPr>
            <w:tcW w:w="990"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c>
          <w:tcPr>
            <w:tcW w:w="660"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40</w:t>
            </w:r>
          </w:p>
        </w:tc>
        <w:tc>
          <w:tcPr>
            <w:tcW w:w="3413"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4" w:hRule="atLeast"/>
          <w:jc w:val="center"/>
        </w:trPr>
        <w:tc>
          <w:tcPr>
            <w:tcW w:w="1119"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c>
          <w:tcPr>
            <w:tcW w:w="3037"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直径4—7厘米</w:t>
            </w:r>
          </w:p>
        </w:tc>
        <w:tc>
          <w:tcPr>
            <w:tcW w:w="990"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c>
          <w:tcPr>
            <w:tcW w:w="660"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60</w:t>
            </w:r>
          </w:p>
        </w:tc>
        <w:tc>
          <w:tcPr>
            <w:tcW w:w="3413"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4" w:hRule="atLeast"/>
          <w:jc w:val="center"/>
        </w:trPr>
        <w:tc>
          <w:tcPr>
            <w:tcW w:w="1119"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c>
          <w:tcPr>
            <w:tcW w:w="3037"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直径7—10厘米</w:t>
            </w:r>
          </w:p>
        </w:tc>
        <w:tc>
          <w:tcPr>
            <w:tcW w:w="990"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c>
          <w:tcPr>
            <w:tcW w:w="660"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80</w:t>
            </w:r>
          </w:p>
        </w:tc>
        <w:tc>
          <w:tcPr>
            <w:tcW w:w="3413"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4" w:hRule="atLeast"/>
          <w:jc w:val="center"/>
        </w:trPr>
        <w:tc>
          <w:tcPr>
            <w:tcW w:w="1119"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c>
          <w:tcPr>
            <w:tcW w:w="3037"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直径10—13厘米</w:t>
            </w:r>
          </w:p>
        </w:tc>
        <w:tc>
          <w:tcPr>
            <w:tcW w:w="990"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c>
          <w:tcPr>
            <w:tcW w:w="660"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130</w:t>
            </w:r>
          </w:p>
        </w:tc>
        <w:tc>
          <w:tcPr>
            <w:tcW w:w="3413"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4" w:hRule="atLeast"/>
          <w:jc w:val="center"/>
        </w:trPr>
        <w:tc>
          <w:tcPr>
            <w:tcW w:w="1119"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c>
          <w:tcPr>
            <w:tcW w:w="3037"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直径13—16厘米</w:t>
            </w:r>
          </w:p>
        </w:tc>
        <w:tc>
          <w:tcPr>
            <w:tcW w:w="990"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c>
          <w:tcPr>
            <w:tcW w:w="660"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200</w:t>
            </w:r>
          </w:p>
        </w:tc>
        <w:tc>
          <w:tcPr>
            <w:tcW w:w="3413"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37" w:hRule="atLeast"/>
          <w:jc w:val="center"/>
        </w:trPr>
        <w:tc>
          <w:tcPr>
            <w:tcW w:w="1119"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香蕉（蕉）</w:t>
            </w:r>
          </w:p>
        </w:tc>
        <w:tc>
          <w:tcPr>
            <w:tcW w:w="3037"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新栽未结果</w:t>
            </w:r>
          </w:p>
        </w:tc>
        <w:tc>
          <w:tcPr>
            <w:tcW w:w="990"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株</w:t>
            </w:r>
          </w:p>
        </w:tc>
        <w:tc>
          <w:tcPr>
            <w:tcW w:w="660"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p>
        </w:tc>
        <w:tc>
          <w:tcPr>
            <w:tcW w:w="3413"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16株以上的，可酌情合并为相应规格计算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4" w:hRule="atLeast"/>
          <w:jc w:val="center"/>
        </w:trPr>
        <w:tc>
          <w:tcPr>
            <w:tcW w:w="1119"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c>
          <w:tcPr>
            <w:tcW w:w="3037"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5—10株</w:t>
            </w:r>
          </w:p>
        </w:tc>
        <w:tc>
          <w:tcPr>
            <w:tcW w:w="990"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窝</w:t>
            </w:r>
          </w:p>
        </w:tc>
        <w:tc>
          <w:tcPr>
            <w:tcW w:w="660"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60</w:t>
            </w:r>
          </w:p>
        </w:tc>
        <w:tc>
          <w:tcPr>
            <w:tcW w:w="3413"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4" w:hRule="atLeast"/>
          <w:jc w:val="center"/>
        </w:trPr>
        <w:tc>
          <w:tcPr>
            <w:tcW w:w="1119"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c>
          <w:tcPr>
            <w:tcW w:w="3037"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10—15株</w:t>
            </w:r>
          </w:p>
        </w:tc>
        <w:tc>
          <w:tcPr>
            <w:tcW w:w="990"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窝</w:t>
            </w:r>
          </w:p>
        </w:tc>
        <w:tc>
          <w:tcPr>
            <w:tcW w:w="660"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70</w:t>
            </w:r>
          </w:p>
        </w:tc>
        <w:tc>
          <w:tcPr>
            <w:tcW w:w="3413"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37" w:hRule="atLeast"/>
          <w:jc w:val="center"/>
        </w:trPr>
        <w:tc>
          <w:tcPr>
            <w:tcW w:w="1119"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葡萄</w:t>
            </w:r>
          </w:p>
        </w:tc>
        <w:tc>
          <w:tcPr>
            <w:tcW w:w="3037"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新移栽苗</w:t>
            </w:r>
          </w:p>
        </w:tc>
        <w:tc>
          <w:tcPr>
            <w:tcW w:w="990"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株</w:t>
            </w:r>
          </w:p>
        </w:tc>
        <w:tc>
          <w:tcPr>
            <w:tcW w:w="660"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p>
        </w:tc>
        <w:tc>
          <w:tcPr>
            <w:tcW w:w="3413"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直径在4厘米以上的，每增加1厘米，增加补偿10元。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4" w:hRule="atLeast"/>
          <w:jc w:val="center"/>
        </w:trPr>
        <w:tc>
          <w:tcPr>
            <w:tcW w:w="1119"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c>
          <w:tcPr>
            <w:tcW w:w="3037"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直径1—2厘米</w:t>
            </w:r>
          </w:p>
        </w:tc>
        <w:tc>
          <w:tcPr>
            <w:tcW w:w="990"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c>
          <w:tcPr>
            <w:tcW w:w="660"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p>
        </w:tc>
        <w:tc>
          <w:tcPr>
            <w:tcW w:w="3413"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4" w:hRule="atLeast"/>
          <w:jc w:val="center"/>
        </w:trPr>
        <w:tc>
          <w:tcPr>
            <w:tcW w:w="1119"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c>
          <w:tcPr>
            <w:tcW w:w="3037"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直径2—3厘米</w:t>
            </w:r>
          </w:p>
        </w:tc>
        <w:tc>
          <w:tcPr>
            <w:tcW w:w="990"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c>
          <w:tcPr>
            <w:tcW w:w="660"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25</w:t>
            </w:r>
          </w:p>
        </w:tc>
        <w:tc>
          <w:tcPr>
            <w:tcW w:w="3413"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4" w:hRule="atLeast"/>
          <w:jc w:val="center"/>
        </w:trPr>
        <w:tc>
          <w:tcPr>
            <w:tcW w:w="1119"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c>
          <w:tcPr>
            <w:tcW w:w="3037"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直径3—4厘米</w:t>
            </w:r>
          </w:p>
        </w:tc>
        <w:tc>
          <w:tcPr>
            <w:tcW w:w="990"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c>
          <w:tcPr>
            <w:tcW w:w="660"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40</w:t>
            </w:r>
          </w:p>
        </w:tc>
        <w:tc>
          <w:tcPr>
            <w:tcW w:w="3413"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37" w:hRule="atLeast"/>
          <w:jc w:val="center"/>
        </w:trPr>
        <w:tc>
          <w:tcPr>
            <w:tcW w:w="1119"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桑树</w:t>
            </w:r>
          </w:p>
        </w:tc>
        <w:tc>
          <w:tcPr>
            <w:tcW w:w="3037"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直径2厘米以下</w:t>
            </w:r>
          </w:p>
        </w:tc>
        <w:tc>
          <w:tcPr>
            <w:tcW w:w="990"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株</w:t>
            </w:r>
          </w:p>
        </w:tc>
        <w:tc>
          <w:tcPr>
            <w:tcW w:w="660"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p>
        </w:tc>
        <w:tc>
          <w:tcPr>
            <w:tcW w:w="3413"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直径10厘米以上的，每增加1厘米，增加补偿5元。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4" w:hRule="atLeast"/>
          <w:jc w:val="center"/>
        </w:trPr>
        <w:tc>
          <w:tcPr>
            <w:tcW w:w="1119"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c>
          <w:tcPr>
            <w:tcW w:w="3037"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直径2—5厘米</w:t>
            </w:r>
          </w:p>
        </w:tc>
        <w:tc>
          <w:tcPr>
            <w:tcW w:w="990"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c>
          <w:tcPr>
            <w:tcW w:w="660"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w:t>
            </w:r>
          </w:p>
        </w:tc>
        <w:tc>
          <w:tcPr>
            <w:tcW w:w="3413"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4" w:hRule="atLeast"/>
          <w:jc w:val="center"/>
        </w:trPr>
        <w:tc>
          <w:tcPr>
            <w:tcW w:w="1119"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c>
          <w:tcPr>
            <w:tcW w:w="3037"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直径5—8厘米</w:t>
            </w:r>
          </w:p>
        </w:tc>
        <w:tc>
          <w:tcPr>
            <w:tcW w:w="990"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c>
          <w:tcPr>
            <w:tcW w:w="660"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p>
        </w:tc>
        <w:tc>
          <w:tcPr>
            <w:tcW w:w="3413"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4" w:hRule="atLeast"/>
          <w:jc w:val="center"/>
        </w:trPr>
        <w:tc>
          <w:tcPr>
            <w:tcW w:w="1119"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c>
          <w:tcPr>
            <w:tcW w:w="3037"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直径8—10厘米</w:t>
            </w:r>
          </w:p>
        </w:tc>
        <w:tc>
          <w:tcPr>
            <w:tcW w:w="990"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c>
          <w:tcPr>
            <w:tcW w:w="660"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35</w:t>
            </w:r>
          </w:p>
        </w:tc>
        <w:tc>
          <w:tcPr>
            <w:tcW w:w="3413"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37" w:hRule="atLeast"/>
          <w:jc w:val="center"/>
        </w:trPr>
        <w:tc>
          <w:tcPr>
            <w:tcW w:w="1119"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杂树</w:t>
            </w:r>
          </w:p>
        </w:tc>
        <w:tc>
          <w:tcPr>
            <w:tcW w:w="3037"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直径3厘米以下</w:t>
            </w:r>
          </w:p>
        </w:tc>
        <w:tc>
          <w:tcPr>
            <w:tcW w:w="990"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株</w:t>
            </w:r>
          </w:p>
        </w:tc>
        <w:tc>
          <w:tcPr>
            <w:tcW w:w="660"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p>
        </w:tc>
        <w:tc>
          <w:tcPr>
            <w:tcW w:w="3413"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以主干离地1.2米处为准，直径在20厘米以上的，每增加1厘米，增加补偿5元。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4" w:hRule="atLeast"/>
          <w:jc w:val="center"/>
        </w:trPr>
        <w:tc>
          <w:tcPr>
            <w:tcW w:w="1119"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c>
          <w:tcPr>
            <w:tcW w:w="3037"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直径3—5厘米</w:t>
            </w:r>
          </w:p>
        </w:tc>
        <w:tc>
          <w:tcPr>
            <w:tcW w:w="990"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c>
          <w:tcPr>
            <w:tcW w:w="660"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w:t>
            </w:r>
          </w:p>
        </w:tc>
        <w:tc>
          <w:tcPr>
            <w:tcW w:w="3413"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4" w:hRule="atLeast"/>
          <w:jc w:val="center"/>
        </w:trPr>
        <w:tc>
          <w:tcPr>
            <w:tcW w:w="1119"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c>
          <w:tcPr>
            <w:tcW w:w="3037"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直径5—10厘米</w:t>
            </w:r>
          </w:p>
        </w:tc>
        <w:tc>
          <w:tcPr>
            <w:tcW w:w="990"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c>
          <w:tcPr>
            <w:tcW w:w="660"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p>
        </w:tc>
        <w:tc>
          <w:tcPr>
            <w:tcW w:w="3413"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4" w:hRule="atLeast"/>
          <w:jc w:val="center"/>
        </w:trPr>
        <w:tc>
          <w:tcPr>
            <w:tcW w:w="1119"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c>
          <w:tcPr>
            <w:tcW w:w="3037"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直径10—15厘米</w:t>
            </w:r>
          </w:p>
        </w:tc>
        <w:tc>
          <w:tcPr>
            <w:tcW w:w="990"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c>
          <w:tcPr>
            <w:tcW w:w="660"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30</w:t>
            </w:r>
          </w:p>
        </w:tc>
        <w:tc>
          <w:tcPr>
            <w:tcW w:w="3413"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4" w:hRule="atLeast"/>
          <w:jc w:val="center"/>
        </w:trPr>
        <w:tc>
          <w:tcPr>
            <w:tcW w:w="1119"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c>
          <w:tcPr>
            <w:tcW w:w="3037"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直径15—20厘米</w:t>
            </w:r>
          </w:p>
        </w:tc>
        <w:tc>
          <w:tcPr>
            <w:tcW w:w="990"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c>
          <w:tcPr>
            <w:tcW w:w="660"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45</w:t>
            </w:r>
          </w:p>
        </w:tc>
        <w:tc>
          <w:tcPr>
            <w:tcW w:w="3413"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37" w:hRule="atLeast"/>
          <w:jc w:val="center"/>
        </w:trPr>
        <w:tc>
          <w:tcPr>
            <w:tcW w:w="1119"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干果树</w:t>
            </w:r>
          </w:p>
        </w:tc>
        <w:tc>
          <w:tcPr>
            <w:tcW w:w="3037"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移栽嫁接苗</w:t>
            </w:r>
          </w:p>
        </w:tc>
        <w:tc>
          <w:tcPr>
            <w:tcW w:w="990"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株</w:t>
            </w:r>
          </w:p>
        </w:tc>
        <w:tc>
          <w:tcPr>
            <w:tcW w:w="660"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p>
        </w:tc>
        <w:tc>
          <w:tcPr>
            <w:tcW w:w="3413"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包括花椒、木瓜、核桃、板栗、棕树、油橄榄、皂角等，直径16厘米以上的，每增加1厘米，增加补偿10元。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4" w:hRule="atLeast"/>
          <w:jc w:val="center"/>
        </w:trPr>
        <w:tc>
          <w:tcPr>
            <w:tcW w:w="1119"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c>
          <w:tcPr>
            <w:tcW w:w="3037"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直径5厘米以下</w:t>
            </w:r>
          </w:p>
        </w:tc>
        <w:tc>
          <w:tcPr>
            <w:tcW w:w="990"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c>
          <w:tcPr>
            <w:tcW w:w="660"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25</w:t>
            </w:r>
          </w:p>
        </w:tc>
        <w:tc>
          <w:tcPr>
            <w:tcW w:w="3413"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4" w:hRule="atLeast"/>
          <w:jc w:val="center"/>
        </w:trPr>
        <w:tc>
          <w:tcPr>
            <w:tcW w:w="1119"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c>
          <w:tcPr>
            <w:tcW w:w="3037"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直径5—10厘米</w:t>
            </w:r>
          </w:p>
        </w:tc>
        <w:tc>
          <w:tcPr>
            <w:tcW w:w="990"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c>
          <w:tcPr>
            <w:tcW w:w="660"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45</w:t>
            </w:r>
          </w:p>
        </w:tc>
        <w:tc>
          <w:tcPr>
            <w:tcW w:w="3413"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4" w:hRule="atLeast"/>
          <w:jc w:val="center"/>
        </w:trPr>
        <w:tc>
          <w:tcPr>
            <w:tcW w:w="1119"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c>
          <w:tcPr>
            <w:tcW w:w="3037"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直径10—15厘米</w:t>
            </w:r>
          </w:p>
        </w:tc>
        <w:tc>
          <w:tcPr>
            <w:tcW w:w="990"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c>
          <w:tcPr>
            <w:tcW w:w="660"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120</w:t>
            </w:r>
          </w:p>
        </w:tc>
        <w:tc>
          <w:tcPr>
            <w:tcW w:w="3413"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37" w:hRule="atLeast"/>
          <w:jc w:val="center"/>
        </w:trPr>
        <w:tc>
          <w:tcPr>
            <w:tcW w:w="1119"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慈竹杂竹等</w:t>
            </w:r>
          </w:p>
        </w:tc>
        <w:tc>
          <w:tcPr>
            <w:tcW w:w="3037"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小笼（20根以下）</w:t>
            </w:r>
          </w:p>
        </w:tc>
        <w:tc>
          <w:tcPr>
            <w:tcW w:w="990"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笼</w:t>
            </w:r>
          </w:p>
        </w:tc>
        <w:tc>
          <w:tcPr>
            <w:tcW w:w="660"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60</w:t>
            </w:r>
          </w:p>
        </w:tc>
        <w:tc>
          <w:tcPr>
            <w:tcW w:w="3413"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40根以上的，可酌情合并为相应规格计算。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4" w:hRule="atLeast"/>
          <w:jc w:val="center"/>
        </w:trPr>
        <w:tc>
          <w:tcPr>
            <w:tcW w:w="1119"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c>
          <w:tcPr>
            <w:tcW w:w="3037"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大笼（21—40根）</w:t>
            </w:r>
          </w:p>
        </w:tc>
        <w:tc>
          <w:tcPr>
            <w:tcW w:w="990"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c>
          <w:tcPr>
            <w:tcW w:w="660"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90</w:t>
            </w:r>
          </w:p>
        </w:tc>
        <w:tc>
          <w:tcPr>
            <w:tcW w:w="3413"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37" w:hRule="atLeast"/>
          <w:jc w:val="center"/>
        </w:trPr>
        <w:tc>
          <w:tcPr>
            <w:tcW w:w="1119"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楠竹</w:t>
            </w:r>
          </w:p>
        </w:tc>
        <w:tc>
          <w:tcPr>
            <w:tcW w:w="3037"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直径5厘米以下</w:t>
            </w:r>
          </w:p>
        </w:tc>
        <w:tc>
          <w:tcPr>
            <w:tcW w:w="990"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w:t>
            </w:r>
          </w:p>
        </w:tc>
        <w:tc>
          <w:tcPr>
            <w:tcW w:w="660"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w:t>
            </w:r>
          </w:p>
        </w:tc>
        <w:tc>
          <w:tcPr>
            <w:tcW w:w="3413"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离地1.2米处的直径为准。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4" w:hRule="atLeast"/>
          <w:jc w:val="center"/>
        </w:trPr>
        <w:tc>
          <w:tcPr>
            <w:tcW w:w="1119"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c>
          <w:tcPr>
            <w:tcW w:w="3037"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直径5—10厘米</w:t>
            </w:r>
          </w:p>
        </w:tc>
        <w:tc>
          <w:tcPr>
            <w:tcW w:w="990"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c>
          <w:tcPr>
            <w:tcW w:w="660"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30</w:t>
            </w:r>
          </w:p>
        </w:tc>
        <w:tc>
          <w:tcPr>
            <w:tcW w:w="3413"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4" w:hRule="atLeast"/>
          <w:jc w:val="center"/>
        </w:trPr>
        <w:tc>
          <w:tcPr>
            <w:tcW w:w="1119"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c>
          <w:tcPr>
            <w:tcW w:w="3037"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直径10厘米以上</w:t>
            </w:r>
          </w:p>
        </w:tc>
        <w:tc>
          <w:tcPr>
            <w:tcW w:w="990"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c>
          <w:tcPr>
            <w:tcW w:w="660"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45</w:t>
            </w:r>
          </w:p>
        </w:tc>
        <w:tc>
          <w:tcPr>
            <w:tcW w:w="3413"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37" w:hRule="atLeast"/>
          <w:jc w:val="center"/>
        </w:trPr>
        <w:tc>
          <w:tcPr>
            <w:tcW w:w="1119"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凤尾竹</w:t>
            </w:r>
          </w:p>
        </w:tc>
        <w:tc>
          <w:tcPr>
            <w:tcW w:w="3037"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小窝（20—30根）</w:t>
            </w:r>
          </w:p>
        </w:tc>
        <w:tc>
          <w:tcPr>
            <w:tcW w:w="990"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窝</w:t>
            </w:r>
          </w:p>
        </w:tc>
        <w:tc>
          <w:tcPr>
            <w:tcW w:w="660"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25</w:t>
            </w:r>
          </w:p>
        </w:tc>
        <w:tc>
          <w:tcPr>
            <w:tcW w:w="3413"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20根以下，50根以上可酌情合并为相应规格计算。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4" w:hRule="atLeast"/>
          <w:jc w:val="center"/>
        </w:trPr>
        <w:tc>
          <w:tcPr>
            <w:tcW w:w="1119"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c>
          <w:tcPr>
            <w:tcW w:w="3037"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大窝（30—50根）</w:t>
            </w:r>
          </w:p>
        </w:tc>
        <w:tc>
          <w:tcPr>
            <w:tcW w:w="990"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c>
          <w:tcPr>
            <w:tcW w:w="660"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35</w:t>
            </w:r>
          </w:p>
        </w:tc>
        <w:tc>
          <w:tcPr>
            <w:tcW w:w="3413"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37" w:hRule="atLeast"/>
          <w:jc w:val="center"/>
        </w:trPr>
        <w:tc>
          <w:tcPr>
            <w:tcW w:w="1119"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万年青</w:t>
            </w:r>
          </w:p>
        </w:tc>
        <w:tc>
          <w:tcPr>
            <w:tcW w:w="3037"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按窝计算</w:t>
            </w:r>
          </w:p>
        </w:tc>
        <w:tc>
          <w:tcPr>
            <w:tcW w:w="990"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窝</w:t>
            </w:r>
          </w:p>
        </w:tc>
        <w:tc>
          <w:tcPr>
            <w:tcW w:w="660"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p>
        </w:tc>
        <w:tc>
          <w:tcPr>
            <w:tcW w:w="3413"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37" w:hRule="atLeast"/>
          <w:jc w:val="center"/>
        </w:trPr>
        <w:tc>
          <w:tcPr>
            <w:tcW w:w="1119"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花木</w:t>
            </w:r>
          </w:p>
        </w:tc>
        <w:tc>
          <w:tcPr>
            <w:tcW w:w="3037"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木本花</w:t>
            </w:r>
          </w:p>
        </w:tc>
        <w:tc>
          <w:tcPr>
            <w:tcW w:w="990"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株</w:t>
            </w:r>
          </w:p>
        </w:tc>
        <w:tc>
          <w:tcPr>
            <w:tcW w:w="660"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w:t>
            </w:r>
          </w:p>
        </w:tc>
        <w:tc>
          <w:tcPr>
            <w:tcW w:w="3413"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盆栽花一律不予补偿。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4" w:hRule="atLeast"/>
          <w:jc w:val="center"/>
        </w:trPr>
        <w:tc>
          <w:tcPr>
            <w:tcW w:w="1119"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c>
          <w:tcPr>
            <w:tcW w:w="3037"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草本花</w:t>
            </w:r>
          </w:p>
        </w:tc>
        <w:tc>
          <w:tcPr>
            <w:tcW w:w="990"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tc>
        <w:tc>
          <w:tcPr>
            <w:tcW w:w="660"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p>
        </w:tc>
        <w:tc>
          <w:tcPr>
            <w:tcW w:w="3413"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firstLine="640" w:firstLineChars="200"/>
              <w:jc w:val="center"/>
              <w:textAlignment w:val="auto"/>
              <w:rPr>
                <w:rFonts w:hint="default" w:ascii="Times New Roman" w:hAnsi="Times New Roman" w:eastAsia="方正仿宋_GBK" w:cs="Times New Roman"/>
                <w:sz w:val="32"/>
                <w:szCs w:val="32"/>
              </w:rPr>
            </w:pPr>
          </w:p>
        </w:tc>
      </w:tr>
    </w:tbl>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说明：本表只适用于房前屋后零星栽种的树木补偿标准。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附件7</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880" w:firstLineChars="200"/>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房屋残值补偿标准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单位：元∕平方米</w:t>
      </w:r>
    </w:p>
    <w:tbl>
      <w:tblPr>
        <w:tblStyle w:val="9"/>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2376"/>
        <w:gridCol w:w="3277"/>
        <w:gridCol w:w="286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61" w:hRule="atLeast"/>
          <w:jc w:val="center"/>
        </w:trPr>
        <w:tc>
          <w:tcPr>
            <w:tcW w:w="2376"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结构类型</w:t>
            </w:r>
          </w:p>
        </w:tc>
        <w:tc>
          <w:tcPr>
            <w:tcW w:w="3277"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房屋结构</w:t>
            </w:r>
          </w:p>
        </w:tc>
        <w:tc>
          <w:tcPr>
            <w:tcW w:w="2869"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补差标准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61" w:hRule="atLeast"/>
          <w:jc w:val="center"/>
        </w:trPr>
        <w:tc>
          <w:tcPr>
            <w:tcW w:w="2376"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钢砼</w:t>
            </w:r>
          </w:p>
        </w:tc>
        <w:tc>
          <w:tcPr>
            <w:tcW w:w="3277"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rPr>
            </w:pPr>
          </w:p>
        </w:tc>
        <w:tc>
          <w:tcPr>
            <w:tcW w:w="2869"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61" w:hRule="atLeast"/>
          <w:jc w:val="center"/>
        </w:trPr>
        <w:tc>
          <w:tcPr>
            <w:tcW w:w="2376"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砖混</w:t>
            </w:r>
          </w:p>
        </w:tc>
        <w:tc>
          <w:tcPr>
            <w:tcW w:w="3277"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砖墙（条石）预制盖</w:t>
            </w:r>
          </w:p>
        </w:tc>
        <w:tc>
          <w:tcPr>
            <w:tcW w:w="2869"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61" w:hRule="atLeast"/>
          <w:jc w:val="center"/>
        </w:trPr>
        <w:tc>
          <w:tcPr>
            <w:tcW w:w="2376"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砖木</w:t>
            </w:r>
          </w:p>
        </w:tc>
        <w:tc>
          <w:tcPr>
            <w:tcW w:w="3277"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砖墙（木板）穿逗瓦盖</w:t>
            </w:r>
          </w:p>
        </w:tc>
        <w:tc>
          <w:tcPr>
            <w:tcW w:w="2869"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32" w:hRule="atLeast"/>
          <w:jc w:val="center"/>
        </w:trPr>
        <w:tc>
          <w:tcPr>
            <w:tcW w:w="2376"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仿宋_GBK" w:cs="Times New Roman"/>
                <w:sz w:val="32"/>
                <w:szCs w:val="32"/>
              </w:rPr>
            </w:pPr>
          </w:p>
        </w:tc>
        <w:tc>
          <w:tcPr>
            <w:tcW w:w="3277"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砖墙石棉瓦（含油毡、玻纤瓦）</w:t>
            </w:r>
          </w:p>
        </w:tc>
        <w:tc>
          <w:tcPr>
            <w:tcW w:w="2869"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61" w:hRule="atLeast"/>
          <w:jc w:val="center"/>
        </w:trPr>
        <w:tc>
          <w:tcPr>
            <w:tcW w:w="2376"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土墙</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（穿逗）</w:t>
            </w:r>
          </w:p>
        </w:tc>
        <w:tc>
          <w:tcPr>
            <w:tcW w:w="3277"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穿逗、土墙瓦盖</w:t>
            </w:r>
          </w:p>
        </w:tc>
        <w:tc>
          <w:tcPr>
            <w:tcW w:w="2869"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61" w:hRule="atLeast"/>
          <w:jc w:val="center"/>
        </w:trPr>
        <w:tc>
          <w:tcPr>
            <w:tcW w:w="2376"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仿宋_GBK" w:cs="Times New Roman"/>
                <w:sz w:val="32"/>
                <w:szCs w:val="32"/>
              </w:rPr>
            </w:pPr>
          </w:p>
        </w:tc>
        <w:tc>
          <w:tcPr>
            <w:tcW w:w="3277"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石棉瓦、玻纤瓦盖</w:t>
            </w:r>
          </w:p>
        </w:tc>
        <w:tc>
          <w:tcPr>
            <w:tcW w:w="2869"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61" w:hRule="atLeast"/>
          <w:jc w:val="center"/>
        </w:trPr>
        <w:tc>
          <w:tcPr>
            <w:tcW w:w="2376"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简易</w:t>
            </w:r>
          </w:p>
        </w:tc>
        <w:tc>
          <w:tcPr>
            <w:tcW w:w="3277"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土墙毡盖（含棚盖）</w:t>
            </w:r>
          </w:p>
        </w:tc>
        <w:tc>
          <w:tcPr>
            <w:tcW w:w="2869"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61" w:hRule="atLeast"/>
          <w:jc w:val="center"/>
        </w:trPr>
        <w:tc>
          <w:tcPr>
            <w:tcW w:w="2376"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仿宋_GBK" w:cs="Times New Roman"/>
                <w:sz w:val="32"/>
                <w:szCs w:val="32"/>
              </w:rPr>
            </w:pPr>
          </w:p>
        </w:tc>
        <w:tc>
          <w:tcPr>
            <w:tcW w:w="3277"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简易</w:t>
            </w:r>
          </w:p>
        </w:tc>
        <w:tc>
          <w:tcPr>
            <w:tcW w:w="2869"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w:t>
            </w:r>
          </w:p>
        </w:tc>
      </w:tr>
    </w:tbl>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附件8</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880" w:firstLineChars="200"/>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装饰物补偿标准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单位：元∕平方米</w:t>
      </w:r>
    </w:p>
    <w:tbl>
      <w:tblPr>
        <w:tblStyle w:val="9"/>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637"/>
        <w:gridCol w:w="981"/>
        <w:gridCol w:w="4587"/>
        <w:gridCol w:w="167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12" w:hRule="atLeast"/>
          <w:jc w:val="center"/>
        </w:trPr>
        <w:tc>
          <w:tcPr>
            <w:tcW w:w="1668"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等级</w:t>
            </w:r>
          </w:p>
        </w:tc>
        <w:tc>
          <w:tcPr>
            <w:tcW w:w="992"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单价</w:t>
            </w:r>
          </w:p>
        </w:tc>
        <w:tc>
          <w:tcPr>
            <w:tcW w:w="4678"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等级内容</w:t>
            </w:r>
          </w:p>
        </w:tc>
        <w:tc>
          <w:tcPr>
            <w:tcW w:w="1701"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计算面积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40" w:hRule="atLeast"/>
          <w:jc w:val="center"/>
        </w:trPr>
        <w:tc>
          <w:tcPr>
            <w:tcW w:w="1668"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第一等级</w:t>
            </w:r>
          </w:p>
        </w:tc>
        <w:tc>
          <w:tcPr>
            <w:tcW w:w="992"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230</w:t>
            </w:r>
          </w:p>
        </w:tc>
        <w:tc>
          <w:tcPr>
            <w:tcW w:w="4678"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外墙粉水以上，室内地砖或木地板，墙面有乳胶漆、仿瓷或墙纸，吊顶、室内水电安装为暗线，室内门窗进行装饰材料包装等精装修。</w:t>
            </w:r>
          </w:p>
        </w:tc>
        <w:tc>
          <w:tcPr>
            <w:tcW w:w="1701"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实际装饰装修房屋建筑面积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40" w:hRule="atLeast"/>
          <w:jc w:val="center"/>
        </w:trPr>
        <w:tc>
          <w:tcPr>
            <w:tcW w:w="1668"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第二等级</w:t>
            </w:r>
          </w:p>
        </w:tc>
        <w:tc>
          <w:tcPr>
            <w:tcW w:w="992"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170</w:t>
            </w:r>
          </w:p>
        </w:tc>
        <w:tc>
          <w:tcPr>
            <w:tcW w:w="4678"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地砖或木地板，墙面有乳胶漆、仿瓷，室内水电安装为暗线，室内门窗进行简单包装。</w:t>
            </w:r>
          </w:p>
        </w:tc>
        <w:tc>
          <w:tcPr>
            <w:tcW w:w="1701"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40" w:hRule="atLeast"/>
          <w:jc w:val="center"/>
        </w:trPr>
        <w:tc>
          <w:tcPr>
            <w:tcW w:w="1668"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第三等级</w:t>
            </w:r>
          </w:p>
        </w:tc>
        <w:tc>
          <w:tcPr>
            <w:tcW w:w="992"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130</w:t>
            </w:r>
          </w:p>
        </w:tc>
        <w:tc>
          <w:tcPr>
            <w:tcW w:w="4678"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地砖、墙面有腻子、室内水电安装为明线。</w:t>
            </w:r>
          </w:p>
        </w:tc>
        <w:tc>
          <w:tcPr>
            <w:tcW w:w="1701"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40" w:hRule="atLeast"/>
          <w:jc w:val="center"/>
        </w:trPr>
        <w:tc>
          <w:tcPr>
            <w:tcW w:w="1668"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第四等级</w:t>
            </w:r>
          </w:p>
        </w:tc>
        <w:tc>
          <w:tcPr>
            <w:tcW w:w="992"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90</w:t>
            </w:r>
          </w:p>
        </w:tc>
        <w:tc>
          <w:tcPr>
            <w:tcW w:w="4678"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水泥地坪、墙面刷白，室内水电安装为明线</w:t>
            </w:r>
          </w:p>
        </w:tc>
        <w:tc>
          <w:tcPr>
            <w:tcW w:w="1701"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40" w:hRule="atLeast"/>
          <w:jc w:val="center"/>
        </w:trPr>
        <w:tc>
          <w:tcPr>
            <w:tcW w:w="1668"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第五等级</w:t>
            </w:r>
          </w:p>
        </w:tc>
        <w:tc>
          <w:tcPr>
            <w:tcW w:w="992"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40</w:t>
            </w:r>
          </w:p>
        </w:tc>
        <w:tc>
          <w:tcPr>
            <w:tcW w:w="4678"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其他</w:t>
            </w:r>
          </w:p>
        </w:tc>
        <w:tc>
          <w:tcPr>
            <w:tcW w:w="1701"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tc>
      </w:tr>
    </w:tbl>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附件9</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880" w:firstLineChars="200"/>
        <w:jc w:val="center"/>
        <w:textAlignment w:val="auto"/>
        <w:rPr>
          <w:rFonts w:hint="default"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畜禽养殖专业户搬迁补助费标准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单位：元∕头（只、公里）</w:t>
      </w:r>
    </w:p>
    <w:tbl>
      <w:tblPr>
        <w:tblStyle w:val="9"/>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909"/>
        <w:gridCol w:w="1214"/>
        <w:gridCol w:w="2551"/>
        <w:gridCol w:w="1701"/>
        <w:gridCol w:w="1134"/>
        <w:gridCol w:w="127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65" w:hRule="atLeast"/>
          <w:jc w:val="center"/>
        </w:trPr>
        <w:tc>
          <w:tcPr>
            <w:tcW w:w="909"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序号</w:t>
            </w:r>
          </w:p>
        </w:tc>
        <w:tc>
          <w:tcPr>
            <w:tcW w:w="3765"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类别</w:t>
            </w:r>
          </w:p>
        </w:tc>
        <w:tc>
          <w:tcPr>
            <w:tcW w:w="1701"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规模</w:t>
            </w:r>
          </w:p>
        </w:tc>
        <w:tc>
          <w:tcPr>
            <w:tcW w:w="1134"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搬迁补助费</w:t>
            </w:r>
          </w:p>
        </w:tc>
        <w:tc>
          <w:tcPr>
            <w:tcW w:w="1276"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0" w:hRule="atLeast"/>
          <w:jc w:val="center"/>
        </w:trPr>
        <w:tc>
          <w:tcPr>
            <w:tcW w:w="909"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320" w:firstLineChars="1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1214"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320" w:firstLineChars="1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牛</w:t>
            </w:r>
          </w:p>
        </w:tc>
        <w:tc>
          <w:tcPr>
            <w:tcW w:w="2551"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320" w:firstLineChars="1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奶牛、种牛</w:t>
            </w:r>
          </w:p>
        </w:tc>
        <w:tc>
          <w:tcPr>
            <w:tcW w:w="1701"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5头以上</w:t>
            </w:r>
          </w:p>
        </w:tc>
        <w:tc>
          <w:tcPr>
            <w:tcW w:w="1134"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1000</w:t>
            </w:r>
          </w:p>
        </w:tc>
        <w:tc>
          <w:tcPr>
            <w:tcW w:w="1276"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1.具备专门生产经营手续；2.具备专业的养殖设施。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0" w:hRule="atLeast"/>
          <w:jc w:val="center"/>
        </w:trPr>
        <w:tc>
          <w:tcPr>
            <w:tcW w:w="909"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仿宋_GBK" w:cs="Times New Roman"/>
                <w:sz w:val="32"/>
                <w:szCs w:val="32"/>
              </w:rPr>
            </w:pPr>
          </w:p>
        </w:tc>
        <w:tc>
          <w:tcPr>
            <w:tcW w:w="1214"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仿宋_GBK" w:cs="Times New Roman"/>
                <w:kern w:val="0"/>
                <w:sz w:val="32"/>
                <w:szCs w:val="32"/>
                <w:lang w:val="en-US" w:eastAsia="zh-CN" w:bidi="ar"/>
              </w:rPr>
            </w:pPr>
          </w:p>
        </w:tc>
        <w:tc>
          <w:tcPr>
            <w:tcW w:w="2551"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320" w:firstLineChars="1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肉牛</w:t>
            </w:r>
          </w:p>
        </w:tc>
        <w:tc>
          <w:tcPr>
            <w:tcW w:w="1701"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10头以上</w:t>
            </w:r>
          </w:p>
        </w:tc>
        <w:tc>
          <w:tcPr>
            <w:tcW w:w="1134"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200</w:t>
            </w:r>
          </w:p>
        </w:tc>
        <w:tc>
          <w:tcPr>
            <w:tcW w:w="1276"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0" w:hRule="atLeast"/>
          <w:jc w:val="center"/>
        </w:trPr>
        <w:tc>
          <w:tcPr>
            <w:tcW w:w="909"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320" w:firstLineChars="100"/>
              <w:jc w:val="both"/>
              <w:textAlignment w:val="auto"/>
              <w:rPr>
                <w:rFonts w:hint="default"/>
              </w:rPr>
            </w:pPr>
            <w:r>
              <w:rPr>
                <w:rFonts w:hint="default" w:ascii="Times New Roman" w:hAnsi="Times New Roman" w:eastAsia="方正仿宋_GBK" w:cs="Times New Roman"/>
                <w:sz w:val="32"/>
                <w:szCs w:val="32"/>
              </w:rPr>
              <w:t>2</w:t>
            </w:r>
          </w:p>
        </w:tc>
        <w:tc>
          <w:tcPr>
            <w:tcW w:w="1214"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320" w:firstLineChars="100"/>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猪</w:t>
            </w:r>
          </w:p>
        </w:tc>
        <w:tc>
          <w:tcPr>
            <w:tcW w:w="2551"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320" w:firstLineChars="1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经产母猪、种猪</w:t>
            </w:r>
          </w:p>
        </w:tc>
        <w:tc>
          <w:tcPr>
            <w:tcW w:w="1701"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10头以上</w:t>
            </w:r>
          </w:p>
        </w:tc>
        <w:tc>
          <w:tcPr>
            <w:tcW w:w="1134"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800</w:t>
            </w:r>
          </w:p>
        </w:tc>
        <w:tc>
          <w:tcPr>
            <w:tcW w:w="1276"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0" w:hRule="atLeast"/>
          <w:jc w:val="center"/>
        </w:trPr>
        <w:tc>
          <w:tcPr>
            <w:tcW w:w="909"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仿宋_GBK" w:cs="Times New Roman"/>
                <w:sz w:val="32"/>
                <w:szCs w:val="32"/>
              </w:rPr>
            </w:pPr>
          </w:p>
        </w:tc>
        <w:tc>
          <w:tcPr>
            <w:tcW w:w="1214"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仿宋_GBK" w:cs="Times New Roman"/>
                <w:kern w:val="0"/>
                <w:sz w:val="32"/>
                <w:szCs w:val="32"/>
                <w:lang w:val="en-US" w:eastAsia="zh-CN" w:bidi="ar"/>
              </w:rPr>
            </w:pPr>
          </w:p>
        </w:tc>
        <w:tc>
          <w:tcPr>
            <w:tcW w:w="2551"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320" w:firstLineChars="1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25公斤以上</w:t>
            </w:r>
          </w:p>
        </w:tc>
        <w:tc>
          <w:tcPr>
            <w:tcW w:w="1701"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50头以上</w:t>
            </w:r>
          </w:p>
        </w:tc>
        <w:tc>
          <w:tcPr>
            <w:tcW w:w="1134"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100</w:t>
            </w:r>
          </w:p>
        </w:tc>
        <w:tc>
          <w:tcPr>
            <w:tcW w:w="1276"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0" w:hRule="atLeast"/>
          <w:jc w:val="center"/>
        </w:trPr>
        <w:tc>
          <w:tcPr>
            <w:tcW w:w="909"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仿宋_GBK" w:cs="Times New Roman"/>
                <w:sz w:val="32"/>
                <w:szCs w:val="32"/>
              </w:rPr>
            </w:pPr>
          </w:p>
        </w:tc>
        <w:tc>
          <w:tcPr>
            <w:tcW w:w="1214"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仿宋_GBK" w:cs="Times New Roman"/>
                <w:kern w:val="0"/>
                <w:sz w:val="32"/>
                <w:szCs w:val="32"/>
                <w:lang w:val="en-US" w:eastAsia="zh-CN" w:bidi="ar"/>
              </w:rPr>
            </w:pPr>
          </w:p>
        </w:tc>
        <w:tc>
          <w:tcPr>
            <w:tcW w:w="2551"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320" w:firstLineChars="1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25公斤以下</w:t>
            </w:r>
          </w:p>
        </w:tc>
        <w:tc>
          <w:tcPr>
            <w:tcW w:w="1701"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50头以上</w:t>
            </w:r>
          </w:p>
        </w:tc>
        <w:tc>
          <w:tcPr>
            <w:tcW w:w="1134"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50</w:t>
            </w:r>
          </w:p>
        </w:tc>
        <w:tc>
          <w:tcPr>
            <w:tcW w:w="1276"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0" w:hRule="atLeast"/>
          <w:jc w:val="center"/>
        </w:trPr>
        <w:tc>
          <w:tcPr>
            <w:tcW w:w="909"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320" w:firstLineChars="1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p>
        </w:tc>
        <w:tc>
          <w:tcPr>
            <w:tcW w:w="1214"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320" w:firstLineChars="100"/>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羊</w:t>
            </w:r>
          </w:p>
        </w:tc>
        <w:tc>
          <w:tcPr>
            <w:tcW w:w="2551"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320" w:firstLineChars="1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种羊</w:t>
            </w:r>
          </w:p>
        </w:tc>
        <w:tc>
          <w:tcPr>
            <w:tcW w:w="1701"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1只以上</w:t>
            </w:r>
          </w:p>
        </w:tc>
        <w:tc>
          <w:tcPr>
            <w:tcW w:w="1134"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500</w:t>
            </w:r>
          </w:p>
        </w:tc>
        <w:tc>
          <w:tcPr>
            <w:tcW w:w="1276"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0" w:hRule="atLeast"/>
          <w:jc w:val="center"/>
        </w:trPr>
        <w:tc>
          <w:tcPr>
            <w:tcW w:w="909"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仿宋_GBK" w:cs="Times New Roman"/>
                <w:kern w:val="0"/>
                <w:sz w:val="32"/>
                <w:szCs w:val="32"/>
                <w:lang w:val="en-US" w:eastAsia="zh-CN" w:bidi="ar"/>
              </w:rPr>
            </w:pPr>
          </w:p>
        </w:tc>
        <w:tc>
          <w:tcPr>
            <w:tcW w:w="1214"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仿宋_GBK" w:cs="Times New Roman"/>
                <w:sz w:val="32"/>
                <w:szCs w:val="32"/>
              </w:rPr>
            </w:pPr>
          </w:p>
        </w:tc>
        <w:tc>
          <w:tcPr>
            <w:tcW w:w="2551"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320" w:firstLineChars="1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肉羊</w:t>
            </w:r>
          </w:p>
        </w:tc>
        <w:tc>
          <w:tcPr>
            <w:tcW w:w="1701"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50只以上</w:t>
            </w:r>
          </w:p>
        </w:tc>
        <w:tc>
          <w:tcPr>
            <w:tcW w:w="1134"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50</w:t>
            </w:r>
          </w:p>
        </w:tc>
        <w:tc>
          <w:tcPr>
            <w:tcW w:w="1276"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0" w:hRule="atLeast"/>
          <w:jc w:val="center"/>
        </w:trPr>
        <w:tc>
          <w:tcPr>
            <w:tcW w:w="909"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320" w:firstLineChars="100"/>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4</w:t>
            </w:r>
          </w:p>
        </w:tc>
        <w:tc>
          <w:tcPr>
            <w:tcW w:w="3765"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兔</w:t>
            </w:r>
          </w:p>
        </w:tc>
        <w:tc>
          <w:tcPr>
            <w:tcW w:w="1701"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200头以上</w:t>
            </w:r>
          </w:p>
        </w:tc>
        <w:tc>
          <w:tcPr>
            <w:tcW w:w="1134"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p>
        </w:tc>
        <w:tc>
          <w:tcPr>
            <w:tcW w:w="1276" w:type="dxa"/>
            <w:tcBorders>
              <w:top w:val="outset" w:color="auto" w:sz="6" w:space="0"/>
              <w:left w:val="nil"/>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0" w:hRule="atLeast"/>
          <w:jc w:val="center"/>
        </w:trPr>
        <w:tc>
          <w:tcPr>
            <w:tcW w:w="909"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320" w:firstLineChars="100"/>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5</w:t>
            </w:r>
          </w:p>
        </w:tc>
        <w:tc>
          <w:tcPr>
            <w:tcW w:w="1214"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320" w:firstLineChars="1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鸡、鸭</w:t>
            </w:r>
          </w:p>
        </w:tc>
        <w:tc>
          <w:tcPr>
            <w:tcW w:w="2551"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320" w:firstLineChars="1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0.5公斤及以上</w:t>
            </w:r>
          </w:p>
        </w:tc>
        <w:tc>
          <w:tcPr>
            <w:tcW w:w="1701"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200只以上</w:t>
            </w:r>
          </w:p>
        </w:tc>
        <w:tc>
          <w:tcPr>
            <w:tcW w:w="1134"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p>
        </w:tc>
        <w:tc>
          <w:tcPr>
            <w:tcW w:w="1276" w:type="dxa"/>
            <w:tcBorders>
              <w:top w:val="outset" w:color="auto" w:sz="6" w:space="0"/>
              <w:left w:val="nil"/>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0" w:hRule="atLeast"/>
          <w:jc w:val="center"/>
        </w:trPr>
        <w:tc>
          <w:tcPr>
            <w:tcW w:w="909"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320" w:firstLineChars="100"/>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6</w:t>
            </w:r>
          </w:p>
        </w:tc>
        <w:tc>
          <w:tcPr>
            <w:tcW w:w="1214"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320" w:firstLineChars="1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鹅</w:t>
            </w:r>
          </w:p>
        </w:tc>
        <w:tc>
          <w:tcPr>
            <w:tcW w:w="2551"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320" w:firstLineChars="1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2公斤以上</w:t>
            </w:r>
          </w:p>
        </w:tc>
        <w:tc>
          <w:tcPr>
            <w:tcW w:w="1701"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50只以上</w:t>
            </w:r>
          </w:p>
        </w:tc>
        <w:tc>
          <w:tcPr>
            <w:tcW w:w="1134"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p>
        </w:tc>
        <w:tc>
          <w:tcPr>
            <w:tcW w:w="1276" w:type="dxa"/>
            <w:tcBorders>
              <w:top w:val="outset" w:color="auto" w:sz="6" w:space="0"/>
              <w:left w:val="nil"/>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0" w:hRule="atLeast"/>
          <w:jc w:val="center"/>
        </w:trPr>
        <w:tc>
          <w:tcPr>
            <w:tcW w:w="909" w:type="dxa"/>
            <w:vMerge w:val="continue"/>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320" w:firstLineChars="100"/>
              <w:jc w:val="both"/>
              <w:textAlignment w:val="auto"/>
              <w:rPr>
                <w:rFonts w:hint="default" w:ascii="Times New Roman" w:hAnsi="Times New Roman" w:eastAsia="方正仿宋_GBK" w:cs="Times New Roman"/>
                <w:kern w:val="0"/>
                <w:sz w:val="32"/>
                <w:szCs w:val="32"/>
                <w:lang w:val="en-US" w:eastAsia="zh-CN" w:bidi="ar"/>
              </w:rPr>
            </w:pPr>
          </w:p>
        </w:tc>
        <w:tc>
          <w:tcPr>
            <w:tcW w:w="1214"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仿宋_GBK" w:cs="Times New Roman"/>
                <w:kern w:val="0"/>
                <w:sz w:val="32"/>
                <w:szCs w:val="32"/>
                <w:lang w:val="en-US" w:eastAsia="zh-CN" w:bidi="ar"/>
              </w:rPr>
            </w:pPr>
          </w:p>
        </w:tc>
        <w:tc>
          <w:tcPr>
            <w:tcW w:w="2551"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320" w:firstLineChars="1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0.5—2公斤</w:t>
            </w:r>
          </w:p>
        </w:tc>
        <w:tc>
          <w:tcPr>
            <w:tcW w:w="1701"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100只以上</w:t>
            </w:r>
          </w:p>
        </w:tc>
        <w:tc>
          <w:tcPr>
            <w:tcW w:w="1134"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p>
        </w:tc>
        <w:tc>
          <w:tcPr>
            <w:tcW w:w="1276" w:type="dxa"/>
            <w:tcBorders>
              <w:top w:val="outset" w:color="auto" w:sz="6" w:space="0"/>
              <w:left w:val="nil"/>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0" w:hRule="atLeast"/>
          <w:jc w:val="center"/>
        </w:trPr>
        <w:tc>
          <w:tcPr>
            <w:tcW w:w="909"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320" w:firstLineChars="100"/>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7</w:t>
            </w:r>
          </w:p>
        </w:tc>
        <w:tc>
          <w:tcPr>
            <w:tcW w:w="1214"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320" w:firstLineChars="100"/>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鸽</w:t>
            </w:r>
          </w:p>
        </w:tc>
        <w:tc>
          <w:tcPr>
            <w:tcW w:w="2551"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320" w:firstLineChars="1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肉鸽</w:t>
            </w:r>
          </w:p>
        </w:tc>
        <w:tc>
          <w:tcPr>
            <w:tcW w:w="1701"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20只以上</w:t>
            </w:r>
          </w:p>
        </w:tc>
        <w:tc>
          <w:tcPr>
            <w:tcW w:w="1134"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p>
        </w:tc>
        <w:tc>
          <w:tcPr>
            <w:tcW w:w="1276" w:type="dxa"/>
            <w:tcBorders>
              <w:top w:val="outset" w:color="auto" w:sz="6" w:space="0"/>
              <w:left w:val="nil"/>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0" w:hRule="atLeast"/>
          <w:jc w:val="center"/>
        </w:trPr>
        <w:tc>
          <w:tcPr>
            <w:tcW w:w="909" w:type="dxa"/>
            <w:vMerge w:val="continue"/>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320" w:firstLineChars="100"/>
              <w:jc w:val="both"/>
              <w:textAlignment w:val="auto"/>
              <w:rPr>
                <w:rFonts w:hint="default" w:ascii="Times New Roman" w:hAnsi="Times New Roman" w:eastAsia="方正仿宋_GBK" w:cs="Times New Roman"/>
                <w:kern w:val="0"/>
                <w:sz w:val="32"/>
                <w:szCs w:val="32"/>
                <w:lang w:val="en-US" w:eastAsia="zh-CN" w:bidi="ar"/>
              </w:rPr>
            </w:pPr>
          </w:p>
        </w:tc>
        <w:tc>
          <w:tcPr>
            <w:tcW w:w="1214"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仿宋_GBK" w:cs="Times New Roman"/>
                <w:sz w:val="32"/>
                <w:szCs w:val="32"/>
              </w:rPr>
            </w:pPr>
          </w:p>
        </w:tc>
        <w:tc>
          <w:tcPr>
            <w:tcW w:w="2551"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320" w:firstLineChars="1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信鸽</w:t>
            </w:r>
          </w:p>
        </w:tc>
        <w:tc>
          <w:tcPr>
            <w:tcW w:w="1701"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飞行里程</w:t>
            </w:r>
          </w:p>
        </w:tc>
        <w:tc>
          <w:tcPr>
            <w:tcW w:w="1134"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1276" w:type="dxa"/>
            <w:tcBorders>
              <w:top w:val="outset" w:color="auto" w:sz="6" w:space="0"/>
              <w:left w:val="nil"/>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0" w:hRule="atLeast"/>
          <w:jc w:val="center"/>
        </w:trPr>
        <w:tc>
          <w:tcPr>
            <w:tcW w:w="909"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320" w:firstLineChars="100"/>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8</w:t>
            </w:r>
          </w:p>
        </w:tc>
        <w:tc>
          <w:tcPr>
            <w:tcW w:w="3765"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蜜蜂</w:t>
            </w:r>
          </w:p>
        </w:tc>
        <w:tc>
          <w:tcPr>
            <w:tcW w:w="1701"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箱</w:t>
            </w:r>
          </w:p>
        </w:tc>
        <w:tc>
          <w:tcPr>
            <w:tcW w:w="1134"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100</w:t>
            </w:r>
          </w:p>
        </w:tc>
        <w:tc>
          <w:tcPr>
            <w:tcW w:w="1276"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rPr>
            </w:pPr>
          </w:p>
        </w:tc>
      </w:tr>
    </w:tbl>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sz w:val="32"/>
          <w:szCs w:val="32"/>
        </w:rPr>
        <w:t>附件</w:t>
      </w:r>
      <w:r>
        <w:rPr>
          <w:rFonts w:hint="eastAsia" w:ascii="方正黑体_GBK" w:hAnsi="方正黑体_GBK" w:eastAsia="方正黑体_GBK" w:cs="方正黑体_GBK"/>
          <w:sz w:val="32"/>
          <w:szCs w:val="32"/>
        </w:rPr>
        <w:t>10</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880" w:firstLineChars="200"/>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綦江区各镇（街）住房货币安置价格标准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单位：元/m</w:t>
      </w:r>
      <w:r>
        <w:rPr>
          <w:rFonts w:hint="default" w:ascii="Times New Roman" w:hAnsi="Times New Roman" w:eastAsia="方正仿宋_GBK" w:cs="Times New Roman"/>
          <w:color w:val="000000"/>
          <w:sz w:val="32"/>
          <w:szCs w:val="32"/>
          <w:vertAlign w:val="superscript"/>
        </w:rPr>
        <w:t>2</w:t>
      </w:r>
    </w:p>
    <w:tbl>
      <w:tblPr>
        <w:tblStyle w:val="9"/>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098"/>
        <w:gridCol w:w="1133"/>
        <w:gridCol w:w="664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40" w:hRule="atLeast"/>
          <w:jc w:val="center"/>
        </w:trPr>
        <w:tc>
          <w:tcPr>
            <w:tcW w:w="1101"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sz w:val="32"/>
                <w:szCs w:val="32"/>
              </w:rPr>
              <w:t>类别</w:t>
            </w:r>
          </w:p>
        </w:tc>
        <w:tc>
          <w:tcPr>
            <w:tcW w:w="1134"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sz w:val="32"/>
                <w:szCs w:val="32"/>
              </w:rPr>
              <w:t>标准</w:t>
            </w:r>
          </w:p>
        </w:tc>
        <w:tc>
          <w:tcPr>
            <w:tcW w:w="6662"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sz w:val="32"/>
                <w:szCs w:val="32"/>
              </w:rPr>
              <w:t>范围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01" w:hRule="atLeast"/>
          <w:jc w:val="center"/>
        </w:trPr>
        <w:tc>
          <w:tcPr>
            <w:tcW w:w="1101"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Ⅰ</w:t>
            </w:r>
          </w:p>
        </w:tc>
        <w:tc>
          <w:tcPr>
            <w:tcW w:w="1134"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4400</w:t>
            </w:r>
          </w:p>
        </w:tc>
        <w:tc>
          <w:tcPr>
            <w:tcW w:w="6662"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古南街道办事处、文龙街道办事处、通惠街道办事处、三江街道办事处、新盛街道办事处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561" w:hRule="atLeast"/>
          <w:jc w:val="center"/>
        </w:trPr>
        <w:tc>
          <w:tcPr>
            <w:tcW w:w="1101"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Ⅱ</w:t>
            </w:r>
          </w:p>
        </w:tc>
        <w:tc>
          <w:tcPr>
            <w:tcW w:w="1134"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3200</w:t>
            </w:r>
          </w:p>
        </w:tc>
        <w:tc>
          <w:tcPr>
            <w:tcW w:w="6662"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三角镇、打通镇、东溪镇、赶水镇、永新镇、安稳镇、永城镇、横山镇、石角镇、郭扶镇、篆塘镇、扶欢镇、隆盛镇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86" w:hRule="atLeast"/>
          <w:jc w:val="center"/>
        </w:trPr>
        <w:tc>
          <w:tcPr>
            <w:tcW w:w="1101"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Ⅲ</w:t>
            </w:r>
          </w:p>
        </w:tc>
        <w:tc>
          <w:tcPr>
            <w:tcW w:w="1134"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2700</w:t>
            </w:r>
          </w:p>
        </w:tc>
        <w:tc>
          <w:tcPr>
            <w:tcW w:w="6662"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中峰</w:t>
            </w:r>
            <w:r>
              <w:rPr>
                <w:rFonts w:hint="default" w:ascii="Times New Roman" w:hAnsi="Times New Roman" w:eastAsia="方正仿宋_GBK" w:cs="Times New Roman"/>
                <w:sz w:val="32"/>
                <w:szCs w:val="32"/>
              </w:rPr>
              <w:t>镇</w:t>
            </w:r>
            <w:r>
              <w:rPr>
                <w:rFonts w:hint="default" w:ascii="Times New Roman" w:hAnsi="Times New Roman" w:eastAsia="方正仿宋_GBK" w:cs="Times New Roman"/>
                <w:color w:val="000000"/>
                <w:sz w:val="32"/>
                <w:szCs w:val="32"/>
              </w:rPr>
              <w:t>、石壕</w:t>
            </w:r>
            <w:r>
              <w:rPr>
                <w:rFonts w:hint="default" w:ascii="Times New Roman" w:hAnsi="Times New Roman" w:eastAsia="方正仿宋_GBK" w:cs="Times New Roman"/>
                <w:sz w:val="32"/>
                <w:szCs w:val="32"/>
              </w:rPr>
              <w:t>镇</w:t>
            </w:r>
            <w:r>
              <w:rPr>
                <w:rFonts w:hint="default" w:ascii="Times New Roman" w:hAnsi="Times New Roman" w:eastAsia="方正仿宋_GBK" w:cs="Times New Roman"/>
                <w:color w:val="000000"/>
                <w:sz w:val="32"/>
                <w:szCs w:val="32"/>
              </w:rPr>
              <w:t>、丁山镇</w:t>
            </w:r>
          </w:p>
        </w:tc>
      </w:tr>
    </w:tbl>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default" w:ascii="Times New Roman" w:hAnsi="Times New Roman" w:eastAsia="仿宋" w:cs="Times New Roman"/>
          <w:sz w:val="31"/>
          <w:szCs w:val="31"/>
          <w:lang w:val="en-US"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p>
    <w:p>
      <w:pPr>
        <w:spacing w:line="360" w:lineRule="exact"/>
        <w:ind w:left="0" w:leftChars="0" w:firstLine="699" w:firstLineChars="333"/>
        <w:rPr>
          <w:rFonts w:hint="eastAsia" w:ascii="Times New Roman" w:hAnsi="Times New Roman" w:eastAsia="方正楷体_GBK" w:cs="宋体"/>
          <w:kern w:val="0"/>
          <w:sz w:val="21"/>
          <w:szCs w:val="21"/>
          <w:lang w:val="en-US"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綦江区人民政府办公室发布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綦江区</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jY2YTU2Y2IzOWFkMjFhNzRlNzUwMmQxMzY0M2QifQ=="/>
  </w:docVars>
  <w:rsids>
    <w:rsidRoot w:val="00172A27"/>
    <w:rsid w:val="010333FC"/>
    <w:rsid w:val="01323A4C"/>
    <w:rsid w:val="019E71BD"/>
    <w:rsid w:val="039C5442"/>
    <w:rsid w:val="03D63BD5"/>
    <w:rsid w:val="041C42DA"/>
    <w:rsid w:val="04B679C3"/>
    <w:rsid w:val="05F07036"/>
    <w:rsid w:val="066C0D03"/>
    <w:rsid w:val="06DC3007"/>
    <w:rsid w:val="06E00104"/>
    <w:rsid w:val="07DA1DB8"/>
    <w:rsid w:val="080F63D8"/>
    <w:rsid w:val="08230F8C"/>
    <w:rsid w:val="09341458"/>
    <w:rsid w:val="098254C2"/>
    <w:rsid w:val="09877F5A"/>
    <w:rsid w:val="0A766EDE"/>
    <w:rsid w:val="0AD64BE8"/>
    <w:rsid w:val="0B0912D7"/>
    <w:rsid w:val="0B5C522B"/>
    <w:rsid w:val="0C9B1F9A"/>
    <w:rsid w:val="0DE26273"/>
    <w:rsid w:val="0E025194"/>
    <w:rsid w:val="0E73553D"/>
    <w:rsid w:val="105476D2"/>
    <w:rsid w:val="10BA677B"/>
    <w:rsid w:val="10E3678C"/>
    <w:rsid w:val="11520312"/>
    <w:rsid w:val="128637D7"/>
    <w:rsid w:val="12970528"/>
    <w:rsid w:val="14510E4E"/>
    <w:rsid w:val="152D2DCA"/>
    <w:rsid w:val="16FD7B4D"/>
    <w:rsid w:val="185F3E39"/>
    <w:rsid w:val="187168EA"/>
    <w:rsid w:val="196673CA"/>
    <w:rsid w:val="1B2F4AEE"/>
    <w:rsid w:val="1CF734C9"/>
    <w:rsid w:val="1DEC284C"/>
    <w:rsid w:val="1E6523AC"/>
    <w:rsid w:val="21461012"/>
    <w:rsid w:val="22440422"/>
    <w:rsid w:val="22BB4BBB"/>
    <w:rsid w:val="25714529"/>
    <w:rsid w:val="27823D6E"/>
    <w:rsid w:val="291D7E71"/>
    <w:rsid w:val="2A3F2F53"/>
    <w:rsid w:val="2AEB3417"/>
    <w:rsid w:val="2E4E3A57"/>
    <w:rsid w:val="30127B81"/>
    <w:rsid w:val="31A15F24"/>
    <w:rsid w:val="324A1681"/>
    <w:rsid w:val="336C722F"/>
    <w:rsid w:val="34C41FFA"/>
    <w:rsid w:val="361B6EFE"/>
    <w:rsid w:val="367D6C5C"/>
    <w:rsid w:val="36FB1DF0"/>
    <w:rsid w:val="395347B5"/>
    <w:rsid w:val="39A232A0"/>
    <w:rsid w:val="39E745AA"/>
    <w:rsid w:val="3B5A6BBB"/>
    <w:rsid w:val="3EDA13A6"/>
    <w:rsid w:val="403F088E"/>
    <w:rsid w:val="417B75E9"/>
    <w:rsid w:val="42F058B7"/>
    <w:rsid w:val="436109F6"/>
    <w:rsid w:val="441A38D4"/>
    <w:rsid w:val="4504239D"/>
    <w:rsid w:val="45AF70F4"/>
    <w:rsid w:val="47705032"/>
    <w:rsid w:val="47EF2B9D"/>
    <w:rsid w:val="499A6EB3"/>
    <w:rsid w:val="4BC77339"/>
    <w:rsid w:val="4C9236C5"/>
    <w:rsid w:val="4E250A85"/>
    <w:rsid w:val="4E9D64C7"/>
    <w:rsid w:val="4FFD4925"/>
    <w:rsid w:val="505C172E"/>
    <w:rsid w:val="506405EA"/>
    <w:rsid w:val="50D30D90"/>
    <w:rsid w:val="51F46A7D"/>
    <w:rsid w:val="52A77CC2"/>
    <w:rsid w:val="52F46F0B"/>
    <w:rsid w:val="532B6A10"/>
    <w:rsid w:val="53D8014D"/>
    <w:rsid w:val="54110458"/>
    <w:rsid w:val="55E064E0"/>
    <w:rsid w:val="572C6D10"/>
    <w:rsid w:val="575161FB"/>
    <w:rsid w:val="5DC34279"/>
    <w:rsid w:val="5F41673E"/>
    <w:rsid w:val="5F916509"/>
    <w:rsid w:val="5FCD688E"/>
    <w:rsid w:val="5FF9BDAA"/>
    <w:rsid w:val="5FFE5333"/>
    <w:rsid w:val="608816D1"/>
    <w:rsid w:val="60EF4E7F"/>
    <w:rsid w:val="6190036D"/>
    <w:rsid w:val="648B0A32"/>
    <w:rsid w:val="658E1FB1"/>
    <w:rsid w:val="665233C1"/>
    <w:rsid w:val="68752FB5"/>
    <w:rsid w:val="68792F9F"/>
    <w:rsid w:val="68FB4E2B"/>
    <w:rsid w:val="69944FDF"/>
    <w:rsid w:val="69AC0D42"/>
    <w:rsid w:val="6A5675B7"/>
    <w:rsid w:val="6AD9688B"/>
    <w:rsid w:val="6C164AAF"/>
    <w:rsid w:val="6D0E3F22"/>
    <w:rsid w:val="6E546404"/>
    <w:rsid w:val="6EFD1E92"/>
    <w:rsid w:val="6FA93114"/>
    <w:rsid w:val="6FC27ACA"/>
    <w:rsid w:val="72851D44"/>
    <w:rsid w:val="744E4660"/>
    <w:rsid w:val="753355A2"/>
    <w:rsid w:val="759F1C61"/>
    <w:rsid w:val="769F2DE8"/>
    <w:rsid w:val="76FDEB7C"/>
    <w:rsid w:val="78F62422"/>
    <w:rsid w:val="79987ED9"/>
    <w:rsid w:val="79B71F54"/>
    <w:rsid w:val="79C65162"/>
    <w:rsid w:val="7C9011D9"/>
    <w:rsid w:val="7DC651C5"/>
    <w:rsid w:val="7DF350ED"/>
    <w:rsid w:val="7EB8504A"/>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4"/>
    <w:next w:val="14"/>
    <w:qFormat/>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 w:type="paragraph" w:customStyle="1" w:styleId="1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8984</Words>
  <Characters>9435</Characters>
  <Lines>1</Lines>
  <Paragraphs>1</Paragraphs>
  <TotalTime>7</TotalTime>
  <ScaleCrop>false</ScaleCrop>
  <LinksUpToDate>false</LinksUpToDate>
  <CharactersWithSpaces>10044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刑警</cp:lastModifiedBy>
  <cp:lastPrinted>2022-06-14T01:56:00Z</cp:lastPrinted>
  <dcterms:modified xsi:type="dcterms:W3CDTF">2023-10-20T07:11:57Z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4E006C4952E2471597D8DF90EA91C282_13</vt:lpwstr>
  </property>
</Properties>
</file>