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重庆市綦江区人民政府办公室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关于印发集中式饮用水水源保护区划分调整及撤销方案的通知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綦江府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发〔2022〕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各街道办事处、各镇人民政府，区政府有关部门，有关单位：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綦江区集中式饮用水水源保护区划分调整及撤销方案》已经市政府批准同意，按照《重庆市生态环境局关于公布实施黔江区等区县（自治县）集中式饮用水水源地保护区的函》（渝环函〔2021〕566号）文件要求，现印发给你们，请认真按照集中式饮用水水源地管理要求做好相关保护工作，确保饮用水水源地水质安全。《綦江区集中式饮用水水源保护区划分调整及撤销方案》（綦江府办〔2022〕45号）即日起作废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附件：綦江区集中式饮用水水源保护区划分调整及撤销方案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重庆市綦江区人民政府办公室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476" w:leftChars="304" w:hanging="838" w:hangingChars="26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2022年10月14日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綦江区集中式饮用水水源保护区划分调整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及撤销</w:t>
      </w:r>
      <w:r>
        <w:rPr>
          <w:rFonts w:hint="eastAsia" w:ascii="方正小标宋_GBK" w:eastAsia="方正小标宋_GBK"/>
          <w:sz w:val="36"/>
          <w:szCs w:val="36"/>
        </w:rPr>
        <w:t>方案</w:t>
      </w:r>
    </w:p>
    <w:p>
      <w:pPr>
        <w:adjustRightInd w:val="0"/>
        <w:snapToGrid w:val="0"/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lef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一、新</w:t>
      </w:r>
      <w:r>
        <w:rPr>
          <w:rFonts w:eastAsia="方正黑体_GBK"/>
          <w:szCs w:val="32"/>
        </w:rPr>
        <w:t>增</w:t>
      </w:r>
      <w:r>
        <w:rPr>
          <w:rFonts w:hint="eastAsia" w:eastAsia="方正黑体_GBK"/>
          <w:szCs w:val="32"/>
          <w:lang w:val="en-US" w:eastAsia="zh-CN"/>
        </w:rPr>
        <w:t>17</w:t>
      </w:r>
      <w:r>
        <w:rPr>
          <w:rFonts w:eastAsia="方正黑体_GBK"/>
          <w:szCs w:val="32"/>
        </w:rPr>
        <w:t>个集</w:t>
      </w:r>
      <w:r>
        <w:rPr>
          <w:rFonts w:hint="eastAsia" w:ascii="方正黑体_GBK" w:eastAsia="方正黑体_GBK"/>
          <w:szCs w:val="32"/>
        </w:rPr>
        <w:t>中式饮用水水源保护区</w:t>
      </w:r>
    </w:p>
    <w:tbl>
      <w:tblPr>
        <w:tblStyle w:val="9"/>
        <w:tblW w:w="13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360"/>
        <w:gridCol w:w="888"/>
        <w:gridCol w:w="684"/>
        <w:gridCol w:w="528"/>
        <w:gridCol w:w="660"/>
        <w:gridCol w:w="1848"/>
        <w:gridCol w:w="1836"/>
        <w:gridCol w:w="1608"/>
        <w:gridCol w:w="1776"/>
        <w:gridCol w:w="936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区县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（自治县）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水厂名称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水源名称</w:t>
            </w:r>
          </w:p>
        </w:tc>
        <w:tc>
          <w:tcPr>
            <w:tcW w:w="5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水源类型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水源所在乡镇（街道）</w:t>
            </w:r>
          </w:p>
        </w:tc>
        <w:tc>
          <w:tcPr>
            <w:tcW w:w="90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保护区范围划分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3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一级保护区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二级保护区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准保护区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outlineLvl w:val="9"/>
              <w:rPr>
                <w:rFonts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綦江区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照贵、两路水厂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西山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三江街道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多年平均水位对应的高程线以下的全部水域。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庆江供水工程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黄沙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永城镇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以取水口为</w:t>
            </w:r>
            <w:bookmarkStart w:id="0" w:name="_GoBack"/>
            <w:bookmarkEnd w:id="0"/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圆心，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00米为半径，多年平均水位对应的高程线以下的全部水域。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一级保护区水域外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多年平均水位对应的高程线以下的全部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水库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水域。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二级保护区水域外，入库河流上溯3000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的汇水区域，西侧以綦江和万盛行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6"/>
                <w:kern w:val="0"/>
                <w:sz w:val="21"/>
                <w:szCs w:val="21"/>
                <w:lang w:val="en-US" w:eastAsia="zh-CN" w:bidi="ar"/>
              </w:rPr>
              <w:t>政界线为界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pacing w:val="-6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6"/>
                <w:kern w:val="0"/>
                <w:sz w:val="21"/>
                <w:szCs w:val="21"/>
                <w:lang w:val="en-US" w:eastAsia="zh-CN" w:bidi="ar"/>
              </w:rPr>
              <w:t>但不超过分水岭。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二级保护区外的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整个汇水区域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复兴村水厂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流水岩水库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永城镇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多年平均水位对应的高程线以下的全部水域。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一级保护区陆域外的整个汇水区域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风门村水厂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小桥子水库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赶水镇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多年平均水位对应的高程线以下的全部水域。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骑龙水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长沟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郭扶镇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高青水厂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狮子岩山坪塘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郭扶镇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外的整个汇水区域，但不超过流域分水岭范围。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翻身水厂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苦枣寺水库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郭扶镇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21"/>
                <w:szCs w:val="21"/>
                <w:lang w:bidi="ar"/>
              </w:rPr>
              <w:t>梅子桥村水厂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皇帝湾水库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郭扶镇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外的整个汇水区域，但不超过流域分水岭范围。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杨柳村、三正村水厂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简家河水库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郭扶镇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草坪村水厂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关键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东溪镇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大榜村水厂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生期岗水库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东溪镇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保护区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外的整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1"/>
                <w:szCs w:val="21"/>
                <w:lang w:bidi="ar"/>
              </w:rPr>
              <w:t>个汇水区域，但不超过流域分水岭范围。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农建村水厂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柏杨湾水库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东溪镇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坪上村饮水工程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石碾槽山坪塘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石角镇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1"/>
                <w:szCs w:val="21"/>
                <w:lang w:bidi="ar"/>
              </w:rPr>
              <w:t>保护区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1"/>
                <w:kern w:val="0"/>
                <w:sz w:val="21"/>
                <w:szCs w:val="21"/>
                <w:lang w:val="en-US" w:eastAsia="zh-CN" w:bidi="ar"/>
              </w:rPr>
              <w:t>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11"/>
                <w:kern w:val="0"/>
                <w:sz w:val="21"/>
                <w:szCs w:val="21"/>
                <w:lang w:bidi="ar"/>
              </w:rPr>
              <w:t>外的整个汇水区域，但不超过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龙门片区水厂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莲花洞水库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三角镇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7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古歧供水站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古岐水库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篆塘镇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bidi="ar"/>
              </w:rPr>
              <w:t>多年平均水位对应的高程线以下的全部水域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一级保护区水域外200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范围内的陆域，但不超过流域分水岭范围。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云品村水厂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云品岩溪沟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河流型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永新镇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取水口拦水坝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至上游河流源头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全部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河道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多年平均水位河道两侧边缘纵深50米范围内的陆域，但不超过流域分水岭范围，陆域沿岸长度与一级保护区水域长度相同。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紫荆场镇水厂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桦木厂溪沟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河流型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永新镇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取水口至上游1000米，多年平均水位对应的高程线以下的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全部水域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多年平均水位河道两侧边缘纵深50米范围内的陆域，但不超过流域分水岭范围，陆域沿岸长度与一级保护区水域长度相同。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一级保护区水域外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bidi="ar"/>
              </w:rPr>
              <w:t>多年平均水位对应的高程线以下的全部水域。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一级保护区陆域外的整个汇水区域，但不超过流域分水岭范围。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bidi="ar"/>
              </w:rPr>
              <w:t>/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Times New Roman" w:hAnsi="Times New Roman" w:eastAsia="方正黑体_GBK"/>
          <w:color w:val="auto"/>
          <w:szCs w:val="32"/>
        </w:rPr>
      </w:pPr>
      <w:r>
        <w:rPr>
          <w:rFonts w:hint="eastAsia" w:eastAsia="方正黑体_GBK"/>
          <w:color w:val="auto"/>
          <w:szCs w:val="32"/>
          <w:lang w:eastAsia="zh-CN"/>
        </w:rPr>
        <w:t>二、</w:t>
      </w:r>
      <w:r>
        <w:rPr>
          <w:rFonts w:ascii="Times New Roman" w:hAnsi="Times New Roman" w:eastAsia="方正黑体_GBK"/>
          <w:color w:val="auto"/>
          <w:szCs w:val="32"/>
        </w:rPr>
        <w:t>撤销</w:t>
      </w:r>
      <w:r>
        <w:rPr>
          <w:rFonts w:hint="eastAsia" w:eastAsia="方正黑体_GBK"/>
          <w:color w:val="auto"/>
          <w:szCs w:val="32"/>
          <w:lang w:val="en-US" w:eastAsia="zh-CN"/>
        </w:rPr>
        <w:t>5</w:t>
      </w:r>
      <w:r>
        <w:rPr>
          <w:rFonts w:ascii="Times New Roman" w:hAnsi="Times New Roman" w:eastAsia="方正黑体_GBK"/>
          <w:color w:val="auto"/>
          <w:szCs w:val="32"/>
        </w:rPr>
        <w:t>个集中式饮用水水源地保护区</w:t>
      </w:r>
    </w:p>
    <w:tbl>
      <w:tblPr>
        <w:tblStyle w:val="9"/>
        <w:tblW w:w="13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528"/>
        <w:gridCol w:w="1116"/>
        <w:gridCol w:w="852"/>
        <w:gridCol w:w="720"/>
        <w:gridCol w:w="792"/>
        <w:gridCol w:w="1860"/>
        <w:gridCol w:w="1884"/>
        <w:gridCol w:w="1536"/>
        <w:gridCol w:w="1596"/>
        <w:gridCol w:w="540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tblHeader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区县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（自治县）</w:t>
            </w:r>
          </w:p>
        </w:tc>
        <w:tc>
          <w:tcPr>
            <w:tcW w:w="5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水厂名称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水源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水源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类型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水源所在乡镇（街道）</w:t>
            </w:r>
          </w:p>
        </w:tc>
        <w:tc>
          <w:tcPr>
            <w:tcW w:w="8028" w:type="dxa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保护区范围划分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tblHeader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374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一级保护区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二级保护区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准保护区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Header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黑体_GBK"/>
                <w:bCs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水域范围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黑体_GBK"/>
                <w:bCs/>
                <w:color w:val="auto"/>
                <w:kern w:val="0"/>
                <w:sz w:val="21"/>
                <w:szCs w:val="21"/>
                <w:lang w:bidi="ar"/>
              </w:rPr>
              <w:t>陆域范围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綦江区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文龙水厂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青杠榜水库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水库型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文龙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街道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</w:rPr>
              <w:t>整个水库正常水位线以下的全部水域。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</w:rPr>
              <w:t>取水口侧正常水位线以上200米范围内的陆域，但不超过集雨区范围。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/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</w:rPr>
              <w:t>正常水位线以上（一级保护区以外），水平距离2000米区域。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新寨村饮水工程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隆兴桥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水库型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横山镇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整个水库正常水位线以下的全部水域。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取水口侧正常水位线以上200米范围内的陆域，但不超过集雨区范围。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/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正常水位线以上（一级保护区以外），水平距离2000米区域。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篆坪村饮水工程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沟底下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地下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水型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安稳镇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以取水点为圆心，半径为100米的圆形区域。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以取水口为圆心，半径为1000米的环形区域。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观音村饮水工程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观音桥闸坝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水库型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安稳镇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整个水库正常水位线以下的全部水域。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取水口侧正常水位线以上200米范围内的陆域，但不超过集雨区范围。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正常水位线以上（一级保护区以外），水平距离2000米区域。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登瀛水站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黑千沟水库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小型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水库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文龙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街道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整个水库正常水位线以下的全部水域面积。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库岸边缘纵深30米至正常水位线以上的全部陆域。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outlineLvl w:val="9"/>
              <w:rPr>
                <w:rFonts w:ascii="Times New Roman" w:hAnsi="Times New Roman" w:eastAsia="方正仿宋_GBK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1"/>
                <w:szCs w:val="21"/>
                <w:lang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28" w:leftChars="342" w:hanging="210" w:hangingChars="1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1962" w:bottom="1474" w:left="184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綦江区人民政府办公室发布 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-248920</wp:posOffset>
              </wp:positionH>
              <wp:positionV relativeFrom="paragraph">
                <wp:posOffset>-8255</wp:posOffset>
              </wp:positionV>
              <wp:extent cx="8729980" cy="635"/>
              <wp:effectExtent l="0" t="10795" r="13970" b="17145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29980" cy="6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9.6pt;margin-top:-0.65pt;height:0.05pt;width:687.4pt;z-index:251664384;mso-width-relative:page;mso-height-relative:page;" filled="f" stroked="t" coordsize="21600,21600" o:gfxdata="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oGWBvZAAAACgEAAA8AAAAAAAAAAQAgAAAAIgAAAGRycy9kb3ducmV2LnhtbFBL&#10;AQIUABQAAAAIAIdO4kCmeKoh9QEAAM4DAAAOAAAAAAAAAAEAIAAAACgBAABkcnMvZTJvRG9jLnht&#10;bFBLBQYAAAAABgAGAFkBAACP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綦江区人民政府办公室发布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8" name="图片 1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-227965</wp:posOffset>
              </wp:positionH>
              <wp:positionV relativeFrom="paragraph">
                <wp:posOffset>342900</wp:posOffset>
              </wp:positionV>
              <wp:extent cx="8729980" cy="635"/>
              <wp:effectExtent l="0" t="0" r="0" b="0"/>
              <wp:wrapNone/>
              <wp:docPr id="15" name="直接连接符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29980" cy="6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7.95pt;margin-top:27pt;height:0.05pt;width:687.4pt;z-index:251663360;mso-width-relative:page;mso-height-relative:page;" filled="f" stroked="t" coordsize="21600,21600" o:gfxdata="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mroDtkAAAAKAQAADwAAAAAAAAABACAAAAAiAAAAZHJzL2Rvd25yZXYueG1s&#10;UEsBAhQAFAAAAAgAh07iQMPbPr73AQAAzgMAAA4AAAAAAAAAAQAgAAAAKAEAAGRycy9lMm9Eb2Mu&#10;eG1sUEsFBgAAAAAGAAYAWQEAAJE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OWJhZTU2YWNkN2MyNzFmZDZkYTQ1YTJlMjUzMDkifQ=="/>
  </w:docVars>
  <w:rsids>
    <w:rsidRoot w:val="00172A27"/>
    <w:rsid w:val="010333FC"/>
    <w:rsid w:val="01323A4C"/>
    <w:rsid w:val="01583748"/>
    <w:rsid w:val="019E71BD"/>
    <w:rsid w:val="039C5442"/>
    <w:rsid w:val="03D63BD5"/>
    <w:rsid w:val="041C42DA"/>
    <w:rsid w:val="04B679C3"/>
    <w:rsid w:val="05F07036"/>
    <w:rsid w:val="066C0D03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970528"/>
    <w:rsid w:val="14510E4E"/>
    <w:rsid w:val="152D2DCA"/>
    <w:rsid w:val="16FD7B4D"/>
    <w:rsid w:val="185F3E39"/>
    <w:rsid w:val="187168EA"/>
    <w:rsid w:val="18F573E3"/>
    <w:rsid w:val="196673CA"/>
    <w:rsid w:val="1B2F4AEE"/>
    <w:rsid w:val="1CF734C9"/>
    <w:rsid w:val="1DEC284C"/>
    <w:rsid w:val="1E6523AC"/>
    <w:rsid w:val="21461012"/>
    <w:rsid w:val="21981A2C"/>
    <w:rsid w:val="22440422"/>
    <w:rsid w:val="22BB4BBB"/>
    <w:rsid w:val="25714529"/>
    <w:rsid w:val="27823D6E"/>
    <w:rsid w:val="291D7E71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7632CB7"/>
    <w:rsid w:val="395347B5"/>
    <w:rsid w:val="39A232A0"/>
    <w:rsid w:val="39E745AA"/>
    <w:rsid w:val="3B5A6BBB"/>
    <w:rsid w:val="3EDA13A6"/>
    <w:rsid w:val="403F088E"/>
    <w:rsid w:val="417B75E9"/>
    <w:rsid w:val="42F058B7"/>
    <w:rsid w:val="436109F6"/>
    <w:rsid w:val="441A38D4"/>
    <w:rsid w:val="4504239D"/>
    <w:rsid w:val="45AF70F4"/>
    <w:rsid w:val="47705032"/>
    <w:rsid w:val="47A04FE4"/>
    <w:rsid w:val="47EF2B9D"/>
    <w:rsid w:val="499A6EB3"/>
    <w:rsid w:val="4BC77339"/>
    <w:rsid w:val="4C9236C5"/>
    <w:rsid w:val="4E250A85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72C6D10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8752FB5"/>
    <w:rsid w:val="68792F9F"/>
    <w:rsid w:val="68FB4E2B"/>
    <w:rsid w:val="69944FDF"/>
    <w:rsid w:val="69AC0D42"/>
    <w:rsid w:val="69F22243"/>
    <w:rsid w:val="6A5675B7"/>
    <w:rsid w:val="6AD9688B"/>
    <w:rsid w:val="6BC93D43"/>
    <w:rsid w:val="6C164AAF"/>
    <w:rsid w:val="6D0E3F22"/>
    <w:rsid w:val="6E546404"/>
    <w:rsid w:val="6EFD1E92"/>
    <w:rsid w:val="6FA93114"/>
    <w:rsid w:val="6FC27ACA"/>
    <w:rsid w:val="71EE4693"/>
    <w:rsid w:val="72851D44"/>
    <w:rsid w:val="744E4660"/>
    <w:rsid w:val="753355A2"/>
    <w:rsid w:val="759F1C61"/>
    <w:rsid w:val="765A2A0A"/>
    <w:rsid w:val="769F2DE8"/>
    <w:rsid w:val="76FDEB7C"/>
    <w:rsid w:val="776329BC"/>
    <w:rsid w:val="78F62422"/>
    <w:rsid w:val="79987ED9"/>
    <w:rsid w:val="79B71F54"/>
    <w:rsid w:val="79C65162"/>
    <w:rsid w:val="7B817DFF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2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2178</Words>
  <Characters>2282</Characters>
  <Lines>1</Lines>
  <Paragraphs>1</Paragraphs>
  <TotalTime>2</TotalTime>
  <ScaleCrop>false</ScaleCrop>
  <LinksUpToDate>false</LinksUpToDate>
  <CharactersWithSpaces>2383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yh</cp:lastModifiedBy>
  <cp:lastPrinted>2022-06-14T01:56:00Z</cp:lastPrinted>
  <dcterms:modified xsi:type="dcterms:W3CDTF">2022-11-07T07:41:52Z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0B1AFA79D73041E8B0EEF4023563CBC3</vt:lpwstr>
  </property>
</Properties>
</file>